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we beginning to commend ourselves again? Or do we need, as some do, letters of recommendation to you or from you?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our letter, written on our hearts, known and read by everyone.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clear that you are a letter from Mashiach delivered by us—written not with ink but with the Ruach of the living EH'YEH, not on tablets of stone but on tablets of human hearts.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is the confidence we have through Mashiach toward EH'YEH—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we are competent in ourselves to consider anything as coming from ourselves, but our competence is from EH'YEH.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also made us competent as servants of a new covenant—not of the letter, but of the Ruach. For the letter kills, but the Ruach gives life.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if the ministry of death, carved in letters on stone, came with such glory that Bnei-Yisrael could not look intently upon Moses’ face because of its glory—although it was passing away—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will the ministry of the Ruach not be even more glorious?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there is glory in the ministry of condemnation, the ministry of righteousness overflows even more in glory.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what was glorious is not glorious in comparison to the glory that surpasses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what is passing away is glorious, much more what remains is glorious.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having such a hope, we act with great boldness.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not like Moses, who used to put a veil over his face in order for Bnei-Yisrael not to look intently upon the end of what was passing away.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their minds were hardened. For up to this very day the same veil remains unlifted at the reading of the ancient covenant, since B’Mashiach it is passing away.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to this day, whenever Moses is read, a veil lies over their heart.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whenever someone turns to YIHOVEH, the veil is taken away.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YIHOVEH is the Spirit and where the RUACH YIHOVEH is, there is freedom.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all, with unveiled face beholding as in a mirror the glory of YIHOVEH, are being transformed into the same image from glory to glory—just as from YIHOVEH, who is the Spirit.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