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1.8  ·  11 September 2026  ·  build 2f5e28b</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23 tables covering programmes, impact chains, communities, stakeholders, tasks, approvals, targets, spend, reports, uploads and media coverage. Schema changes are versioned migrations, applied deliberately as part of a release rather than as a side effect of 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v1.8</dc:description>
  <cp:lastModifiedBy>Un-named</cp:lastModifiedBy>
  <cp:revision>1</cp:revision>
  <dcterms:created xsi:type="dcterms:W3CDTF">2026-09-11T14:30:10.112Z</dcterms:created>
  <dcterms:modified xsi:type="dcterms:W3CDTF">2026-09-11T14:30:10.113Z</dcterms:modified>
</cp:coreProperties>
</file>

<file path=docProps/custom.xml><?xml version="1.0" encoding="utf-8"?>
<Properties xmlns="http://schemas.openxmlformats.org/officeDocument/2006/custom-properties" xmlns:vt="http://schemas.openxmlformats.org/officeDocument/2006/docPropsVTypes"/>
</file>