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p>
    <w:p>
      <w:pPr>
        <w:spacing w:after="120" w:line="460" w:lineRule="exact"/>
      </w:pPr>
      <w:r>
        <w:rPr>
          <w:rFonts w:ascii="Poppins" w:cs="Poppins" w:eastAsia="Poppins" w:hAnsi="Poppins"/>
          <w:b/>
          <w:bCs/>
          <w:color w:val="111C55"/>
          <w:sz w:val="44"/>
          <w:szCs w:val="44"/>
        </w:rPr>
        <w:t xml:space="preserve">SPIMS — Progress Note</w:t>
      </w:r>
    </w:p>
    <w:p>
      <w:pPr>
        <w:spacing w:after="420"/>
      </w:pPr>
      <w:r>
        <w:rPr>
          <w:rFonts w:ascii="Poppins" w:cs="Poppins" w:eastAsia="Poppins" w:hAnsi="Poppins"/>
          <w:color w:val="6B6E86"/>
          <w:sz w:val="24"/>
          <w:szCs w:val="24"/>
        </w:rPr>
        <w:t xml:space="preserve">Social Performance &amp; Impact Management System</w:t>
      </w:r>
    </w:p>
    <w:p>
      <w:pPr>
        <w:spacing w:after="60"/>
      </w:pPr>
      <w:r>
        <w:rPr>
          <w:rFonts w:ascii="Poppins" w:cs="Poppins" w:eastAsia="Poppins" w:hAnsi="Poppins"/>
          <w:color w:val="2A2E52"/>
          <w:sz w:val="21"/>
          <w:szCs w:val="21"/>
        </w:rPr>
        <w:t xml:space="preserve">Prepared for Seplat Energy Plc</w:t>
      </w:r>
    </w:p>
    <w:p>
      <w:pPr>
        <w:spacing w:after="300"/>
      </w:pPr>
      <w:r>
        <w:rPr>
          <w:rFonts w:ascii="Poppins" w:cs="Poppins" w:eastAsia="Poppins" w:hAnsi="Poppins"/>
          <w:b/>
          <w:bCs/>
          <w:color w:val="111C55"/>
          <w:sz w:val="21"/>
          <w:szCs w:val="21"/>
        </w:rPr>
        <w:t xml:space="preserve">Teasoo Consulting</w:t>
      </w:r>
    </w:p>
    <w:p>
      <w:pPr>
        <w:pBdr>
          <w:top w:val="single" w:color="E31A38" w:sz="6" w:space="12"/>
        </w:pBdr>
        <w:spacing w:after="0"/>
      </w:pPr>
      <w:r>
        <w:rPr>
          <w:rFonts w:ascii="Poppins" w:cs="Poppins" w:eastAsia="Poppins" w:hAnsi="Poppins"/>
          <w:color w:val="6B6E86"/>
          <w:sz w:val="18"/>
          <w:szCs w:val="18"/>
        </w:rPr>
        <w:t xml:space="preserve">Version 1.6  ·  13 October 2026  ·  build current build</w:t>
      </w:r>
    </w:p>
    <w:p>
      <w:pPr>
        <w:sectPr>
          <w:footerReference w:type="default" r:id="rId7"/>
          <w:pgSz w:w="11906" w:h="16838" w:orient="portrait"/>
          <w:pgMar w:top="1440" w:right="1440" w:bottom="1440" w:left="1440" w:header="708" w:footer="708" w:gutter="0"/>
          <w:pgNumType/>
          <w:docGrid w:linePitch="360"/>
        </w:sectPr>
      </w:pPr>
    </w:p>
    <w:p>
      <w:pPr>
        <w:pStyle w:val="Heading1"/>
        <w:spacing w:after="180" w:before="0"/>
      </w:pPr>
      <w:r>
        <w:rPr>
          <w:rFonts w:ascii="Poppins" w:cs="Poppins" w:eastAsia="Poppins" w:hAnsi="Poppins"/>
          <w:b/>
          <w:bCs/>
          <w:color w:val="111C55"/>
          <w:sz w:val="28"/>
          <w:szCs w:val="28"/>
        </w:rPr>
        <w:t xml:space="preserve">Where the system stands</w:t>
      </w:r>
    </w:p>
    <w:p>
      <w:pPr>
        <w:spacing w:after="160" w:line="300"/>
        <w:jc w:val="both"/>
      </w:pPr>
      <w:r>
        <w:rPr>
          <w:rFonts w:ascii="Poppins" w:cs="Poppins" w:eastAsia="Poppins" w:hAnsi="Poppins"/>
          <w:color w:val="2A2E52"/>
          <w:sz w:val="21"/>
          <w:szCs w:val="21"/>
        </w:rPr>
        <w:t xml:space="preserve">SPIMS is a working system with a real database, authenticated users and role-based permissions, ready to be installed on Seplat infrastructure. The three items we regarded as blocking a deployment holding real data are now closed. What remains is mostly waiting on Seplat, not on development.</w:t>
      </w:r>
    </w:p>
    <w:p>
      <w:pPr>
        <w:pStyle w:val="Heading1"/>
        <w:spacing w:after="180" w:before="380"/>
      </w:pPr>
      <w:r>
        <w:rPr>
          <w:rFonts w:ascii="Poppins" w:cs="Poppins" w:eastAsia="Poppins" w:hAnsi="Poppins"/>
          <w:b/>
          <w:bCs/>
          <w:color w:val="111C55"/>
          <w:sz w:val="28"/>
          <w:szCs w:val="28"/>
        </w:rPr>
        <w:t xml:space="preserve">Done</w:t>
      </w:r>
    </w:p>
    <w:p>
      <w:pPr>
        <w:pStyle w:val="ListParagraph"/>
        <w:numPr>
          <w:ilvl w:val="0"/>
          <w:numId w:val="1"/>
        </w:numPr>
        <w:spacing w:after="90" w:line="290"/>
        <w:jc w:val="left"/>
      </w:pPr>
      <w:r>
        <w:rPr>
          <w:rFonts w:ascii="Poppins" w:cs="Poppins" w:eastAsia="Poppins" w:hAnsi="Poppins"/>
          <w:color w:val="2A2E52"/>
          <w:sz w:val="21"/>
          <w:szCs w:val="21"/>
        </w:rPr>
        <w:t xml:space="preserve">Reach reported separately from impact, in the data model and throughout the interface — the correction raised in the August review.</w:t>
      </w:r>
    </w:p>
    <w:p>
      <w:pPr>
        <w:pStyle w:val="ListParagraph"/>
        <w:numPr>
          <w:ilvl w:val="0"/>
          <w:numId w:val="1"/>
        </w:numPr>
        <w:spacing w:after="90" w:line="290"/>
        <w:jc w:val="left"/>
      </w:pPr>
      <w:r>
        <w:rPr>
          <w:rFonts w:ascii="Poppins" w:cs="Poppins" w:eastAsia="Poppins" w:hAnsi="Poppins"/>
          <w:color w:val="2A2E52"/>
          <w:sz w:val="21"/>
          <w:szCs w:val="21"/>
        </w:rPr>
        <w:t xml:space="preserve">Real database, versioned migrations and an authenticated API; role permissions enforced server-side, not only hidden in the interface.</w:t>
      </w:r>
    </w:p>
    <w:p>
      <w:pPr>
        <w:pStyle w:val="ListParagraph"/>
        <w:numPr>
          <w:ilvl w:val="0"/>
          <w:numId w:val="1"/>
        </w:numPr>
        <w:spacing w:after="90" w:line="290"/>
        <w:jc w:val="left"/>
      </w:pPr>
      <w:r>
        <w:rPr>
          <w:rFonts w:ascii="Poppins" w:cs="Poppins" w:eastAsia="Poppins" w:hAnsi="Poppins"/>
          <w:color w:val="2A2E52"/>
          <w:sz w:val="21"/>
          <w:szCs w:val="21"/>
        </w:rPr>
        <w:t xml:space="preserve">Account administration: an Executive creates accounts, assigns roles, deactivates leavers and resets passwords; every user can change their own password.</w:t>
      </w:r>
    </w:p>
    <w:p>
      <w:pPr>
        <w:pStyle w:val="ListParagraph"/>
        <w:numPr>
          <w:ilvl w:val="0"/>
          <w:numId w:val="1"/>
        </w:numPr>
        <w:spacing w:after="90" w:line="290"/>
        <w:jc w:val="left"/>
      </w:pPr>
      <w:r>
        <w:rPr>
          <w:rFonts w:ascii="Poppins" w:cs="Poppins" w:eastAsia="Poppins" w:hAnsi="Poppins"/>
          <w:color w:val="2A2E52"/>
          <w:sz w:val="21"/>
          <w:szCs w:val="21"/>
        </w:rPr>
        <w:t xml:space="preserve">Projects can be created and maintained in the system by both Executives and Project Managers.</w:t>
      </w:r>
    </w:p>
    <w:p>
      <w:pPr>
        <w:pStyle w:val="ListParagraph"/>
        <w:numPr>
          <w:ilvl w:val="0"/>
          <w:numId w:val="1"/>
        </w:numPr>
        <w:spacing w:after="90" w:line="290"/>
        <w:jc w:val="left"/>
      </w:pPr>
      <w:r>
        <w:rPr>
          <w:rFonts w:ascii="Poppins" w:cs="Poppins" w:eastAsia="Poppins" w:hAnsi="Poppins"/>
          <w:color w:val="2A2E52"/>
          <w:sz w:val="21"/>
          <w:szCs w:val="21"/>
        </w:rPr>
        <w:t xml:space="preserve">Settings: organisation name, financial year, currency and target year are configurable rather than fixed in code.</w:t>
      </w:r>
    </w:p>
    <w:p>
      <w:pPr>
        <w:pStyle w:val="ListParagraph"/>
        <w:numPr>
          <w:ilvl w:val="0"/>
          <w:numId w:val="1"/>
        </w:numPr>
        <w:spacing w:after="90" w:line="290"/>
        <w:jc w:val="left"/>
      </w:pPr>
      <w:r>
        <w:rPr>
          <w:rFonts w:ascii="Poppins" w:cs="Poppins" w:eastAsia="Poppins" w:hAnsi="Poppins"/>
          <w:color w:val="2A2E52"/>
          <w:sz w:val="21"/>
          <w:szCs w:val="21"/>
        </w:rPr>
        <w:t xml:space="preserve">Programme custom fields — recurring stakeholder questions answered on the programme page, with sources.</w:t>
      </w:r>
    </w:p>
    <w:p>
      <w:pPr>
        <w:pStyle w:val="ListParagraph"/>
        <w:numPr>
          <w:ilvl w:val="0"/>
          <w:numId w:val="1"/>
        </w:numPr>
        <w:spacing w:after="90" w:line="290"/>
        <w:jc w:val="left"/>
      </w:pPr>
      <w:r>
        <w:rPr>
          <w:rFonts w:ascii="Poppins" w:cs="Poppins" w:eastAsia="Poppins" w:hAnsi="Poppins"/>
          <w:color w:val="2A2E52"/>
          <w:sz w:val="21"/>
          <w:szCs w:val="21"/>
        </w:rPr>
        <w:t xml:space="preserve">Social return on investment, calculated for every programme from its own spend and beneficiary count by the standard method, reported as a range with its assumptions shown, and marked illustrative until Seplat’s M&amp;E function agrees the four proxy values.</w:t>
      </w:r>
    </w:p>
    <w:p>
      <w:pPr>
        <w:pStyle w:val="ListParagraph"/>
        <w:numPr>
          <w:ilvl w:val="0"/>
          <w:numId w:val="1"/>
        </w:numPr>
        <w:spacing w:after="90" w:line="290"/>
        <w:jc w:val="left"/>
      </w:pPr>
      <w:r>
        <w:rPr>
          <w:rFonts w:ascii="Poppins" w:cs="Poppins" w:eastAsia="Poppins" w:hAnsi="Poppins"/>
          <w:color w:val="2A2E52"/>
          <w:sz w:val="21"/>
          <w:szCs w:val="21"/>
        </w:rPr>
        <w:t xml:space="preserve">Every project page states how complete its record is and which spreadsheet column fills each gap.</w:t>
      </w:r>
    </w:p>
    <w:p>
      <w:pPr>
        <w:pStyle w:val="ListParagraph"/>
        <w:numPr>
          <w:ilvl w:val="0"/>
          <w:numId w:val="1"/>
        </w:numPr>
        <w:spacing w:after="90" w:line="290"/>
        <w:jc w:val="left"/>
      </w:pPr>
      <w:r>
        <w:rPr>
          <w:rFonts w:ascii="Poppins" w:cs="Poppins" w:eastAsia="Poppins" w:hAnsi="Poppins"/>
          <w:color w:val="2A2E52"/>
          <w:sz w:val="21"/>
          <w:szCs w:val="21"/>
        </w:rPr>
        <w:t xml:space="preserve">Bulk upload with downloadable templates. A finished project can be entered from two spreadsheets — its master data and its completion record — and appears in the portfolio, on its own page and in its report, with utilisation taken from the spend the file records.</w:t>
      </w:r>
    </w:p>
    <w:p>
      <w:pPr>
        <w:pStyle w:val="ListParagraph"/>
        <w:numPr>
          <w:ilvl w:val="0"/>
          <w:numId w:val="1"/>
        </w:numPr>
        <w:spacing w:after="90" w:line="290"/>
        <w:jc w:val="left"/>
      </w:pPr>
      <w:r>
        <w:rPr>
          <w:rFonts w:ascii="Poppins" w:cs="Poppins" w:eastAsia="Poppins" w:hAnsi="Poppins"/>
          <w:color w:val="2A2E52"/>
          <w:sz w:val="21"/>
          <w:szCs w:val="21"/>
        </w:rPr>
        <w:t xml:space="preserve">Media and web mention monitoring, using free sources only — press and web coverage collected automatically, de-duplicated, and reviewed by a person before it counts. No subscription required.</w:t>
      </w:r>
    </w:p>
    <w:p>
      <w:pPr>
        <w:pStyle w:val="ListParagraph"/>
        <w:numPr>
          <w:ilvl w:val="0"/>
          <w:numId w:val="1"/>
        </w:numPr>
        <w:spacing w:after="90" w:line="290"/>
        <w:jc w:val="left"/>
      </w:pPr>
      <w:r>
        <w:rPr>
          <w:rFonts w:ascii="Poppins" w:cs="Poppins" w:eastAsia="Poppins" w:hAnsi="Poppins"/>
          <w:color w:val="2A2E52"/>
          <w:sz w:val="21"/>
          <w:szCs w:val="21"/>
        </w:rPr>
        <w:t xml:space="preserve">Reports follow Seplat’s own 2025 report — its structure, and now its typeface, colours and the way it sets figures. Exports carry the compiled content, selected programmes and financial year.</w:t>
      </w:r>
    </w:p>
    <w:p>
      <w:pPr>
        <w:pStyle w:val="ListParagraph"/>
        <w:numPr>
          <w:ilvl w:val="0"/>
          <w:numId w:val="1"/>
        </w:numPr>
        <w:spacing w:after="90" w:line="290"/>
        <w:jc w:val="left"/>
      </w:pPr>
      <w:r>
        <w:rPr>
          <w:rFonts w:ascii="Poppins" w:cs="Poppins" w:eastAsia="Poppins" w:hAnsi="Poppins"/>
          <w:color w:val="2A2E52"/>
          <w:sz w:val="21"/>
          <w:szCs w:val="21"/>
        </w:rPr>
        <w:t xml:space="preserve">PowerPoint export delivered, with native editable charts rather than pictures of charts, built from the same verified figures as the PDF.</w:t>
      </w:r>
    </w:p>
    <w:p>
      <w:pPr>
        <w:pStyle w:val="ListParagraph"/>
        <w:numPr>
          <w:ilvl w:val="0"/>
          <w:numId w:val="1"/>
        </w:numPr>
        <w:spacing w:after="90" w:line="290"/>
        <w:jc w:val="left"/>
      </w:pPr>
      <w:r>
        <w:rPr>
          <w:rFonts w:ascii="Poppins" w:cs="Poppins" w:eastAsia="Poppins" w:hAnsi="Poppins"/>
          <w:color w:val="2A2E52"/>
          <w:sz w:val="21"/>
          <w:szCs w:val="21"/>
        </w:rPr>
        <w:t xml:space="preserve">Every report surface produces the same designed document — including the report downloaded from a programme’s own page, which previously came out as a single page of plain text.</w:t>
      </w:r>
    </w:p>
    <w:p>
      <w:pPr>
        <w:pStyle w:val="ListParagraph"/>
        <w:numPr>
          <w:ilvl w:val="0"/>
          <w:numId w:val="1"/>
        </w:numPr>
        <w:spacing w:after="90" w:line="290"/>
        <w:jc w:val="left"/>
      </w:pPr>
      <w:r>
        <w:rPr>
          <w:rFonts w:ascii="Poppins" w:cs="Poppins" w:eastAsia="Poppins" w:hAnsi="Poppins"/>
          <w:color w:val="2A2E52"/>
          <w:sz w:val="21"/>
          <w:szCs w:val="21"/>
        </w:rPr>
        <w:t xml:space="preserve">Deployable on Seplat’s own infrastructure, with an operator runbook and a technical specification for IT review.</w:t>
      </w:r>
    </w:p>
    <w:p>
      <w:pPr>
        <w:pStyle w:val="ListParagraph"/>
        <w:numPr>
          <w:ilvl w:val="0"/>
          <w:numId w:val="1"/>
        </w:numPr>
        <w:spacing w:after="90" w:line="290"/>
        <w:jc w:val="left"/>
      </w:pPr>
      <w:r>
        <w:rPr>
          <w:rFonts w:ascii="Poppins" w:cs="Poppins" w:eastAsia="Poppins" w:hAnsi="Poppins"/>
          <w:color w:val="2A2E52"/>
          <w:sz w:val="21"/>
          <w:szCs w:val="21"/>
        </w:rPr>
        <w:t xml:space="preserve">No third-party calls in normal use — the interface typeface is served by the system itself.</w:t>
      </w:r>
    </w:p>
    <w:p>
      <w:pPr>
        <w:spacing w:after="120"/>
      </w:pPr>
    </w:p>
    <w:p>
      <w:pPr>
        <w:pStyle w:val="Heading1"/>
        <w:spacing w:after="180" w:before="380"/>
      </w:pPr>
      <w:r>
        <w:rPr>
          <w:rFonts w:ascii="Poppins" w:cs="Poppins" w:eastAsia="Poppins" w:hAnsi="Poppins"/>
          <w:b/>
          <w:bCs/>
          <w:color w:val="111C55"/>
          <w:sz w:val="28"/>
          <w:szCs w:val="28"/>
        </w:rPr>
        <w:t xml:space="preserve">What a completed project must supply</w:t>
      </w:r>
    </w:p>
    <w:p>
      <w:pPr>
        <w:spacing w:after="160" w:line="300"/>
        <w:jc w:val="both"/>
      </w:pPr>
      <w:r>
        <w:rPr>
          <w:rFonts w:ascii="Poppins" w:cs="Poppins" w:eastAsia="Poppins" w:hAnsi="Poppins"/>
          <w:color w:val="2A2E52"/>
          <w:sz w:val="21"/>
          <w:szCs w:val="21"/>
        </w:rPr>
        <w:t xml:space="preserve">A template, not a free-form report. A narrative document cannot be turned into reliable figures without someone checking every number, and an unchecked figure is exactly what this system exists to prevent. The Project Completion template is now downloadable in Bulk Upload and asks for: final spend; headline output and outcome; reach and impact as separate figures with the note explaining the difference; beneficiary disaggregation; communities served; baseline and endline with the measure used; the evidence source for each figure; and lessons learned.</w:t>
      </w:r>
    </w:p>
    <w:p>
      <w:pPr>
        <w:spacing w:after="160" w:line="300"/>
        <w:jc w:val="both"/>
      </w:pPr>
      <w:r>
        <w:rPr>
          <w:rFonts w:ascii="Poppins" w:cs="Poppins" w:eastAsia="Poppins" w:hAnsi="Poppins"/>
          <w:color w:val="2A2E52"/>
          <w:sz w:val="21"/>
          <w:szCs w:val="21"/>
        </w:rPr>
        <w:t xml:space="preserve">A narrative report can still be attached as supporting evidence. We can also add an assisted step later that reads an uploaded report and pre-fills the template for a person to check — useful, but it must remain a draft for review rather than a direct route into published figures.</w:t>
      </w:r>
    </w:p>
    <w:p>
      <w:pPr>
        <w:pStyle w:val="Heading1"/>
        <w:spacing w:after="180" w:before="380"/>
      </w:pPr>
      <w:r>
        <w:rPr>
          <w:rFonts w:ascii="Poppins" w:cs="Poppins" w:eastAsia="Poppins" w:hAnsi="Poppins"/>
          <w:b/>
          <w:bCs/>
          <w:color w:val="111C55"/>
          <w:sz w:val="28"/>
          <w:szCs w:val="28"/>
        </w:rPr>
        <w:t xml:space="preserve">Left to do</w:t>
      </w:r>
    </w:p>
    <w:tbl>
      <w:tblPr>
        <w:tblW w:type="dxa" w:w="9026"/>
        <w:tblBorders>
          <w:top w:val="single" w:color="D9DBE7" w:sz="2"/>
          <w:left w:val="single" w:color="D9DBE7" w:sz="2"/>
          <w:bottom w:val="single" w:color="D9DBE7" w:sz="2"/>
          <w:right w:val="single" w:color="D9DBE7" w:sz="2"/>
          <w:insideH w:val="single" w:color="D9DBE7" w:sz="2"/>
          <w:insideV w:val="single" w:color="D9DBE7" w:sz="2"/>
        </w:tblBorders>
      </w:tblPr>
      <w:tblGrid>
        <w:gridCol w:w="2888"/>
        <w:gridCol w:w="6138"/>
      </w:tblGrid>
      <w:tr>
        <w:trPr>
          <w:tblHeader/>
        </w:trPr>
        <w:tc>
          <w:tcPr>
            <w:tcW w:type="dxa" w:w="2888"/>
            <w:shd w:fill="F2F3F8" w:color="auto" w:val="clear"/>
            <w:tcMar>
              <w:top w:type="dxa" w:w="100"/>
              <w:left w:type="dxa" w:w="130"/>
              <w:bottom w:type="dxa" w:w="100"/>
              <w:right w:type="dxa" w:w="130"/>
            </w:tcMar>
          </w:tcPr>
          <w:p>
            <w:pPr>
              <w:spacing w:after="0" w:line="280"/>
              <w:jc w:val="left"/>
            </w:pPr>
            <w:r>
              <w:rPr>
                <w:rFonts w:ascii="Poppins" w:cs="Poppins" w:eastAsia="Poppins" w:hAnsi="Poppins"/>
                <w:b/>
                <w:bCs/>
                <w:color w:val="111C55"/>
                <w:sz w:val="19"/>
                <w:szCs w:val="19"/>
              </w:rPr>
              <w:t xml:space="preserve">Item</w:t>
            </w:r>
          </w:p>
        </w:tc>
        <w:tc>
          <w:tcPr>
            <w:tcW w:type="dxa" w:w="6138"/>
            <w:shd w:fill="F2F3F8" w:color="auto" w:val="clear"/>
            <w:tcMar>
              <w:top w:type="dxa" w:w="100"/>
              <w:left w:type="dxa" w:w="130"/>
              <w:bottom w:type="dxa" w:w="100"/>
              <w:right w:type="dxa" w:w="130"/>
            </w:tcMar>
          </w:tcPr>
          <w:p>
            <w:pPr>
              <w:spacing w:after="0" w:line="280"/>
              <w:jc w:val="left"/>
            </w:pPr>
            <w:r>
              <w:rPr>
                <w:rFonts w:ascii="Poppins" w:cs="Poppins" w:eastAsia="Poppins" w:hAnsi="Poppins"/>
                <w:b/>
                <w:bCs/>
                <w:color w:val="111C55"/>
                <w:sz w:val="19"/>
                <w:szCs w:val="19"/>
              </w:rPr>
              <w:t xml:space="preserve">Waiting on</w:t>
            </w:r>
          </w:p>
        </w:tc>
      </w:tr>
      <w:tr>
        <w:tc>
          <w:tcPr>
            <w:tcW w:type="dxa" w:w="2888"/>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Deploy to Vercel with a managed database</w:t>
            </w:r>
          </w:p>
        </w:tc>
        <w:tc>
          <w:tcPr>
            <w:tcW w:type="dxa" w:w="6138"/>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Seplat — a Vercel account and a database account, both in Seplat’s name</w:t>
            </w:r>
          </w:p>
        </w:tc>
      </w:tr>
      <w:tr>
        <w:tc>
          <w:tcPr>
            <w:tcW w:type="dxa" w:w="2888"/>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Worked example on one real programme</w:t>
            </w:r>
          </w:p>
        </w:tc>
        <w:tc>
          <w:tcPr>
            <w:tcW w:type="dxa" w:w="6138"/>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Seplat — programme data and organisation chart</w:t>
            </w:r>
          </w:p>
        </w:tc>
      </w:tr>
      <w:tr>
        <w:tc>
          <w:tcPr>
            <w:tcW w:type="dxa" w:w="2888"/>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Single sign-on with Seplat credentials</w:t>
            </w:r>
          </w:p>
        </w:tc>
        <w:tc>
          <w:tcPr>
            <w:tcW w:type="dxa" w:w="6138"/>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Seplat — decision, then app registration. Scoped separately</w:t>
            </w:r>
          </w:p>
        </w:tc>
      </w:tr>
      <w:tr>
        <w:tc>
          <w:tcPr>
            <w:tcW w:type="dxa" w:w="2888"/>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Social media and hashtag tracking</w:t>
            </w:r>
          </w:p>
        </w:tc>
        <w:tc>
          <w:tcPr>
            <w:tcW w:type="dxa" w:w="6138"/>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A budget decision. Press and web monitoring is built and running</w:t>
            </w:r>
          </w:p>
        </w:tc>
      </w:tr>
      <w:tr>
        <w:tc>
          <w:tcPr>
            <w:tcW w:type="dxa" w:w="2888"/>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Evidence file storage</w:t>
            </w:r>
          </w:p>
        </w:tc>
        <w:tc>
          <w:tcPr>
            <w:tcW w:type="dxa" w:w="6138"/>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Follows installation</w:t>
            </w:r>
          </w:p>
        </w:tc>
      </w:tr>
      <w:tr>
        <w:tc>
          <w:tcPr>
            <w:tcW w:type="dxa" w:w="2888"/>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Beneficiary counts and activity logs writing to live records</w:t>
            </w:r>
          </w:p>
        </w:tc>
        <w:tc>
          <w:tcPr>
            <w:tcW w:type="dxa" w:w="6138"/>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Seplat — rules on whether a new figure replaces or adds to a total. The other three upload types already write through</w:t>
            </w:r>
          </w:p>
        </w:tc>
      </w:tr>
      <w:tr>
        <w:tc>
          <w:tcPr>
            <w:tcW w:type="dxa" w:w="2888"/>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Social return figures becoming externally reportable</w:t>
            </w:r>
          </w:p>
        </w:tc>
        <w:tc>
          <w:tcPr>
            <w:tcW w:type="dxa" w:w="6138"/>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Seplat M&amp;E — agreement on what a year of each outcome is worth. The calculation is built and running</w:t>
            </w:r>
          </w:p>
        </w:tc>
      </w:tr>
    </w:tbl>
    <w:p>
      <w:pPr>
        <w:spacing w:after="220"/>
      </w:pPr>
    </w:p>
    <w:p>
      <w:pPr>
        <w:pStyle w:val="Heading1"/>
        <w:spacing w:after="180" w:before="380"/>
      </w:pPr>
      <w:r>
        <w:rPr>
          <w:rFonts w:ascii="Poppins" w:cs="Poppins" w:eastAsia="Poppins" w:hAnsi="Poppins"/>
          <w:b/>
          <w:bCs/>
          <w:color w:val="111C55"/>
          <w:sz w:val="28"/>
          <w:szCs w:val="28"/>
        </w:rPr>
        <w:t xml:space="preserve">Blockers</w:t>
      </w:r>
    </w:p>
    <w:p>
      <w:pPr>
        <w:spacing w:after="160" w:line="300"/>
        <w:jc w:val="both"/>
      </w:pPr>
      <w:r>
        <w:rPr>
          <w:rFonts w:ascii="Poppins" w:cs="Poppins" w:eastAsia="Poppins" w:hAnsi="Poppins"/>
          <w:color w:val="2A2E52"/>
          <w:sz w:val="21"/>
          <w:szCs w:val="21"/>
        </w:rPr>
        <w:t xml:space="preserve">Two, both requiring a Seplat decision rather than development work:</w:t>
      </w:r>
    </w:p>
    <w:p>
      <w:pPr>
        <w:pStyle w:val="ListParagraph"/>
        <w:numPr>
          <w:ilvl w:val="0"/>
          <w:numId w:val="1"/>
        </w:numPr>
        <w:spacing w:after="90" w:line="290"/>
        <w:jc w:val="left"/>
      </w:pPr>
      <w:r>
        <w:rPr>
          <w:rFonts w:ascii="Poppins" w:cs="Poppins" w:eastAsia="Poppins" w:hAnsi="Poppins"/>
          <w:color w:val="2A2E52"/>
          <w:sz w:val="21"/>
          <w:szCs w:val="21"/>
        </w:rPr>
        <w:t xml:space="preserve">No hosting environment yet. Seplat has chosen Vercel with a managed PostgreSQL database, which removes the infrastructure work entirely; what is needed now is the two accounts. Worth noting plainly: under managed hosting the data sits with those providers rather than on Seplat infrastructure, so it is a decision for information security as well as for IT. Moving onto Seplat’s own servers later is a database restore, not a rewrite.</w:t>
      </w:r>
    </w:p>
    <w:p>
      <w:pPr>
        <w:pStyle w:val="ListParagraph"/>
        <w:numPr>
          <w:ilvl w:val="0"/>
          <w:numId w:val="1"/>
        </w:numPr>
        <w:spacing w:after="90" w:line="290"/>
        <w:jc w:val="left"/>
      </w:pPr>
      <w:r>
        <w:rPr>
          <w:rFonts w:ascii="Poppins" w:cs="Poppins" w:eastAsia="Poppins" w:hAnsi="Poppins"/>
          <w:color w:val="2A2E52"/>
          <w:sz w:val="21"/>
          <w:szCs w:val="21"/>
        </w:rPr>
        <w:t xml:space="preserve">No real programme data. The system currently runs on figures drawn from Seplat’s published 2025 report; the requested end-to-end worked example needs a complete dataset for one programme, and confirmation of which programme was meant.</w:t>
      </w:r>
    </w:p>
    <w:p>
      <w:pPr>
        <w:spacing w:after="120"/>
      </w:pPr>
    </w:p>
    <w:p>
      <w:pPr>
        <w:pStyle w:val="Heading1"/>
        <w:spacing w:after="180" w:before="380"/>
      </w:pPr>
      <w:r>
        <w:rPr>
          <w:rFonts w:ascii="Poppins" w:cs="Poppins" w:eastAsia="Poppins" w:hAnsi="Poppins"/>
          <w:b/>
          <w:bCs/>
          <w:color w:val="111C55"/>
          <w:sz w:val="28"/>
          <w:szCs w:val="28"/>
        </w:rPr>
        <w:t xml:space="preserve">Cost implications</w:t>
      </w:r>
    </w:p>
    <w:p>
      <w:pPr>
        <w:spacing w:after="160" w:line="300"/>
        <w:jc w:val="both"/>
      </w:pPr>
      <w:r>
        <w:rPr>
          <w:rFonts w:ascii="Poppins" w:cs="Poppins" w:eastAsia="Poppins" w:hAnsi="Poppins"/>
          <w:color w:val="2A2E52"/>
          <w:sz w:val="21"/>
          <w:szCs w:val="21"/>
        </w:rPr>
        <w:t xml:space="preserve">The platform fee and annual maintenance are as set out in the proposal. Everything below is a third-party cost, recharged at cost and not included in that fee. All are optional — the system functions without any of them, with the corresponding feature disabled and labelled as such.</w:t>
      </w:r>
    </w:p>
    <w:tbl>
      <w:tblPr>
        <w:tblW w:type="dxa" w:w="9026"/>
        <w:tblBorders>
          <w:top w:val="single" w:color="D9DBE7" w:sz="2"/>
          <w:left w:val="single" w:color="D9DBE7" w:sz="2"/>
          <w:bottom w:val="single" w:color="D9DBE7" w:sz="2"/>
          <w:right w:val="single" w:color="D9DBE7" w:sz="2"/>
          <w:insideH w:val="single" w:color="D9DBE7" w:sz="2"/>
          <w:insideV w:val="single" w:color="D9DBE7" w:sz="2"/>
        </w:tblBorders>
      </w:tblPr>
      <w:tblGrid>
        <w:gridCol w:w="3430"/>
        <w:gridCol w:w="3791"/>
        <w:gridCol w:w="1805"/>
      </w:tblGrid>
      <w:tr>
        <w:trPr>
          <w:tblHeader/>
        </w:trPr>
        <w:tc>
          <w:tcPr>
            <w:tcW w:type="dxa" w:w="3430"/>
            <w:shd w:fill="F2F3F8" w:color="auto" w:val="clear"/>
            <w:tcMar>
              <w:top w:type="dxa" w:w="100"/>
              <w:left w:type="dxa" w:w="130"/>
              <w:bottom w:type="dxa" w:w="100"/>
              <w:right w:type="dxa" w:w="130"/>
            </w:tcMar>
          </w:tcPr>
          <w:p>
            <w:pPr>
              <w:spacing w:after="0" w:line="280"/>
              <w:jc w:val="left"/>
            </w:pPr>
            <w:r>
              <w:rPr>
                <w:rFonts w:ascii="Poppins" w:cs="Poppins" w:eastAsia="Poppins" w:hAnsi="Poppins"/>
                <w:b/>
                <w:bCs/>
                <w:color w:val="111C55"/>
                <w:sz w:val="19"/>
                <w:szCs w:val="19"/>
              </w:rPr>
              <w:t xml:space="preserve">Item</w:t>
            </w:r>
          </w:p>
        </w:tc>
        <w:tc>
          <w:tcPr>
            <w:tcW w:type="dxa" w:w="3791"/>
            <w:shd w:fill="F2F3F8" w:color="auto" w:val="clear"/>
            <w:tcMar>
              <w:top w:type="dxa" w:w="100"/>
              <w:left w:type="dxa" w:w="130"/>
              <w:bottom w:type="dxa" w:w="100"/>
              <w:right w:type="dxa" w:w="130"/>
            </w:tcMar>
          </w:tcPr>
          <w:p>
            <w:pPr>
              <w:spacing w:after="0" w:line="280"/>
              <w:jc w:val="left"/>
            </w:pPr>
            <w:r>
              <w:rPr>
                <w:rFonts w:ascii="Poppins" w:cs="Poppins" w:eastAsia="Poppins" w:hAnsi="Poppins"/>
                <w:b/>
                <w:bCs/>
                <w:color w:val="111C55"/>
                <w:sz w:val="19"/>
                <w:szCs w:val="19"/>
              </w:rPr>
              <w:t xml:space="preserve">Indicative cost</w:t>
            </w:r>
          </w:p>
        </w:tc>
        <w:tc>
          <w:tcPr>
            <w:tcW w:type="dxa" w:w="1805"/>
            <w:shd w:fill="F2F3F8" w:color="auto" w:val="clear"/>
            <w:tcMar>
              <w:top w:type="dxa" w:w="100"/>
              <w:left w:type="dxa" w:w="130"/>
              <w:bottom w:type="dxa" w:w="100"/>
              <w:right w:type="dxa" w:w="130"/>
            </w:tcMar>
          </w:tcPr>
          <w:p>
            <w:pPr>
              <w:spacing w:after="0" w:line="280"/>
              <w:jc w:val="left"/>
            </w:pPr>
            <w:r>
              <w:rPr>
                <w:rFonts w:ascii="Poppins" w:cs="Poppins" w:eastAsia="Poppins" w:hAnsi="Poppins"/>
                <w:b/>
                <w:bCs/>
                <w:color w:val="111C55"/>
                <w:sz w:val="19"/>
                <w:szCs w:val="19"/>
              </w:rPr>
              <w:t xml:space="preserve">Notes</w:t>
            </w:r>
          </w:p>
        </w:tc>
      </w:tr>
      <w:tr>
        <w:tc>
          <w:tcPr>
            <w:tcW w:type="dxa" w:w="3430"/>
            <w:tcMar>
              <w:top w:type="dxa" w:w="100"/>
              <w:left w:type="dxa" w:w="130"/>
              <w:bottom w:type="dxa" w:w="100"/>
              <w:right w:type="dxa" w:w="130"/>
            </w:tcMar>
          </w:tcPr>
          <w:p>
            <w:pPr>
              <w:spacing w:after="0" w:line="280"/>
              <w:jc w:val="left"/>
            </w:pPr>
            <w:r>
              <w:rPr>
                <w:rFonts w:ascii="Poppins" w:cs="Poppins" w:eastAsia="Poppins" w:hAnsi="Poppins"/>
                <w:b/>
                <w:bCs/>
                <w:color w:val="2A2E52"/>
                <w:sz w:val="19"/>
                <w:szCs w:val="19"/>
              </w:rPr>
              <w:t xml:space="preserve">Hosting</w:t>
            </w:r>
          </w:p>
        </w:tc>
        <w:tc>
          <w:tcPr>
            <w:tcW w:type="dxa" w:w="3791"/>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None to Teasoo</w:t>
            </w:r>
          </w:p>
        </w:tc>
        <w:tc>
          <w:tcPr>
            <w:tcW w:type="dxa" w:w="1805"/>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Runs on Seplat infrastructure. A cloud demonstration instance, if wanted, is minor.</w:t>
            </w:r>
          </w:p>
        </w:tc>
      </w:tr>
      <w:tr>
        <w:tc>
          <w:tcPr>
            <w:tcW w:type="dxa" w:w="3430"/>
            <w:tcMar>
              <w:top w:type="dxa" w:w="100"/>
              <w:left w:type="dxa" w:w="130"/>
              <w:bottom w:type="dxa" w:w="100"/>
              <w:right w:type="dxa" w:w="130"/>
            </w:tcMar>
          </w:tcPr>
          <w:p>
            <w:pPr>
              <w:spacing w:after="0" w:line="280"/>
              <w:jc w:val="left"/>
            </w:pPr>
            <w:r>
              <w:rPr>
                <w:rFonts w:ascii="Poppins" w:cs="Poppins" w:eastAsia="Poppins" w:hAnsi="Poppins"/>
                <w:b/>
                <w:bCs/>
                <w:color w:val="2A2E52"/>
                <w:sz w:val="19"/>
                <w:szCs w:val="19"/>
              </w:rPr>
              <w:t xml:space="preserve">Database</w:t>
            </w:r>
          </w:p>
        </w:tc>
        <w:tc>
          <w:tcPr>
            <w:tcW w:type="dxa" w:w="3791"/>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None</w:t>
            </w:r>
          </w:p>
        </w:tc>
        <w:tc>
          <w:tcPr>
            <w:tcW w:type="dxa" w:w="1805"/>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PostgreSQL, open source, no licence fee.</w:t>
            </w:r>
          </w:p>
        </w:tc>
      </w:tr>
      <w:tr>
        <w:tc>
          <w:tcPr>
            <w:tcW w:type="dxa" w:w="3430"/>
            <w:tcMar>
              <w:top w:type="dxa" w:w="100"/>
              <w:left w:type="dxa" w:w="130"/>
              <w:bottom w:type="dxa" w:w="100"/>
              <w:right w:type="dxa" w:w="130"/>
            </w:tcMar>
          </w:tcPr>
          <w:p>
            <w:pPr>
              <w:spacing w:after="0" w:line="280"/>
              <w:jc w:val="left"/>
            </w:pPr>
            <w:r>
              <w:rPr>
                <w:rFonts w:ascii="Poppins" w:cs="Poppins" w:eastAsia="Poppins" w:hAnsi="Poppins"/>
                <w:b/>
                <w:bCs/>
                <w:color w:val="2A2E52"/>
                <w:sz w:val="19"/>
                <w:szCs w:val="19"/>
              </w:rPr>
              <w:t xml:space="preserve">Single sign-on</w:t>
            </w:r>
          </w:p>
        </w:tc>
        <w:tc>
          <w:tcPr>
            <w:tcW w:type="dxa" w:w="3791"/>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None</w:t>
            </w:r>
          </w:p>
        </w:tc>
        <w:tc>
          <w:tcPr>
            <w:tcW w:type="dxa" w:w="1805"/>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Uses Seplat’s existing Microsoft licensing. Development effort only.</w:t>
            </w:r>
          </w:p>
        </w:tc>
      </w:tr>
      <w:tr>
        <w:tc>
          <w:tcPr>
            <w:tcW w:type="dxa" w:w="3430"/>
            <w:tcMar>
              <w:top w:type="dxa" w:w="100"/>
              <w:left w:type="dxa" w:w="130"/>
              <w:bottom w:type="dxa" w:w="100"/>
              <w:right w:type="dxa" w:w="130"/>
            </w:tcMar>
          </w:tcPr>
          <w:p>
            <w:pPr>
              <w:spacing w:after="0" w:line="280"/>
              <w:jc w:val="left"/>
            </w:pPr>
            <w:r>
              <w:rPr>
                <w:rFonts w:ascii="Poppins" w:cs="Poppins" w:eastAsia="Poppins" w:hAnsi="Poppins"/>
                <w:b/>
                <w:bCs/>
                <w:color w:val="2A2E52"/>
                <w:sz w:val="19"/>
                <w:szCs w:val="19"/>
              </w:rPr>
              <w:t xml:space="preserve">Claude commentary drafting</w:t>
            </w:r>
          </w:p>
        </w:tc>
        <w:tc>
          <w:tcPr>
            <w:tcW w:type="dxa" w:w="3791"/>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Usage-based, low</w:t>
            </w:r>
          </w:p>
        </w:tc>
        <w:tc>
          <w:tcPr>
            <w:tcW w:type="dxa" w:w="1805"/>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Only charged when a narrative draft is requested. Optional, and no longer required by any export.</w:t>
            </w:r>
          </w:p>
        </w:tc>
      </w:tr>
      <w:tr>
        <w:tc>
          <w:tcPr>
            <w:tcW w:type="dxa" w:w="3430"/>
            <w:tcMar>
              <w:top w:type="dxa" w:w="100"/>
              <w:left w:type="dxa" w:w="130"/>
              <w:bottom w:type="dxa" w:w="100"/>
              <w:right w:type="dxa" w:w="130"/>
            </w:tcMar>
          </w:tcPr>
          <w:p>
            <w:pPr>
              <w:spacing w:after="0" w:line="280"/>
              <w:jc w:val="left"/>
            </w:pPr>
            <w:r>
              <w:rPr>
                <w:rFonts w:ascii="Poppins" w:cs="Poppins" w:eastAsia="Poppins" w:hAnsi="Poppins"/>
                <w:b/>
                <w:bCs/>
                <w:color w:val="2A2E52"/>
                <w:sz w:val="19"/>
                <w:szCs w:val="19"/>
              </w:rPr>
              <w:t xml:space="preserve">Media monitoring — phase one</w:t>
            </w:r>
          </w:p>
        </w:tc>
        <w:tc>
          <w:tcPr>
            <w:tcW w:type="dxa" w:w="3791"/>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None</w:t>
            </w:r>
          </w:p>
        </w:tc>
        <w:tc>
          <w:tcPr>
            <w:tcW w:type="dxa" w:w="1805"/>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Built. Free press and web sources; no subscription, account or API key.</w:t>
            </w:r>
          </w:p>
        </w:tc>
      </w:tr>
      <w:tr>
        <w:tc>
          <w:tcPr>
            <w:tcW w:type="dxa" w:w="3430"/>
            <w:tcMar>
              <w:top w:type="dxa" w:w="100"/>
              <w:left w:type="dxa" w:w="130"/>
              <w:bottom w:type="dxa" w:w="100"/>
              <w:right w:type="dxa" w:w="130"/>
            </w:tcMar>
          </w:tcPr>
          <w:p>
            <w:pPr>
              <w:spacing w:after="0" w:line="280"/>
              <w:jc w:val="left"/>
            </w:pPr>
            <w:r>
              <w:rPr>
                <w:rFonts w:ascii="Poppins" w:cs="Poppins" w:eastAsia="Poppins" w:hAnsi="Poppins"/>
                <w:b/>
                <w:bCs/>
                <w:color w:val="2A2E52"/>
                <w:sz w:val="19"/>
                <w:szCs w:val="19"/>
              </w:rPr>
              <w:t xml:space="preserve">Media monitoring — phase two</w:t>
            </w:r>
          </w:p>
        </w:tc>
        <w:tc>
          <w:tcPr>
            <w:tcW w:type="dxa" w:w="3791"/>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A few hundred US dollars per month</w:t>
            </w:r>
          </w:p>
        </w:tc>
        <w:tc>
          <w:tcPr>
            <w:tcW w:type="dxa" w:w="1805"/>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Adds social media and hashtag tracking. Higher if Seplat wants Nigerian print and broadcast coverage.</w:t>
            </w:r>
          </w:p>
        </w:tc>
      </w:tr>
    </w:tbl>
    <w:p>
      <w:pPr>
        <w:spacing w:after="220"/>
      </w:pPr>
    </w:p>
    <w:tbl>
      <w:tblPr>
        <w:tblW w:type="dxa" w:w="9026"/>
        <w:tblBorders>
          <w:top w:val="none" w:color="FFFFFF" w:sz="0"/>
          <w:left w:val="single" w:color="E31A38" w:sz="12"/>
          <w:bottom w:val="none" w:color="FFFFFF" w:sz="0"/>
          <w:right w:val="none" w:color="FFFFFF" w:sz="0"/>
          <w:insideH w:val="none" w:color="FFFFFF" w:sz="0"/>
          <w:insideV w:val="none" w:color="FFFFFF" w:sz="0"/>
        </w:tblBorders>
      </w:tblPr>
      <w:tblGrid>
        <w:gridCol w:w="9026"/>
      </w:tblGrid>
      <w:tr>
        <w:tc>
          <w:tcPr>
            <w:tcW w:type="dxa" w:w="9026"/>
            <w:shd w:fill="F7F4EC" w:color="auto" w:val="clear"/>
            <w:tcMar>
              <w:top w:type="dxa" w:w="160"/>
              <w:left w:type="dxa" w:w="200"/>
              <w:bottom w:type="dxa" w:w="160"/>
              <w:right w:type="dxa" w:w="200"/>
            </w:tcMar>
          </w:tcPr>
          <w:p>
            <w:pPr>
              <w:spacing w:after="0" w:line="300"/>
              <w:jc w:val="both"/>
            </w:pPr>
            <w:r>
              <w:rPr>
                <w:rFonts w:ascii="Poppins" w:cs="Poppins" w:eastAsia="Poppins" w:hAnsi="Poppins"/>
                <w:color w:val="4A3A22"/>
                <w:sz w:val="20"/>
                <w:szCs w:val="20"/>
              </w:rPr>
              <w:t xml:space="preserve">Figures are indicative and should be confirmed against current vendor pricing before being quoted. The only recurring third-party cost of any size is media monitoring, and only if social coverage is required — no amount of engineering removes that, since the major platforms release mention data solely through licensed partners.</w:t>
            </w:r>
          </w:p>
        </w:tc>
      </w:tr>
    </w:tbl>
    <w:p>
      <w:pPr>
        <w:spacing w:after="180"/>
      </w:pPr>
    </w:p>
    <w:p>
      <w:pPr>
        <w:pStyle w:val="Heading1"/>
        <w:spacing w:after="180" w:before="380"/>
      </w:pPr>
      <w:r>
        <w:rPr>
          <w:rFonts w:ascii="Poppins" w:cs="Poppins" w:eastAsia="Poppins" w:hAnsi="Poppins"/>
          <w:b/>
          <w:bCs/>
          <w:color w:val="111C55"/>
          <w:sz w:val="28"/>
          <w:szCs w:val="28"/>
        </w:rPr>
        <w:t xml:space="preserve">Recommended next step</w:t>
      </w:r>
    </w:p>
    <w:p>
      <w:pPr>
        <w:spacing w:after="160" w:line="300"/>
        <w:jc w:val="both"/>
      </w:pPr>
      <w:r>
        <w:rPr>
          <w:rFonts w:ascii="Poppins" w:cs="Poppins" w:eastAsia="Poppins" w:hAnsi="Poppins"/>
          <w:color w:val="2A2E52"/>
          <w:sz w:val="21"/>
          <w:szCs w:val="21"/>
        </w:rPr>
        <w:t xml:space="preserve">Settle hosting. Everything else either follows from it or can run alongside it. Media monitoring phase one is already built and needs nothing from Seplat.</w:t>
      </w:r>
    </w:p>
    <w:sectPr>
      <w:footerReference w:type="default" r:id="rId8"/>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Poppins" w:cs="Poppins" w:eastAsia="Poppins" w:hAnsi="Poppins"/>
        <w:color w:val="6B6E86"/>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SPIMS — Progress Note</dc:title>
  <dc:creator>Teasoo Consulting</dc:creator>
  <dc:description>Social Performance &amp; Impact Management System — status report v1.6</dc:description>
  <cp:lastModifiedBy>Un-named</cp:lastModifiedBy>
  <cp:revision>1</cp:revision>
  <dcterms:created xsi:type="dcterms:W3CDTF">2026-10-13T15:09:47.872Z</dcterms:created>
  <dcterms:modified xsi:type="dcterms:W3CDTF">2026-10-13T15:09:47.872Z</dcterms:modified>
</cp:coreProperties>
</file>

<file path=docProps/custom.xml><?xml version="1.0" encoding="utf-8"?>
<Properties xmlns="http://schemas.openxmlformats.org/officeDocument/2006/custom-properties" xmlns:vt="http://schemas.openxmlformats.org/officeDocument/2006/docPropsVTypes"/>
</file>