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Executive dashboard figures are all calculated from the recorded portfolio — investment, reach and impact, spend by pillar and state, who benefited, delivery risk and target progress. Compliance and community satisfaction are no longer shown as numbers: nothing feeds them, so the screen names what would have to be connected.</w:t>
      </w:r>
    </w:p>
    <w:p>
      <w:pPr>
        <w:pStyle w:val="ListParagraph"/>
        <w:numPr>
          <w:ilvl w:val="0"/>
          <w:numId w:val="1"/>
        </w:numPr>
        <w:spacing w:after="90" w:line="290"/>
        <w:jc w:val="left"/>
      </w:pPr>
      <w:r>
        <w:rPr>
          <w:rFonts w:ascii="Poppins" w:cs="Poppins" w:eastAsia="Poppins" w:hAnsi="Poppins"/>
          <w:color w:val="2A2E52"/>
          <w:sz w:val="21"/>
          <w:szCs w:val="21"/>
        </w:rPr>
        <w:t xml:space="preserve">Social return on investment, calculated for every programme from its own spend and beneficiary count by the standard method, reported as a range with its assumptions shown, and marked illustrative until Seplat’s M&amp;E function agrees the four proxy values.</w:t>
      </w:r>
    </w:p>
    <w:p>
      <w:pPr>
        <w:pStyle w:val="ListParagraph"/>
        <w:numPr>
          <w:ilvl w:val="0"/>
          <w:numId w:val="1"/>
        </w:numPr>
        <w:spacing w:after="90" w:line="290"/>
        <w:jc w:val="left"/>
      </w:pPr>
      <w:r>
        <w:rPr>
          <w:rFonts w:ascii="Poppins" w:cs="Poppins" w:eastAsia="Poppins" w:hAnsi="Poppins"/>
          <w:color w:val="2A2E52"/>
          <w:sz w:val="21"/>
          <w:szCs w:val="21"/>
        </w:rPr>
        <w:t xml:space="preserve">Every project page states how complete its record is and which spreadsheet column fills each gap.</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agreement on what a year of each outcome is worth. The calculation is built and running</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v1.7</dc:description>
  <cp:lastModifiedBy>Un-named</cp:lastModifiedBy>
  <cp:revision>1</cp:revision>
  <dcterms:created xsi:type="dcterms:W3CDTF">2026-10-13T15:53:30.951Z</dcterms:created>
  <dcterms:modified xsi:type="dcterms:W3CDTF">2026-10-13T15:53:30.951Z</dcterms:modified>
</cp:coreProperties>
</file>

<file path=docProps/custom.xml><?xml version="1.0" encoding="utf-8"?>
<Properties xmlns="http://schemas.openxmlformats.org/officeDocument/2006/custom-properties" xmlns:vt="http://schemas.openxmlformats.org/officeDocument/2006/docPropsVTypes"/>
</file>