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2.1  ·  13 October 2026  ·  build 9f2fbf2</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 dashboard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Leads with figures that mean the same thing in every sector — people served, communities reached, programmes with a recorded result — rather than a card per programme, which reads as a summary when there is one project and as an arbitrary pick of three when there are forty. Each programme’s own words are carried underneath. Every figure on it is calculated from the programmes recorded in the system — social investment and recorded spend, reach and impact, the spend split by pillar and by state, who benefited, delivery risk, progress against the targets that have been set, and the portfolio social return. Add or change a programme and they move. Each of those was previously a constant written into the screen.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Calculated for every programme with recorded spend and a beneficiary count, by Social Value International’s method, and reported as a range rather than a single number. The proxy, each deduction and the full arithmetic are shown beside the figure, so a reader can disagree with a specific assumption instead of the whole result. Marked illustrative until Seplat’s M&amp;E function agrees the proxies.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What a project still needs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Each project page states how complete its record is, which fields are missing, and the exact spreadsheet column that fills each one — so a thin upload is visible as thin rather than displayed as though it were a full record.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Every figure on the executive dashboard is computed from the recorded portfolio, and the check that enforces it reads the screen’s own source back to confirm no figure has been written into it.</w:t>
      </w:r>
    </w:p>
    <w:p>
      <w:pPr>
        <w:pStyle w:val="ListParagraph"/>
        <w:numPr>
          <w:ilvl w:val="0"/>
          <w:numId w:val="1"/>
        </w:numPr>
        <w:spacing w:after="90" w:line="290"/>
        <w:jc w:val="left"/>
      </w:pPr>
      <w:r>
        <w:rPr>
          <w:rFonts w:ascii="Poppins" w:cs="Poppins" w:eastAsia="Poppins" w:hAnsi="Poppins"/>
          <w:color w:val="2A2E52"/>
          <w:sz w:val="21"/>
          <w:szCs w:val="21"/>
        </w:rPr>
        <w:t xml:space="preserve">The four breakdown columns the completion template asks for — female, male, under 35, living with a disability — are stored and reported. They were collected and discarded on the way in, and the dashboard’s "who benefited" panel was four invented percentages.</w:t>
      </w:r>
    </w:p>
    <w:p>
      <w:pPr>
        <w:pStyle w:val="ListParagraph"/>
        <w:numPr>
          <w:ilvl w:val="0"/>
          <w:numId w:val="1"/>
        </w:numPr>
        <w:spacing w:after="90" w:line="290"/>
        <w:jc w:val="left"/>
      </w:pPr>
      <w:r>
        <w:rPr>
          <w:rFonts w:ascii="Poppins" w:cs="Poppins" w:eastAsia="Poppins" w:hAnsi="Poppins"/>
          <w:color w:val="2A2E52"/>
          <w:sz w:val="21"/>
          <w:szCs w:val="21"/>
        </w:rPr>
        <w:t xml:space="preserve">A completion file carrying a date_completed marks its project complete and sets progress to 100%; a blank one leaves both alone, so a project recording interim results is not closed by accident.</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Now calculated from live data by the standard method — Social Value International’s: a financial proxy for the outcome, less deadweight, attribution and drop-off, discounted to today’s money and divided by recorded spend. The method is settled; the proxies are placeholders, because Seplat’s published 2025 report contains no return-on-investment figure or methodology to anchor them to. Every figure is marked ILLUSTRATIVE and shows its proxy, its deductions and its arithmetic, and all four proxies live in one file for M&amp;E to replace.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longer shown as figures. SPIMS holds no compliance data and had nothing to check against, so the dashboard now names what each framework would need connected — the trust’s funding position from finance, contractor local-hire data from procurement, the sustainability team’s disclosure register — rather than reporting a tally nobody could trace.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satisfaction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Removed. Nothing in the system collects it, and it was displayed as a percentage on the executive dashboard.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Validated SROI proxies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The calculation is built and running; what it needs is agreed values for what a year of each outcome is worth — four numbers in one file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the compliance framework and its source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SROI is now computed rather than left blank: the standard method, applied to each programme’s own recorded spend and beneficiary count, shown with its proxy, its deductions and its arithmetic, and marked illustrative. Recommendation: leave the aggregation rules until Seplat sets them, and treat the social return figures as internal until M&amp;E agrees the four proxy values — the calculation will not change when they do, only its inputs.</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agreement on what a year of each outcome is worth, per pillar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 rather than illustrative. The calculation is already built — this replaces four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v2.1</dc:description>
  <cp:lastModifiedBy>Un-named</cp:lastModifiedBy>
  <cp:revision>1</cp:revision>
  <dcterms:created xsi:type="dcterms:W3CDTF">2026-10-13T15:53:30.764Z</dcterms:created>
  <dcterms:modified xsi:type="dcterms:W3CDTF">2026-10-13T15:53:30.764Z</dcterms:modified>
</cp:coreProperties>
</file>

<file path=docProps/custom.xml><?xml version="1.0" encoding="utf-8"?>
<Properties xmlns="http://schemas.openxmlformats.org/officeDocument/2006/custom-properties" xmlns:vt="http://schemas.openxmlformats.org/officeDocument/2006/docPropsVTypes"/>
</file>