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1.0  ·  9 September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including a project completion template.</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structure;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infrastructure or hosting approval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social mention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Phase one can start now; phase two needs a budget decision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 preserving charts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IT — approval of the AI service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validation of the financial proxies</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Three, all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This is the single highest-value step — it converts the system from something demonstrated into something in use, and unblocks four later items.</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pStyle w:val="ListParagraph"/>
        <w:numPr>
          <w:ilvl w:val="0"/>
          <w:numId w:val="1"/>
        </w:numPr>
        <w:spacing w:after="90" w:line="290"/>
        <w:jc w:val="left"/>
      </w:pPr>
      <w:r>
        <w:rPr>
          <w:rFonts w:ascii="Poppins" w:cs="Poppins" w:eastAsia="Poppins" w:hAnsi="Poppins"/>
          <w:color w:val="2A2E52"/>
          <w:sz w:val="21"/>
          <w:szCs w:val="21"/>
        </w:rPr>
        <w:t xml:space="preserve">No decision on the AI service used for report generation. Until Seplat IT rules on it, PowerPoint generation cannot proceed. The feature can be left disabled indefinitely without affecting anything else.</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report generation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report preview is generated. Optional.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and web sources.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In the meantime we can begin media monitoring phase one, which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v1.0</dc:description>
  <cp:lastModifiedBy>Un-named</cp:lastModifiedBy>
  <cp:revision>1</cp:revision>
  <dcterms:created xsi:type="dcterms:W3CDTF">2026-09-09T08:00:19.833Z</dcterms:created>
  <dcterms:modified xsi:type="dcterms:W3CDTF">2026-09-09T08:00:19.833Z</dcterms:modified>
</cp:coreProperties>
</file>

<file path=docProps/custom.xml><?xml version="1.0" encoding="utf-8"?>
<Properties xmlns="http://schemas.openxmlformats.org/officeDocument/2006/custom-properties" xmlns:vt="http://schemas.openxmlformats.org/officeDocument/2006/docPropsVTypes"/>
</file>