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1.2  ·  9 September 2026  ·  build faa4a42</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Exports carry the compiled content, the selected programmes and the financial year, in PDF,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PowerPoint export preserving charts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Seplat IT approval of the AI used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Seplat confirmed the PDF export is satisfactory and asked that PowerPoint preserve charts as graphics rather than flattened text. Options are to keep the current outline, to generate a genuine PowerPoint file with chart images rendered server-side, or to populate a Seplat-supplied template. Recommendation: generate a real file with rendered charts, and ask Seplat for their own deck template so the output arrives already in their house style.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generation and continued use of the report preview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 with charts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IT decision on AI; ideally their deck template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7</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v1.2</dc:description>
  <cp:lastModifiedBy>Un-named</cp:lastModifiedBy>
  <cp:revision>1</cp:revision>
  <dcterms:created xsi:type="dcterms:W3CDTF">2026-09-09T08:00:19.726Z</dcterms:created>
  <dcterms:modified xsi:type="dcterms:W3CDTF">2026-09-09T08:00:19.726Z</dcterms:modified>
</cp:coreProperties>
</file>

<file path=docProps/custom.xml><?xml version="1.0" encoding="utf-8"?>
<Properties xmlns="http://schemas.openxmlformats.org/officeDocument/2006/custom-properties" xmlns:vt="http://schemas.openxmlformats.org/officeDocument/2006/docPropsVTypes"/>
</file>