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1.6  ·  13 October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Social return on investment, calculated for every programme from its own spend and beneficiary count by the standard method, reported as a range with its assumptions shown, and marked illustrative until Seplat’s M&amp;E function agrees the four proxy values.</w:t>
      </w:r>
    </w:p>
    <w:p>
      <w:pPr>
        <w:pStyle w:val="ListParagraph"/>
        <w:numPr>
          <w:ilvl w:val="0"/>
          <w:numId w:val="1"/>
        </w:numPr>
        <w:spacing w:after="90" w:line="290"/>
        <w:jc w:val="left"/>
      </w:pPr>
      <w:r>
        <w:rPr>
          <w:rFonts w:ascii="Poppins" w:cs="Poppins" w:eastAsia="Poppins" w:hAnsi="Poppins"/>
          <w:color w:val="2A2E52"/>
          <w:sz w:val="21"/>
          <w:szCs w:val="21"/>
        </w:rPr>
        <w:t xml:space="preserve">Every project page states how complete its record is and which spreadsheet column fills each gap.</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A finished project can be entered from two spreadsheets — its master data and its completion record — and appears in the portfolio, on its own page and in its report, with utilisation taken from the spend the file records.</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counts and activity logs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 The other three upload types already write through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figures becoming externally reportable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agreement on what a year of each outcome is worth. The calculation is built and running</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v1.6</dc:description>
  <cp:lastModifiedBy>Un-named</cp:lastModifiedBy>
  <cp:revision>1</cp:revision>
  <dcterms:created xsi:type="dcterms:W3CDTF">2026-10-13T15:10:43.824Z</dcterms:created>
  <dcterms:modified xsi:type="dcterms:W3CDTF">2026-10-13T15:10:43.824Z</dcterms:modified>
</cp:coreProperties>
</file>

<file path=docProps/custom.xml><?xml version="1.0" encoding="utf-8"?>
<Properties xmlns="http://schemas.openxmlformats.org/officeDocument/2006/custom-properties" xmlns:vt="http://schemas.openxmlformats.org/officeDocument/2006/docPropsVTypes"/>
</file>