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1.7  ·  13 October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Executive dashboard figures are all calculated from the recorded portfolio — investment, reach and impact, spend by pillar and state, who benefited, delivery risk and target progress. Compliance and community satisfaction are no longer shown as numbers: nothing feeds them, so the screen names what would have to be connected.</w:t>
      </w:r>
    </w:p>
    <w:p>
      <w:pPr>
        <w:pStyle w:val="ListParagraph"/>
        <w:numPr>
          <w:ilvl w:val="0"/>
          <w:numId w:val="1"/>
        </w:numPr>
        <w:spacing w:after="90" w:line="290"/>
        <w:jc w:val="left"/>
      </w:pPr>
      <w:r>
        <w:rPr>
          <w:rFonts w:ascii="Poppins" w:cs="Poppins" w:eastAsia="Poppins" w:hAnsi="Poppins"/>
          <w:color w:val="2A2E52"/>
          <w:sz w:val="21"/>
          <w:szCs w:val="21"/>
        </w:rPr>
        <w:t xml:space="preserve">Social return on investment, calculated for every programme from its own spend and beneficiary count by the standard method, reported as a range with its assumptions shown, and marked illustrative until Seplat’s M&amp;E function agrees the four proxy values.</w:t>
      </w:r>
    </w:p>
    <w:p>
      <w:pPr>
        <w:pStyle w:val="ListParagraph"/>
        <w:numPr>
          <w:ilvl w:val="0"/>
          <w:numId w:val="1"/>
        </w:numPr>
        <w:spacing w:after="90" w:line="290"/>
        <w:jc w:val="left"/>
      </w:pPr>
      <w:r>
        <w:rPr>
          <w:rFonts w:ascii="Poppins" w:cs="Poppins" w:eastAsia="Poppins" w:hAnsi="Poppins"/>
          <w:color w:val="2A2E52"/>
          <w:sz w:val="21"/>
          <w:szCs w:val="21"/>
        </w:rPr>
        <w:t xml:space="preserve">Every project page states how complete its record is and which spreadsheet column fills each gap.</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A finished project can be entered from two spreadsheets — its master data and its completion record — and appears in the portfolio, on its own page and in its report, with utilisation taken from the spend the file records.</w:t>
      </w:r>
    </w:p>
    <w:p>
      <w:pPr>
        <w:pStyle w:val="ListParagraph"/>
        <w:numPr>
          <w:ilvl w:val="0"/>
          <w:numId w:val="1"/>
        </w:numPr>
        <w:spacing w:after="90" w:line="290"/>
        <w:jc w:val="left"/>
      </w:pPr>
      <w:r>
        <w:rPr>
          <w:rFonts w:ascii="Poppins" w:cs="Poppins" w:eastAsia="Poppins" w:hAnsi="Poppins"/>
          <w:color w:val="2A2E52"/>
          <w:sz w:val="21"/>
          <w:szCs w:val="21"/>
        </w:rPr>
        <w:t xml:space="preserve">Media and web mention monitoring, using free sources only — press and web coverage collected automatically, de-duplicated, and reviewed by a person before it counts. No subscription required.</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Every report surface produces the same designed document — including the report downloaded from a programme’s own page, which previously came out as a single page of plain text.</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 to Vercel with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a Vercel account and a database account, both in Seplat’s name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budget decision. Press and web monitoring is built and running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Beneficiary counts and activity logs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 The other three upload types already write through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figures becoming externally reportable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agreement on what a year of each outcome is worth. The calculation is built and running</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Seplat has chosen Vercel with a managed PostgreSQL database, which removes the infrastructure work entirely; what is needed now is the two accounts. Worth noting plainly: under managed hosting the data sits with those providers rather than on Seplat infrastructure, so it is a decision for information security as well as for IT. Moving onto Seplat’s own servers later is a database restore, not a rewrite.</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Built. Free press and web sources; no subscription, account or API key.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Media monitoring phase one is already built and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v1.7</dc:description>
  <cp:lastModifiedBy>Un-named</cp:lastModifiedBy>
  <cp:revision>1</cp:revision>
  <dcterms:created xsi:type="dcterms:W3CDTF">2026-10-13T15:42:17.968Z</dcterms:created>
  <dcterms:modified xsi:type="dcterms:W3CDTF">2026-10-13T15:42:17.968Z</dcterms:modified>
</cp:coreProperties>
</file>

<file path=docProps/custom.xml><?xml version="1.0" encoding="utf-8"?>
<Properties xmlns="http://schemas.openxmlformats.org/officeDocument/2006/custom-properties" xmlns:vt="http://schemas.openxmlformats.org/officeDocument/2006/docPropsVTypes"/>
</file>