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2.1  ·  13 October 2026  ·  build 3b656ec</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23 tables covering programmes, impact chains, communities, stakeholders, tasks, approvals, targets, spend, reports, uploads and media coverage. Schema changes are versioned migrations, applied deliberately as part of a release rather than as a side effect of 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48 API endpoints, all authenticated. Written as hosting-agnostic handlers called by a single adapter, so managed hosting runs the same application as a Seplat-hosted install rather than a second implementation of it.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Alerts on coverage that matters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watchlist of named rules. A newly collected story matching one is posted to Microsoft Teams or Slack when it is found, rather than waiting for somebody to open the screen. Rules are deliberately narrow — everything else still arrives in the queue — because alerting on all coverage teaches people to ignore the alerts. A webhook that stops working reports itself on the screen instead of failing silently.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queue that stays current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review screen refreshes itself while it is open and marks what has arrived since it was opened, so a story collected during a meeting is visible by the end of it rather than on the next reload.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 dashboard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figure on it is calculated from the programmes recorded in the system — social investment and recorded spend, reach and impact, the spend split by pillar and by state, who benefited, delivery risk, progress against the targets that have been set, and the portfolio social return. Add or change a programme and they move. Each of those was previously a constant written into the screen.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Calculated for every programme with recorded spend and a beneficiary count, by Social Value International’s method, and reported as a range rather than a single number. The proxy, each deduction and the full arithmetic are shown beside the figure, so a reader can disagree with a specific assumption instead of the whole result. Marked illustrative until Seplat’s M&amp;E function agrees the proxies.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What a project still needs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Each project page states how complete its record is, which fields are missing, and the exact spreadsheet column that fills each one — so a thin upload is visible as thin rather than displayed as though it were a full record.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five downloadable templates, server-side validation and parsing, and an audit record of every upload. Financial spend, project master data and project completion write straight into live records; beneficiary counts and activity logs are validated and logged only, and the upload says which of the two it did rather than implying a review that does not exist.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 and the three templates that write through are verified by reading the stored records back — a message saying a file was received is not evidence that anything was stored.</w:t>
      </w:r>
    </w:p>
    <w:p>
      <w:pPr>
        <w:pStyle w:val="ListParagraph"/>
        <w:numPr>
          <w:ilvl w:val="0"/>
          <w:numId w:val="1"/>
        </w:numPr>
        <w:spacing w:after="90" w:line="290"/>
        <w:jc w:val="left"/>
      </w:pPr>
      <w:r>
        <w:rPr>
          <w:rFonts w:ascii="Poppins" w:cs="Poppins" w:eastAsia="Poppins" w:hAnsi="Poppins"/>
          <w:color w:val="2A2E52"/>
          <w:sz w:val="21"/>
          <w:szCs w:val="21"/>
        </w:rPr>
        <w:t xml:space="preserve">A project completion file sets the project’s utilisation from its recorded spend against the budget entered with the master data. Progress and status are left for a person, because a completion record does not decide that a project is finished.</w:t>
      </w:r>
    </w:p>
    <w:p>
      <w:pPr>
        <w:pStyle w:val="ListParagraph"/>
        <w:numPr>
          <w:ilvl w:val="0"/>
          <w:numId w:val="1"/>
        </w:numPr>
        <w:spacing w:after="90" w:line="290"/>
        <w:jc w:val="left"/>
      </w:pPr>
      <w:r>
        <w:rPr>
          <w:rFonts w:ascii="Poppins" w:cs="Poppins" w:eastAsia="Poppins" w:hAnsi="Poppins"/>
          <w:color w:val="2A2E52"/>
          <w:sz w:val="21"/>
          <w:szCs w:val="21"/>
        </w:rPr>
        <w:t xml:space="preserve">Every figure on the executive dashboard is computed from the recorded portfolio, and the check that enforces it reads the screen’s own source back to confirm no figure has been written into it.</w:t>
      </w:r>
    </w:p>
    <w:p>
      <w:pPr>
        <w:pStyle w:val="ListParagraph"/>
        <w:numPr>
          <w:ilvl w:val="0"/>
          <w:numId w:val="1"/>
        </w:numPr>
        <w:spacing w:after="90" w:line="290"/>
        <w:jc w:val="left"/>
      </w:pPr>
      <w:r>
        <w:rPr>
          <w:rFonts w:ascii="Poppins" w:cs="Poppins" w:eastAsia="Poppins" w:hAnsi="Poppins"/>
          <w:color w:val="2A2E52"/>
          <w:sz w:val="21"/>
          <w:szCs w:val="21"/>
        </w:rPr>
        <w:t xml:space="preserve">The four breakdown columns the completion template asks for — female, male, under 35, living with a disability — are stored and reported. They were collected and discarded on the way in, and the dashboard’s "who benefited" panel was four invented percentages.</w:t>
      </w:r>
    </w:p>
    <w:p>
      <w:pPr>
        <w:pStyle w:val="ListParagraph"/>
        <w:numPr>
          <w:ilvl w:val="0"/>
          <w:numId w:val="1"/>
        </w:numPr>
        <w:spacing w:after="90" w:line="290"/>
        <w:jc w:val="left"/>
      </w:pPr>
      <w:r>
        <w:rPr>
          <w:rFonts w:ascii="Poppins" w:cs="Poppins" w:eastAsia="Poppins" w:hAnsi="Poppins"/>
          <w:color w:val="2A2E52"/>
          <w:sz w:val="21"/>
          <w:szCs w:val="21"/>
        </w:rPr>
        <w:t xml:space="preserve">A completion file carrying a date_completed marks its project complete and sets progress to 100%; a blank one leaves both alone, so a project recording interim results is not closed by accident.</w:t>
      </w:r>
    </w:p>
    <w:p>
      <w:pPr>
        <w:pStyle w:val="ListParagraph"/>
        <w:numPr>
          <w:ilvl w:val="0"/>
          <w:numId w:val="1"/>
        </w:numPr>
        <w:spacing w:after="90" w:line="290"/>
        <w:jc w:val="left"/>
      </w:pPr>
      <w:r>
        <w:rPr>
          <w:rFonts w:ascii="Poppins" w:cs="Poppins" w:eastAsia="Poppins" w:hAnsi="Poppins"/>
          <w:color w:val="2A2E52"/>
          <w:sz w:val="21"/>
          <w:szCs w:val="21"/>
        </w:rPr>
        <w:t xml:space="preserve">A figure nobody has recorded is shown as not recorded rather than as zero — utilisation, progress, SROI and cost per outcome each say why they are empty. The two claims are different, and the interface used to make them look identical.</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Now calculated from live data by the standard method — Social Value International’s: a financial proxy for the outcome, less deadweight, attribution and drop-off, discounted to today’s money and divided by recorded spend. The method is settled; the proxies are placeholders, because Seplat’s published 2025 report contains no return-on-investment figure or methodology to anchor them to. Every figure is marked ILLUSTRATIVE and shows its proxy, its deductions and its arithmetic, and all four proxies live in one file for M&amp;E to replace.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longer shown as figures. SPIMS holds no compliance data and had nothing to check against, so the dashboard now names what each framework would need connected — the trust’s funding position from finance, contractor local-hire data from procurement, the sustainability team’s disclosure register — rather than reporting a tally nobody could trace.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satisfaction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Removed. Nothing in the system collects it, and it was displayed as a percentage on the executive dashboard.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The deployment configuration has been corrected and verified against the platform’s actual constraints; it now needs the two accounts and their credentials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Beneficiary counts and activity logs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 Spend, project master data and completion files already write through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Validated SROI proxies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The calculation is built and running; what it needs is agreed values for what a year of each outcome is worth — four numbers in one file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the compliance framework and its source data</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project master data and project completion files write to live records: a completed project can now be entered from two spreadsheets and appears in the portfolio, on its own page and in its report. Beneficiary counts and activity logs are validated and logged only, because writing them safely requires a rule Seplat must set: whether a new figure replaces a running total or adds to it. SROI is now computed rather than left blank: the standard method, applied to each programme’s own recorded spend and beneficiary count, shown with its proxy, its deductions and its arithmetic, and marked illustrative. Recommendation: leave the aggregation rules until Seplat sets them, and treat the social return figures as internal until M&amp;E agrees the four proxy values — the calculation will not change when they do, only its inputs.</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on the Pro tier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Pro rather than the free tier is not a capacity judgement: Vercel’s terms restrict the free tier to non-commercial personal projects, and it also limits scheduled media collection to one run a day.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last two upload types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agreement on what a year of each outcome is worth, per pillar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figures becoming externally reportable rather than illustrative. The calculation is already built — this replaces four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and activity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v2.1</dc:description>
  <cp:lastModifiedBy>Un-named</cp:lastModifiedBy>
  <cp:revision>1</cp:revision>
  <dcterms:created xsi:type="dcterms:W3CDTF">2026-10-13T15:42:17.818Z</dcterms:created>
  <dcterms:modified xsi:type="dcterms:W3CDTF">2026-10-13T15:42:17.819Z</dcterms:modified>
</cp:coreProperties>
</file>

<file path=docProps/custom.xml><?xml version="1.0" encoding="utf-8"?>
<Properties xmlns="http://schemas.openxmlformats.org/officeDocument/2006/custom-properties" xmlns:vt="http://schemas.openxmlformats.org/officeDocument/2006/docPropsVTypes"/>
</file>