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1.7  ·  11 September 2026  ·  build 9ce26d7</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32 API endpoints, all authenticated. Written as hosting-agnostic handlers so the same logic runs self-hosted or serverless without a second implementation.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The deployment configuration has been corrected and verified against the platform’s actual constraints; it now needs the two accounts and their credentials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on the Pro tier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Pro rather than the free tier is not a capacity judgement: Vercel’s terms restrict the free tier to non-commercial personal projects, and it also limits scheduled media collection to one run a day.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v1.7</dc:description>
  <cp:lastModifiedBy>Un-named</cp:lastModifiedBy>
  <cp:revision>1</cp:revision>
  <dcterms:created xsi:type="dcterms:W3CDTF">2026-09-11T11:28:16.646Z</dcterms:created>
  <dcterms:modified xsi:type="dcterms:W3CDTF">2026-09-11T11:28:16.646Z</dcterms:modified>
</cp:coreProperties>
</file>

<file path=docProps/custom.xml><?xml version="1.0" encoding="utf-8"?>
<Properties xmlns="http://schemas.openxmlformats.org/officeDocument/2006/custom-properties" xmlns:vt="http://schemas.openxmlformats.org/officeDocument/2006/docPropsVTypes"/>
</file>