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line="460" w:lineRule="exact"/>
      </w:pPr>
      <w:r>
        <w:rPr>
          <w:rFonts w:ascii="Poppins" w:cs="Poppins" w:eastAsia="Poppins" w:hAnsi="Poppins"/>
          <w:b/>
          <w:bCs/>
          <w:color w:val="111C55"/>
          <w:sz w:val="44"/>
          <w:szCs w:val="44"/>
        </w:rPr>
        <w:t xml:space="preserve">SPIMS — Project Status Report</w:t>
      </w:r>
    </w:p>
    <w:p>
      <w:pPr>
        <w:spacing w:after="420"/>
      </w:pPr>
      <w:r>
        <w:rPr>
          <w:rFonts w:ascii="Poppins" w:cs="Poppins" w:eastAsia="Poppins" w:hAnsi="Poppins"/>
          <w:color w:val="6B6E86"/>
          <w:sz w:val="24"/>
          <w:szCs w:val="24"/>
        </w:rPr>
        <w:t xml:space="preserve">Social Performance &amp; Impact Management System</w:t>
      </w:r>
    </w:p>
    <w:p>
      <w:pPr>
        <w:spacing w:after="60"/>
      </w:pPr>
      <w:r>
        <w:rPr>
          <w:rFonts w:ascii="Poppins" w:cs="Poppins" w:eastAsia="Poppins" w:hAnsi="Poppins"/>
          <w:color w:val="2A2E52"/>
          <w:sz w:val="21"/>
          <w:szCs w:val="21"/>
        </w:rPr>
        <w:t xml:space="preserve">Prepared for Seplat Energy Plc</w:t>
      </w:r>
    </w:p>
    <w:p>
      <w:pPr>
        <w:spacing w:after="300"/>
      </w:pPr>
      <w:r>
        <w:rPr>
          <w:rFonts w:ascii="Poppins" w:cs="Poppins" w:eastAsia="Poppins" w:hAnsi="Poppins"/>
          <w:b/>
          <w:bCs/>
          <w:color w:val="111C55"/>
          <w:sz w:val="21"/>
          <w:szCs w:val="21"/>
        </w:rPr>
        <w:t xml:space="preserve">Teasoo Consulting</w:t>
      </w:r>
    </w:p>
    <w:p>
      <w:pPr>
        <w:pBdr>
          <w:top w:val="single" w:color="E31A38" w:sz="6" w:space="12"/>
        </w:pBdr>
        <w:spacing w:after="0"/>
      </w:pPr>
      <w:r>
        <w:rPr>
          <w:rFonts w:ascii="Poppins" w:cs="Poppins" w:eastAsia="Poppins" w:hAnsi="Poppins"/>
          <w:color w:val="6B6E86"/>
          <w:sz w:val="18"/>
          <w:szCs w:val="18"/>
        </w:rPr>
        <w:t xml:space="preserve">Version 2.1  ·  13 October 2026  ·  build 9f2fbf2</w:t>
      </w:r>
    </w:p>
    <w:p>
      <w:pPr>
        <w:sectPr>
          <w:footerReference w:type="default" r:id="rId7"/>
          <w:pgSz w:w="11906" w:h="16838" w:orient="portrait"/>
          <w:pgMar w:top="1440" w:right="1440" w:bottom="1440" w:left="1440" w:header="708" w:footer="708" w:gutter="0"/>
          <w:pgNumType/>
          <w:docGrid w:linePitch="360"/>
        </w:sectPr>
      </w:pPr>
    </w:p>
    <w:p>
      <w:pPr>
        <w:pStyle w:val="Heading1"/>
        <w:spacing w:after="180" w:before="0"/>
      </w:pPr>
      <w:r>
        <w:rPr>
          <w:rFonts w:ascii="Poppins" w:cs="Poppins" w:eastAsia="Poppins" w:hAnsi="Poppins"/>
          <w:b/>
          <w:bCs/>
          <w:color w:val="111C55"/>
          <w:sz w:val="28"/>
          <w:szCs w:val="28"/>
        </w:rPr>
        <w:t xml:space="preserve">Purpose of this report</w:t>
      </w:r>
    </w:p>
    <w:p>
      <w:pPr>
        <w:spacing w:after="160" w:line="300"/>
        <w:jc w:val="both"/>
      </w:pPr>
      <w:r>
        <w:rPr>
          <w:rFonts w:ascii="Poppins" w:cs="Poppins" w:eastAsia="Poppins" w:hAnsi="Poppins"/>
          <w:color w:val="2A2E52"/>
          <w:sz w:val="21"/>
          <w:szCs w:val="21"/>
        </w:rPr>
        <w:t xml:space="preserve">This report sets out the current state of the Social Performance &amp; Impact Management System (SPIMS): what has been built and verified, what the system can do today, what remains outstanding, the realistic options for each outstanding item, and our recommendation on each. It is written to support a decision, not to market the work — sections on what is unfinished are given the same weight as those on what is complete.</w:t>
      </w:r>
    </w:p>
    <w:p>
      <w:pPr>
        <w:spacing w:after="160" w:line="300"/>
        <w:jc w:val="both"/>
      </w:pPr>
      <w:r>
        <w:rPr>
          <w:rFonts w:ascii="Poppins" w:cs="Poppins" w:eastAsia="Poppins" w:hAnsi="Poppins"/>
          <w:color w:val="2A2E52"/>
          <w:sz w:val="21"/>
          <w:szCs w:val="21"/>
        </w:rPr>
        <w:t xml:space="preserve">It reflects the position at the commit reference on the cover, and is regenerated whenever the system changes so that it never lags behind the build.</w:t>
      </w:r>
    </w:p>
    <w:p>
      <w:pPr>
        <w:pStyle w:val="Heading1"/>
        <w:spacing w:after="180" w:before="380"/>
      </w:pPr>
      <w:r>
        <w:rPr>
          <w:rFonts w:ascii="Poppins" w:cs="Poppins" w:eastAsia="Poppins" w:hAnsi="Poppins"/>
          <w:b/>
          <w:bCs/>
          <w:color w:val="111C55"/>
          <w:sz w:val="28"/>
          <w:szCs w:val="28"/>
        </w:rPr>
        <w:t xml:space="preserve">1. Executive summary</w:t>
      </w:r>
    </w:p>
    <w:p>
      <w:pPr>
        <w:spacing w:after="160" w:line="300"/>
        <w:jc w:val="both"/>
      </w:pPr>
      <w:r>
        <w:rPr>
          <w:rFonts w:ascii="Poppins" w:cs="Poppins" w:eastAsia="Poppins" w:hAnsi="Poppins"/>
          <w:color w:val="2A2E52"/>
          <w:sz w:val="21"/>
          <w:szCs w:val="21"/>
        </w:rPr>
        <w:t xml:space="preserve">SPIMS has moved from a static visual prototype to a working system with a real database, authenticated users, role-based permissions, and a deployment path onto Seplat’s own infrastructure. Every point raised in the review of 26 August has been addressed, including the correction that mattered most: reach and impact are now separate figures in the data model, not a single conflated number.</w:t>
      </w:r>
    </w:p>
    <w:p>
      <w:pPr>
        <w:spacing w:after="160" w:line="300"/>
        <w:jc w:val="both"/>
      </w:pPr>
      <w:r>
        <w:rPr>
          <w:rFonts w:ascii="Poppins" w:cs="Poppins" w:eastAsia="Poppins" w:hAnsi="Poppins"/>
          <w:color w:val="2A2E52"/>
          <w:sz w:val="21"/>
          <w:szCs w:val="21"/>
        </w:rPr>
        <w:t xml:space="preserve">The system is ready to be demonstrated and to be installed on Seplat infrastructure. The three items we regarded as blocking a deployment holding real data — server-side permission enforcement, account administration, and the removal of third-party calls from the interface — are now closed. Several figures remain illustrative pending Seplat’s own data and methodology decisions, and those are listed plainly in sections 4 and 5.</w:t>
      </w:r>
    </w:p>
    <w:p>
      <w:pPr>
        <w:spacing w:after="160" w:line="300"/>
        <w:jc w:val="both"/>
      </w:pPr>
      <w:r>
        <w:rPr>
          <w:rFonts w:ascii="Poppins" w:cs="Poppins" w:eastAsia="Poppins" w:hAnsi="Poppins"/>
          <w:color w:val="2A2E52"/>
          <w:sz w:val="21"/>
          <w:szCs w:val="21"/>
        </w:rPr>
        <w:t xml:space="preserve">The critical dependency is no longer engineering. It is access to Seplat’s actual programme data, and four decisions only Seplat can make. These are set out in section 7.</w:t>
      </w:r>
    </w:p>
    <w:p>
      <w:pPr>
        <w:pStyle w:val="Heading1"/>
        <w:spacing w:after="180" w:before="380"/>
      </w:pPr>
      <w:r>
        <w:rPr>
          <w:rFonts w:ascii="Poppins" w:cs="Poppins" w:eastAsia="Poppins" w:hAnsi="Poppins"/>
          <w:b/>
          <w:bCs/>
          <w:color w:val="111C55"/>
          <w:sz w:val="28"/>
          <w:szCs w:val="28"/>
        </w:rPr>
        <w:t xml:space="preserve">2. What has been built</w:t>
      </w:r>
    </w:p>
    <w:p>
      <w:pPr>
        <w:spacing w:after="160" w:line="300"/>
        <w:jc w:val="both"/>
      </w:pPr>
      <w:r>
        <w:rPr>
          <w:rFonts w:ascii="Poppins" w:cs="Poppins" w:eastAsia="Poppins" w:hAnsi="Poppins"/>
          <w:color w:val="2A2E52"/>
          <w:sz w:val="21"/>
          <w:szCs w:val="21"/>
        </w:rPr>
        <w:t xml:space="preserve">Work has proceeded in four stages: the original visual prototype; a revision responding to Seplat’s August feedback; the addition of a real backend; and a hardening and deployment stage. Each stage is in version control with a full history.</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Area</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Delivered</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Access and identity</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Sign-in screen with four role-based accounts, replacing the earlier role-switcher. Passwords hashed with bcrypt. Sessions carried in a signed, HttpOnly cookie.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Database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PostgreSQL with 23 tables covering programmes, impact chains, communities, stakeholders, tasks, approvals, targets, spend, reports, uploads and media coverage. Schema changes are versioned migrations, applied deliberately as part of a release rather than as a side effect of one.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Application interface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48 API endpoints, all authenticated. Written as hosting-agnostic handlers called by a single adapter, so managed hosting runs the same application as a Seplat-hosted install rather than a second implementation of it.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Reach and impact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Reach recorded separately from impact for every programme, with the interaction channels, the conversion between them, and a written explanation of what separates the two for that specific programme.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Programme custom fields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Recurring stakeholder questions answered on the programme’s own page, each with a source and a last-updated stamp, and carried into that programme’s export.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Reporting</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Report structure mirrors Seplat’s published 2025 Social Performance Report, and now its visual language too — the typeface, colours, chapter tabs and the way figures are set were taken from that document. Exports carry the compiled content, the selected programmes and the financial year, in PDF, PowerPoint, Excel and Word.</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PowerPoint export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designed deck built from the same verified figures as the PDF, with native PowerPoint charts rather than pictures of charts — a recipient can edit a bar or correct a label without coming back to us, and the figures travel with the file.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Programme reports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report downloaded from a programme’s own page is now the same designed document as the portfolio report, in PDF and PowerPoint. It previously had an exporter of its own that produced a single page of plain text and rendered every naira figure as “NGN”.</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Media and web mentions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Coverage of Seplat found automatically in the press and on the web, de-duplicated across sources and held in a review queue until a person confirms what it is. Free sources only — GDELT, Nigerian news feeds and Google Alerts — with no subscription, no account and no API key.</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Alerts on coverage that matters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watchlist of named rules. A newly collected story matching one is posted to Microsoft Teams or Slack when it is found, rather than waiting for somebody to open the screen. Rules are deliberately narrow — everything else still arrives in the queue — because alerting on all coverage teaches people to ignore the alerts. A webhook that stops working reports itself on the screen instead of failing silently.</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queue that stays current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The review screen refreshes itself while it is open and marks what has arrived since it was opened, so a story collected during a meeting is visible by the end of it rather than on the next reload.</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Executive dashboard</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Every figure on it is calculated from the programmes recorded in the system — social investment and recorded spend, reach and impact, the spend split by pillar and by state, who benefited, delivery risk, progress against the targets that have been set, and the portfolio social return. Add or change a programme and they move. Each of those was previously a constant written into the screen.</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Social return on investment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Calculated for every programme with recorded spend and a beneficiary count, by Social Value International’s method, and reported as a range rather than a single number. The proxy, each deduction and the full arithmetic are shown beside the figure, so a reader can disagree with a specific assumption instead of the whole result. Marked illustrative until Seplat’s M&amp;E function agrees the proxies.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What a project still needs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Each project page states how complete its record is, which fields are missing, and the exact spreadsheet column that fills each one — so a thin upload is visible as thin rather than displayed as though it were a full record.</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Bulk upload</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Self-serve CSV upload with five downloadable templates, server-side validation and parsing, and an audit record of every upload. Financial spend, project master data and project completion write straight into live records; beneficiary counts and activity logs are validated and logged only, and the upload says which of the two it did rather than implying a review that does not exist.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AI report generation</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Claude generates a slide outline from the compiled report content. Runs server-side only; the API key never reaches the browser.</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Security</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Every route requires a session except the health check and sign-in. Writes restricted by role from a single permission table. Writes to a route with no rule are refused by default.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Account administration</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Executives create accounts, assign roles, deactivate people who have left and reset passwords, all from the interface. Every user can change their own password. Accounts are deactivated rather than deleted so their contributions survive, and deactivation ends any live session immediately.</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Project setup and maintenance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Projects are created and kept up to date in the system, by Executives as well as Project Managers. Intake captures the timeline, budget, funding source, community and delivery partners; status, progress and utilisation are edited as the project runs.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Settings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Organisation name, financial year, currency, target year and the data-status note are configurable rather than fixed in code, so an installation reflects its own organisation and states whether it holds live or sample data.</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 third-party calls in normal use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The interface typeface is served by the application rather than fetched from Google, so no user’s browser contacts an outside service on page load and the system works on a network with no outbound access.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Deployment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Docker Compose stack — web, application and database — with the database unreachable from outside the application. Operator runbook and technical specification for Seplat IT.</w:t>
            </w:r>
          </w:p>
        </w:tc>
      </w:tr>
    </w:tbl>
    <w:p>
      <w:pPr>
        <w:spacing w:after="220"/>
      </w:pPr>
    </w:p>
    <w:p>
      <w:pPr>
        <w:spacing w:after="160" w:line="300"/>
        <w:jc w:val="both"/>
      </w:pPr>
      <w:r>
        <w:rPr>
          <w:rFonts w:ascii="Poppins" w:cs="Poppins" w:eastAsia="Poppins" w:hAnsi="Poppins"/>
          <w:color w:val="2A2E52"/>
          <w:sz w:val="21"/>
          <w:szCs w:val="21"/>
        </w:rPr>
        <w:t xml:space="preserve">Two defects were found and fixed during the hardening stage that would otherwise have surfaced during Seplat’s own installation. The session cookie was configured in a way that would have made sign-in fail silently on an internal HTTP deployment, presenting as an incorrect password. Separately, the API accepted read requests, and several write requests, with no authentication at all. Both are corrected and verified.</w:t>
      </w:r>
    </w:p>
    <w:p>
      <w:pPr>
        <w:pStyle w:val="Heading1"/>
        <w:spacing w:after="180" w:before="380"/>
      </w:pPr>
      <w:r>
        <w:rPr>
          <w:rFonts w:ascii="Poppins" w:cs="Poppins" w:eastAsia="Poppins" w:hAnsi="Poppins"/>
          <w:b/>
          <w:bCs/>
          <w:color w:val="111C55"/>
          <w:sz w:val="28"/>
          <w:szCs w:val="28"/>
        </w:rPr>
        <w:t xml:space="preserve">3. What the system can do today</w:t>
      </w:r>
    </w:p>
    <w:p>
      <w:pPr>
        <w:spacing w:after="160" w:line="300"/>
        <w:jc w:val="both"/>
      </w:pPr>
      <w:r>
        <w:rPr>
          <w:rFonts w:ascii="Poppins" w:cs="Poppins" w:eastAsia="Poppins" w:hAnsi="Poppins"/>
          <w:color w:val="2A2E52"/>
          <w:sz w:val="21"/>
          <w:szCs w:val="21"/>
        </w:rPr>
        <w:t xml:space="preserve">Each role signs in to its own workspace. The interface shows only that role’s screens, and the API independently enforces the same boundary, so hiding a control is a convenience rather than the security measure.</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Role</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Can do</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Executive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View the portfolio dashboard with reach, impact, spend and compliance position; browse programmes and communities; analyse the portfolio-wide impact chain; set and track organisational targets; compile and export reports; upload bulk data; administer user accounts.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Project Manager</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Manage assigned programmes; submit new programmes for approval; review, approve or return field submissions with comments; assign tasks and invite team members; comment on reports and request corrections.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Field Officer</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See assigned tasks and update their status; log field activity with disaggregated beneficiary counts; view the evidence register.</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Community Relations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Maintain the stakeholder register; view communities and the programmes reaching them.</w:t>
            </w:r>
          </w:p>
        </w:tc>
      </w:tr>
    </w:tbl>
    <w:p>
      <w:pPr>
        <w:spacing w:after="220"/>
      </w:pPr>
    </w:p>
    <w:p>
      <w:pPr>
        <w:spacing w:after="160" w:line="300"/>
        <w:jc w:val="both"/>
      </w:pPr>
      <w:r>
        <w:rPr>
          <w:rFonts w:ascii="Poppins" w:cs="Poppins" w:eastAsia="Poppins" w:hAnsi="Poppins"/>
          <w:color w:val="2A2E52"/>
          <w:sz w:val="21"/>
          <w:szCs w:val="21"/>
        </w:rPr>
        <w:t xml:space="preserve">Across every role, the defining behaviour is data provenance. Each derived figure carries the metric, the calculation, the source and the caveat behind it. Where a number is a projection rather than a measurement, the system says so rather than presenting it as fact.</w:t>
      </w:r>
    </w:p>
    <w:tbl>
      <w:tblPr>
        <w:tblW w:type="dxa" w:w="9026"/>
        <w:tblBorders>
          <w:top w:val="none" w:color="FFFFFF" w:sz="0"/>
          <w:left w:val="single" w:color="E31A38" w:sz="12"/>
          <w:bottom w:val="none" w:color="FFFFFF" w:sz="0"/>
          <w:right w:val="none" w:color="FFFFFF" w:sz="0"/>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0" w:line="300"/>
              <w:jc w:val="both"/>
            </w:pPr>
            <w:r>
              <w:rPr>
                <w:rFonts w:ascii="Poppins" w:cs="Poppins" w:eastAsia="Poppins" w:hAnsi="Poppins"/>
                <w:color w:val="4A3A22"/>
                <w:sz w:val="20"/>
                <w:szCs w:val="20"/>
              </w:rPr>
              <w:t xml:space="preserve">The clearest example is the STEAM programme. 120,000 students applied for a scholarship and 48 received one. The system records 125,000 as reach and 5,048 as impact, and states that the 119,952 unsuccessful applicants were engaged but received nothing. Reported as a single number, that programme would have overstated its impact by a factor of roughly 2,500.</w:t>
            </w:r>
          </w:p>
        </w:tc>
      </w:tr>
    </w:tbl>
    <w:p>
      <w:pPr>
        <w:spacing w:after="180"/>
      </w:pPr>
    </w:p>
    <w:p>
      <w:pPr>
        <w:pStyle w:val="Heading1"/>
        <w:spacing w:after="180" w:before="380"/>
      </w:pPr>
      <w:r>
        <w:rPr>
          <w:rFonts w:ascii="Poppins" w:cs="Poppins" w:eastAsia="Poppins" w:hAnsi="Poppins"/>
          <w:b/>
          <w:bCs/>
          <w:color w:val="111C55"/>
          <w:sz w:val="28"/>
          <w:szCs w:val="28"/>
        </w:rPr>
        <w:t xml:space="preserve">4. What is verified, and what is still illustrative</w:t>
      </w:r>
    </w:p>
    <w:p>
      <w:pPr>
        <w:spacing w:after="160" w:line="300"/>
        <w:jc w:val="both"/>
      </w:pPr>
      <w:r>
        <w:rPr>
          <w:rFonts w:ascii="Poppins" w:cs="Poppins" w:eastAsia="Poppins" w:hAnsi="Poppins"/>
          <w:color w:val="2A2E52"/>
          <w:sz w:val="21"/>
          <w:szCs w:val="21"/>
        </w:rPr>
        <w:t xml:space="preserve">This distinction matters more than a feature list. The following has been tested end to end against a real database, in both the demonstration and the connected configuration.</w:t>
      </w:r>
    </w:p>
    <w:p>
      <w:pPr>
        <w:pStyle w:val="ListParagraph"/>
        <w:numPr>
          <w:ilvl w:val="0"/>
          <w:numId w:val="1"/>
        </w:numPr>
        <w:spacing w:after="90" w:line="290"/>
        <w:jc w:val="left"/>
      </w:pPr>
      <w:r>
        <w:rPr>
          <w:rFonts w:ascii="Poppins" w:cs="Poppins" w:eastAsia="Poppins" w:hAnsi="Poppins"/>
          <w:color w:val="2A2E52"/>
          <w:sz w:val="21"/>
          <w:szCs w:val="21"/>
        </w:rPr>
        <w:t xml:space="preserve">Sign-in, session persistence across a page reload, and rejection of incorrect credentials.</w:t>
      </w:r>
    </w:p>
    <w:p>
      <w:pPr>
        <w:pStyle w:val="ListParagraph"/>
        <w:numPr>
          <w:ilvl w:val="0"/>
          <w:numId w:val="1"/>
        </w:numPr>
        <w:spacing w:after="90" w:line="290"/>
        <w:jc w:val="left"/>
      </w:pPr>
      <w:r>
        <w:rPr>
          <w:rFonts w:ascii="Poppins" w:cs="Poppins" w:eastAsia="Poppins" w:hAnsi="Poppins"/>
          <w:color w:val="2A2E52"/>
          <w:sz w:val="21"/>
          <w:szCs w:val="21"/>
        </w:rPr>
        <w:t xml:space="preserve">Role permissions: each role can perform its own actions and is refused the others.</w:t>
      </w:r>
    </w:p>
    <w:p>
      <w:pPr>
        <w:pStyle w:val="ListParagraph"/>
        <w:numPr>
          <w:ilvl w:val="0"/>
          <w:numId w:val="1"/>
        </w:numPr>
        <w:spacing w:after="90" w:line="290"/>
        <w:jc w:val="left"/>
      </w:pPr>
      <w:r>
        <w:rPr>
          <w:rFonts w:ascii="Poppins" w:cs="Poppins" w:eastAsia="Poppins" w:hAnsi="Poppins"/>
          <w:color w:val="2A2E52"/>
          <w:sz w:val="21"/>
          <w:szCs w:val="21"/>
        </w:rPr>
        <w:t xml:space="preserve">Unauthenticated requests are refused on every route.</w:t>
      </w:r>
    </w:p>
    <w:p>
      <w:pPr>
        <w:pStyle w:val="ListParagraph"/>
        <w:numPr>
          <w:ilvl w:val="0"/>
          <w:numId w:val="1"/>
        </w:numPr>
        <w:spacing w:after="90" w:line="290"/>
        <w:jc w:val="left"/>
      </w:pPr>
      <w:r>
        <w:rPr>
          <w:rFonts w:ascii="Poppins" w:cs="Poppins" w:eastAsia="Poppins" w:hAnsi="Poppins"/>
          <w:color w:val="2A2E52"/>
          <w:sz w:val="21"/>
          <w:szCs w:val="21"/>
        </w:rPr>
        <w:t xml:space="preserve">Records created, edited and deleted through the interface persist to the database and are attributed to the signed-in user.</w:t>
      </w:r>
    </w:p>
    <w:p>
      <w:pPr>
        <w:pStyle w:val="ListParagraph"/>
        <w:numPr>
          <w:ilvl w:val="0"/>
          <w:numId w:val="1"/>
        </w:numPr>
        <w:spacing w:after="90" w:line="290"/>
        <w:jc w:val="left"/>
      </w:pPr>
      <w:r>
        <w:rPr>
          <w:rFonts w:ascii="Poppins" w:cs="Poppins" w:eastAsia="Poppins" w:hAnsi="Poppins"/>
          <w:color w:val="2A2E52"/>
          <w:sz w:val="21"/>
          <w:szCs w:val="21"/>
        </w:rPr>
        <w:t xml:space="preserve">Exports contain the compiled report content, the reach and impact figures, and the programme custom fields.</w:t>
      </w:r>
    </w:p>
    <w:p>
      <w:pPr>
        <w:pStyle w:val="ListParagraph"/>
        <w:numPr>
          <w:ilvl w:val="0"/>
          <w:numId w:val="1"/>
        </w:numPr>
        <w:spacing w:after="90" w:line="290"/>
        <w:jc w:val="left"/>
      </w:pPr>
      <w:r>
        <w:rPr>
          <w:rFonts w:ascii="Poppins" w:cs="Poppins" w:eastAsia="Poppins" w:hAnsi="Poppins"/>
          <w:color w:val="2A2E52"/>
          <w:sz w:val="21"/>
          <w:szCs w:val="21"/>
        </w:rPr>
        <w:t xml:space="preserve">Bulk upload validates column structure against the published templates and rejects mismatches, and the three templates that write through are verified by reading the stored records back — a message saying a file was received is not evidence that anything was stored.</w:t>
      </w:r>
    </w:p>
    <w:p>
      <w:pPr>
        <w:pStyle w:val="ListParagraph"/>
        <w:numPr>
          <w:ilvl w:val="0"/>
          <w:numId w:val="1"/>
        </w:numPr>
        <w:spacing w:after="90" w:line="290"/>
        <w:jc w:val="left"/>
      </w:pPr>
      <w:r>
        <w:rPr>
          <w:rFonts w:ascii="Poppins" w:cs="Poppins" w:eastAsia="Poppins" w:hAnsi="Poppins"/>
          <w:color w:val="2A2E52"/>
          <w:sz w:val="21"/>
          <w:szCs w:val="21"/>
        </w:rPr>
        <w:t xml:space="preserve">A project completion file sets the project’s utilisation from its recorded spend against the budget entered with the master data. Progress and status are left for a person, because a completion record does not decide that a project is finished.</w:t>
      </w:r>
    </w:p>
    <w:p>
      <w:pPr>
        <w:pStyle w:val="ListParagraph"/>
        <w:numPr>
          <w:ilvl w:val="0"/>
          <w:numId w:val="1"/>
        </w:numPr>
        <w:spacing w:after="90" w:line="290"/>
        <w:jc w:val="left"/>
      </w:pPr>
      <w:r>
        <w:rPr>
          <w:rFonts w:ascii="Poppins" w:cs="Poppins" w:eastAsia="Poppins" w:hAnsi="Poppins"/>
          <w:color w:val="2A2E52"/>
          <w:sz w:val="21"/>
          <w:szCs w:val="21"/>
        </w:rPr>
        <w:t xml:space="preserve">Every figure on the executive dashboard is computed from the recorded portfolio, and the check that enforces it reads the screen’s own source back to confirm no figure has been written into it.</w:t>
      </w:r>
    </w:p>
    <w:p>
      <w:pPr>
        <w:pStyle w:val="ListParagraph"/>
        <w:numPr>
          <w:ilvl w:val="0"/>
          <w:numId w:val="1"/>
        </w:numPr>
        <w:spacing w:after="90" w:line="290"/>
        <w:jc w:val="left"/>
      </w:pPr>
      <w:r>
        <w:rPr>
          <w:rFonts w:ascii="Poppins" w:cs="Poppins" w:eastAsia="Poppins" w:hAnsi="Poppins"/>
          <w:color w:val="2A2E52"/>
          <w:sz w:val="21"/>
          <w:szCs w:val="21"/>
        </w:rPr>
        <w:t xml:space="preserve">The four breakdown columns the completion template asks for — female, male, under 35, living with a disability — are stored and reported. They were collected and discarded on the way in, and the dashboard’s "who benefited" panel was four invented percentages.</w:t>
      </w:r>
    </w:p>
    <w:p>
      <w:pPr>
        <w:pStyle w:val="ListParagraph"/>
        <w:numPr>
          <w:ilvl w:val="0"/>
          <w:numId w:val="1"/>
        </w:numPr>
        <w:spacing w:after="90" w:line="290"/>
        <w:jc w:val="left"/>
      </w:pPr>
      <w:r>
        <w:rPr>
          <w:rFonts w:ascii="Poppins" w:cs="Poppins" w:eastAsia="Poppins" w:hAnsi="Poppins"/>
          <w:color w:val="2A2E52"/>
          <w:sz w:val="21"/>
          <w:szCs w:val="21"/>
        </w:rPr>
        <w:t xml:space="preserve">A completion file carrying a date_completed marks its project complete and sets progress to 100%; a blank one leaves both alone, so a project recording interim results is not closed by accident.</w:t>
      </w:r>
    </w:p>
    <w:p>
      <w:pPr>
        <w:pStyle w:val="ListParagraph"/>
        <w:numPr>
          <w:ilvl w:val="0"/>
          <w:numId w:val="1"/>
        </w:numPr>
        <w:spacing w:after="90" w:line="290"/>
        <w:jc w:val="left"/>
      </w:pPr>
      <w:r>
        <w:rPr>
          <w:rFonts w:ascii="Poppins" w:cs="Poppins" w:eastAsia="Poppins" w:hAnsi="Poppins"/>
          <w:color w:val="2A2E52"/>
          <w:sz w:val="21"/>
          <w:szCs w:val="21"/>
        </w:rPr>
        <w:t xml:space="preserve">A figure nobody has recorded is shown as not recorded rather than as zero — utilisation, progress, SROI and cost per outcome each say why they are empty. The two claims are different, and the interface used to make them look identical.</w:t>
      </w:r>
    </w:p>
    <w:p>
      <w:pPr>
        <w:pStyle w:val="ListParagraph"/>
        <w:numPr>
          <w:ilvl w:val="0"/>
          <w:numId w:val="1"/>
        </w:numPr>
        <w:spacing w:after="90" w:line="290"/>
        <w:jc w:val="left"/>
      </w:pPr>
      <w:r>
        <w:rPr>
          <w:rFonts w:ascii="Poppins" w:cs="Poppins" w:eastAsia="Poppins" w:hAnsi="Poppins"/>
          <w:color w:val="2A2E52"/>
          <w:sz w:val="21"/>
          <w:szCs w:val="21"/>
        </w:rPr>
        <w:t xml:space="preserve">The health check reports the database as unreachable when it is, and recovers on its own when it returns.</w:t>
      </w:r>
    </w:p>
    <w:p>
      <w:pPr>
        <w:pStyle w:val="ListParagraph"/>
        <w:numPr>
          <w:ilvl w:val="0"/>
          <w:numId w:val="1"/>
        </w:numPr>
        <w:spacing w:after="90" w:line="290"/>
        <w:jc w:val="left"/>
      </w:pPr>
      <w:r>
        <w:rPr>
          <w:rFonts w:ascii="Poppins" w:cs="Poppins" w:eastAsia="Poppins" w:hAnsi="Poppins"/>
          <w:color w:val="2A2E52"/>
          <w:sz w:val="21"/>
          <w:szCs w:val="21"/>
        </w:rPr>
        <w:t xml:space="preserve">Account administration: an account can be created, given a role, deactivated and reactivated. A deactivated account is refused at sign-in and its existing session stops working on the next request.</w:t>
      </w:r>
    </w:p>
    <w:p>
      <w:pPr>
        <w:pStyle w:val="ListParagraph"/>
        <w:numPr>
          <w:ilvl w:val="0"/>
          <w:numId w:val="1"/>
        </w:numPr>
        <w:spacing w:after="90" w:line="290"/>
        <w:jc w:val="left"/>
      </w:pPr>
      <w:r>
        <w:rPr>
          <w:rFonts w:ascii="Poppins" w:cs="Poppins" w:eastAsia="Poppins" w:hAnsi="Poppins"/>
          <w:color w:val="2A2E52"/>
          <w:sz w:val="21"/>
          <w:szCs w:val="21"/>
        </w:rPr>
        <w:t xml:space="preserve">The system refuses to deactivate your own account, to change your own role away from Executive, or to remove the last active Executive — the three changes that would lock everyone out.</w:t>
      </w:r>
    </w:p>
    <w:p>
      <w:pPr>
        <w:pStyle w:val="ListParagraph"/>
        <w:numPr>
          <w:ilvl w:val="0"/>
          <w:numId w:val="1"/>
        </w:numPr>
        <w:spacing w:after="90" w:line="290"/>
        <w:jc w:val="left"/>
      </w:pPr>
      <w:r>
        <w:rPr>
          <w:rFonts w:ascii="Poppins" w:cs="Poppins" w:eastAsia="Poppins" w:hAnsi="Poppins"/>
          <w:color w:val="2A2E52"/>
          <w:sz w:val="21"/>
          <w:szCs w:val="21"/>
        </w:rPr>
        <w:t xml:space="preserve">A signed-in session makes no requests to any external service.</w:t>
      </w:r>
    </w:p>
    <w:p>
      <w:pPr>
        <w:spacing w:after="120"/>
      </w:pPr>
    </w:p>
    <w:p>
      <w:pPr>
        <w:spacing w:after="160" w:line="300"/>
        <w:jc w:val="both"/>
      </w:pPr>
      <w:r>
        <w:rPr>
          <w:rFonts w:ascii="Poppins" w:cs="Poppins" w:eastAsia="Poppins" w:hAnsi="Poppins"/>
          <w:color w:val="2A2E52"/>
          <w:sz w:val="21"/>
          <w:szCs w:val="21"/>
        </w:rPr>
        <w:t xml:space="preserve">The following are present in the interface but are illustrative, and are labelled as such wherever they appear:</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Figure</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Status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Social Return on Investment (SROI)</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Now calculated from live data by the standard method — Social Value International’s: a financial proxy for the outcome, less deadweight, attribution and drop-off, discounted to today’s money and divided by recorded spend. The method is settled; the proxies are placeholders, because Seplat’s published 2025 report contains no return-on-investment figure or methodology to anchor them to. Every figure is marked ILLUSTRATIVE and shows its proxy, its deductions and its arithmetic, and all four proxies live in one file for M&amp;E to replace.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Compliance position</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No longer shown as figures. SPIMS holds no compliance data and had nothing to check against, so the dashboard now names what each framework would need connected — the trust’s funding position from finance, contractor local-hire data from procurement, the sustainability team’s disclosure register — rather than reporting a tally nobody could trace.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Community satisfaction</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Removed. Nothing in the system collects it, and it was displayed as a percentage on the executive dashboard.</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Some reach figures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Programme reach for STEP, Eye Can See and the two entrepreneurship programmes is drawn from Seplat’s published report. Catchment and participation figures for the water, power, quiz and STEAM lab programmes are planning assumptions, each flagged in its own methodology note.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Portfolio totals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Spend, project count and community count are drawn from the published 2025 report rather than a live financial system.</w:t>
            </w:r>
          </w:p>
        </w:tc>
      </w:tr>
    </w:tbl>
    <w:p>
      <w:pPr>
        <w:spacing w:after="220"/>
      </w:pPr>
    </w:p>
    <w:p>
      <w:pPr>
        <w:pStyle w:val="Heading1"/>
        <w:spacing w:after="180" w:before="380"/>
      </w:pPr>
      <w:r>
        <w:rPr>
          <w:rFonts w:ascii="Poppins" w:cs="Poppins" w:eastAsia="Poppins" w:hAnsi="Poppins"/>
          <w:b/>
          <w:bCs/>
          <w:color w:val="111C55"/>
          <w:sz w:val="28"/>
          <w:szCs w:val="28"/>
        </w:rPr>
        <w:t xml:space="preserve">5. What is left to be done</w:t>
      </w:r>
    </w:p>
    <w:p>
      <w:pPr>
        <w:spacing w:after="160" w:line="300"/>
        <w:jc w:val="both"/>
      </w:pPr>
      <w:r>
        <w:rPr>
          <w:rFonts w:ascii="Poppins" w:cs="Poppins" w:eastAsia="Poppins" w:hAnsi="Poppins"/>
          <w:color w:val="2A2E52"/>
          <w:sz w:val="21"/>
          <w:szCs w:val="21"/>
        </w:rPr>
        <w:t xml:space="preserve">Grouped by whether the constraint is engineering effort or a decision and data dependency on Seplat.</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3430"/>
        <w:gridCol w:w="3791"/>
        <w:gridCol w:w="1805"/>
      </w:tblGrid>
      <w:tr>
        <w:trPr>
          <w:tblHeader/>
        </w:trPr>
        <w:tc>
          <w:tcPr>
            <w:tcW w:type="dxa" w:w="3430"/>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Item</w:t>
            </w:r>
          </w:p>
        </w:tc>
        <w:tc>
          <w:tcPr>
            <w:tcW w:type="dxa" w:w="3791"/>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Constraint</w:t>
            </w:r>
          </w:p>
        </w:tc>
        <w:tc>
          <w:tcPr>
            <w:tcW w:type="dxa" w:w="1805"/>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Priority</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Production hosting</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proceeding with Vercel plus a managed PostgreSQL. The deployment configuration has been corrected and verified against the platform’s actual constraints; it now needs the two accounts and their credentials</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High</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Social media and hashtag tracking</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Budget decision on a paid provider. Press and web monitoring is built and needs nothing</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Medium</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Evidence file storage</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Engineering. The register records descriptions, not documents</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Medium</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Beneficiary counts and activity logs writing to live records</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decision on aggregation rules. Spend, project master data and completion files already write through</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Medium</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Validated SROI proxies</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M&amp;E. The calculation is built and running; what it needs is agreed values for what a year of each outcome is worth — four numbers in one file</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Medium</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Live compliance calculation</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decision on the compliance framework and its source data</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Medium</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Single sign-on against Seplat identity</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decision on whether it is required</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Low, but cheaper to plan now</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Audit log</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Only if assurance requires an immutable trail</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Low</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Full worked example on real programme data</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to supply the dataset and organisation chart</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High</w:t>
            </w:r>
          </w:p>
        </w:tc>
      </w:tr>
    </w:tbl>
    <w:p>
      <w:pPr>
        <w:spacing w:after="220"/>
      </w:pPr>
    </w:p>
    <w:p>
      <w:pPr>
        <w:pStyle w:val="Heading1"/>
        <w:spacing w:after="180" w:before="380"/>
      </w:pPr>
      <w:r>
        <w:rPr>
          <w:rFonts w:ascii="Poppins" w:cs="Poppins" w:eastAsia="Poppins" w:hAnsi="Poppins"/>
          <w:b/>
          <w:bCs/>
          <w:color w:val="111C55"/>
          <w:sz w:val="28"/>
          <w:szCs w:val="28"/>
        </w:rPr>
        <w:t xml:space="preserve">6. Options and recommendations</w:t>
      </w:r>
    </w:p>
    <w:p>
      <w:pPr>
        <w:spacing w:after="160" w:line="300"/>
        <w:jc w:val="both"/>
      </w:pPr>
      <w:r>
        <w:rPr>
          <w:rFonts w:ascii="Poppins" w:cs="Poppins" w:eastAsia="Poppins" w:hAnsi="Poppins"/>
          <w:color w:val="2A2E52"/>
          <w:sz w:val="21"/>
          <w:szCs w:val="21"/>
        </w:rPr>
        <w:t xml:space="preserve">For each substantive outstanding item, the realistic options and our recommendation.</w:t>
      </w:r>
    </w:p>
    <w:p>
      <w:pPr>
        <w:pStyle w:val="Heading2"/>
        <w:spacing w:after="130" w:before="260"/>
      </w:pPr>
      <w:r>
        <w:rPr>
          <w:rFonts w:ascii="Poppins" w:cs="Poppins" w:eastAsia="Poppins" w:hAnsi="Poppins"/>
          <w:b/>
          <w:bCs/>
          <w:color w:val="2B4C9B"/>
          <w:sz w:val="23"/>
          <w:szCs w:val="23"/>
        </w:rPr>
        <w:t xml:space="preserve">6.1 Production hosting</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Option</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Assessment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Vendor-hosted cloud only (Vercel and a managed database)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Fastest to stand up and convenient for demonstrations, but the vendor holds the data. This conflicts with the operating model Seplat has stated.</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Self-hosted on Seplat infrastructure only</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Matches Seplat’s stated requirement exactly. Requires a Linux host and a short installation.</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Both, with different purposes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cloud instance for demonstration containing only sample data, and a self-hosted instance holding real data.</w:t>
            </w:r>
          </w:p>
        </w:tc>
      </w:tr>
    </w:tbl>
    <w:p>
      <w:pPr>
        <w:spacing w:after="220"/>
      </w:pPr>
    </w:p>
    <w:p>
      <w:pPr>
        <w:spacing w:after="160" w:line="300"/>
        <w:jc w:val="both"/>
      </w:pPr>
      <w:r>
        <w:rPr>
          <w:rFonts w:ascii="Poppins" w:cs="Poppins" w:eastAsia="Poppins" w:hAnsi="Poppins"/>
          <w:color w:val="2A2E52"/>
          <w:sz w:val="21"/>
          <w:szCs w:val="21"/>
        </w:rPr>
        <w:t xml:space="preserve">Recommendation: the third option. Keep a cloud demonstration instance with sample data so the system can be shown without exposing anything real, and install the production instance on Seplat infrastructure. Both are already supported by the same codebase, so this costs nothing additional to maintain.</w:t>
      </w:r>
    </w:p>
    <w:p>
      <w:pPr>
        <w:pStyle w:val="Heading2"/>
        <w:spacing w:after="130" w:before="260"/>
      </w:pPr>
      <w:r>
        <w:rPr>
          <w:rFonts w:ascii="Poppins" w:cs="Poppins" w:eastAsia="Poppins" w:hAnsi="Poppins"/>
          <w:b/>
          <w:bCs/>
          <w:color w:val="2B4C9B"/>
          <w:sz w:val="23"/>
          <w:szCs w:val="23"/>
        </w:rPr>
        <w:t xml:space="preserve">6.2 Database platform</w:t>
      </w:r>
    </w:p>
    <w:p>
      <w:pPr>
        <w:spacing w:after="160" w:line="300"/>
        <w:jc w:val="both"/>
      </w:pPr>
      <w:r>
        <w:rPr>
          <w:rFonts w:ascii="Poppins" w:cs="Poppins" w:eastAsia="Poppins" w:hAnsi="Poppins"/>
          <w:color w:val="2A2E52"/>
          <w:sz w:val="21"/>
          <w:szCs w:val="21"/>
        </w:rPr>
        <w:t xml:space="preserve">Supabase, Neon and a self-managed PostgreSQL instance are all viable, and all use the same database engine, so the choice is reversible. Recommendation: Supabase. It is standard PostgreSQL, so the schema and migrations apply unchanged, and unlike the alternatives it can also be self-hosted, which means the same platform serves both the demonstration and the production instance.</w:t>
      </w:r>
    </w:p>
    <w:p>
      <w:pPr>
        <w:pStyle w:val="Heading2"/>
        <w:spacing w:after="130" w:before="260"/>
      </w:pPr>
      <w:r>
        <w:rPr>
          <w:rFonts w:ascii="Poppins" w:cs="Poppins" w:eastAsia="Poppins" w:hAnsi="Poppins"/>
          <w:b/>
          <w:bCs/>
          <w:color w:val="2B4C9B"/>
          <w:sz w:val="23"/>
          <w:szCs w:val="23"/>
        </w:rPr>
        <w:t xml:space="preserve">6.3 Media and social mention monitoring</w:t>
      </w:r>
    </w:p>
    <w:p>
      <w:pPr>
        <w:spacing w:after="160" w:line="300"/>
        <w:jc w:val="both"/>
      </w:pPr>
      <w:r>
        <w:rPr>
          <w:rFonts w:ascii="Poppins" w:cs="Poppins" w:eastAsia="Poppins" w:hAnsi="Poppins"/>
          <w:color w:val="2A2E52"/>
          <w:sz w:val="21"/>
          <w:szCs w:val="21"/>
        </w:rPr>
        <w:t xml:space="preserve">Seplat asked for automatic detection of mentions across press and social media, with a review step to filter false positives, source links, and hashtag tracking per programme. Free tools cover part of this; the rest requires a paid data source.</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Option</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Assessment</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Google Alerts alone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Free, but has no supported programming interface — only an undocumented feed — and covers no social media at all, so hashtag tracking is impossible. It also cannot retrieve past coverage. Not sufficient on its own.</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Free press sources (GDELT, direct Nigerian news feeds, Google Alerts)</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Covers press and web well, including Nigerian outlets, at no data cost. No social media.</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Paid monitoring service (Brand24 or Determ)</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Adds social media, hashtag tracking and sentiment. A few hundred US dollars per month.</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Enterprise service (Meltwater)</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Adds Nigerian print and broadcast coverage. Five figures annually.</w:t>
            </w:r>
          </w:p>
        </w:tc>
      </w:tr>
    </w:tbl>
    <w:p>
      <w:pPr>
        <w:spacing w:after="220"/>
      </w:pPr>
    </w:p>
    <w:p>
      <w:pPr>
        <w:spacing w:after="160" w:line="300"/>
        <w:jc w:val="both"/>
      </w:pPr>
      <w:r>
        <w:rPr>
          <w:rFonts w:ascii="Poppins" w:cs="Poppins" w:eastAsia="Poppins" w:hAnsi="Poppins"/>
          <w:color w:val="2A2E52"/>
          <w:sz w:val="21"/>
          <w:szCs w:val="21"/>
        </w:rPr>
        <w:t xml:space="preserve">Phase one is now built and needs nothing from Seplat. It ingests from GDELT, from Nigerian news feeds and from a Google Alerts feed; de-duplicates the same story arriving from several sources; and holds everything in a review queue where a person accepts or rejects it, says whether it is social investment or corporate coverage, and tags it to a programme. Every item keeps its source link. It is labelled throughout as covering press and web only. There is no subscription, no account and no API key — the sources are public.</w:t>
      </w:r>
    </w:p>
    <w:p>
      <w:pPr>
        <w:spacing w:after="160" w:line="300"/>
        <w:jc w:val="both"/>
      </w:pPr>
      <w:r>
        <w:rPr>
          <w:rFonts w:ascii="Poppins" w:cs="Poppins" w:eastAsia="Poppins" w:hAnsi="Poppins"/>
          <w:color w:val="2A2E52"/>
          <w:sz w:val="21"/>
          <w:szCs w:val="21"/>
        </w:rPr>
        <w:t xml:space="preserve">Phase two adds a paid provider for social media and hashtag tracking, and is the only part still requiring a decision.</w:t>
      </w:r>
    </w:p>
    <w:p>
      <w:pPr>
        <w:spacing w:after="160" w:line="300"/>
        <w:jc w:val="both"/>
      </w:pPr>
      <w:r>
        <w:rPr>
          <w:rFonts w:ascii="Poppins" w:cs="Poppins" w:eastAsia="Poppins" w:hAnsi="Poppins"/>
          <w:color w:val="2A2E52"/>
          <w:sz w:val="21"/>
          <w:szCs w:val="21"/>
        </w:rPr>
        <w:t xml:space="preserve">This sequencing matters commercially as well as technically: it gives Seplat a working module to evaluate before committing to a subscription, and the monitoring provider connects through an adapter, so changing supplier later does not require rebuilding the module.</w:t>
      </w:r>
    </w:p>
    <w:tbl>
      <w:tblPr>
        <w:tblW w:type="dxa" w:w="9026"/>
        <w:tblBorders>
          <w:top w:val="none" w:color="FFFFFF" w:sz="0"/>
          <w:left w:val="single" w:color="E31A38" w:sz="12"/>
          <w:bottom w:val="none" w:color="FFFFFF" w:sz="0"/>
          <w:right w:val="none" w:color="FFFFFF" w:sz="0"/>
          <w:insideH w:val="none" w:color="FFFFFF" w:sz="0"/>
          <w:insideV w:val="none" w:color="FFFFFF" w:sz="0"/>
        </w:tblBorders>
      </w:tblPr>
      <w:tblGrid>
        <w:gridCol w:w="9026"/>
      </w:tblGrid>
      <w:tr>
        <w:tc>
          <w:tcPr>
            <w:tcW w:type="dxa" w:w="9026"/>
            <w:shd w:fill="F7F4EC" w:color="auto" w:val="clear"/>
            <w:tcMar>
              <w:top w:type="dxa" w:w="160"/>
              <w:left w:type="dxa" w:w="200"/>
              <w:bottom w:type="dxa" w:w="160"/>
              <w:right w:type="dxa" w:w="200"/>
            </w:tcMar>
          </w:tcPr>
          <w:p>
            <w:pPr>
              <w:spacing w:after="0" w:line="300"/>
              <w:jc w:val="both"/>
            </w:pPr>
            <w:r>
              <w:rPr>
                <w:rFonts w:ascii="Poppins" w:cs="Poppins" w:eastAsia="Poppins" w:hAnsi="Poppins"/>
                <w:color w:val="4A3A22"/>
                <w:sz w:val="20"/>
                <w:szCs w:val="20"/>
              </w:rPr>
              <w:t xml:space="preserve">Since mention data is only available from licensed partners for the major social platforms, no amount of engineering removes the need for a paid provider if social coverage is required. Subscription costs are recharged at cost and are not included in the platform fee.</w:t>
            </w:r>
          </w:p>
        </w:tc>
      </w:tr>
    </w:tbl>
    <w:p>
      <w:pPr>
        <w:spacing w:after="180"/>
      </w:pPr>
    </w:p>
    <w:p>
      <w:pPr>
        <w:pStyle w:val="Heading2"/>
        <w:spacing w:after="130" w:before="260"/>
      </w:pPr>
      <w:r>
        <w:rPr>
          <w:rFonts w:ascii="Poppins" w:cs="Poppins" w:eastAsia="Poppins" w:hAnsi="Poppins"/>
          <w:b/>
          <w:bCs/>
          <w:color w:val="2B4C9B"/>
          <w:sz w:val="23"/>
          <w:szCs w:val="23"/>
        </w:rPr>
        <w:t xml:space="preserve">6.4 PowerPoint export</w:t>
      </w:r>
    </w:p>
    <w:p>
      <w:pPr>
        <w:spacing w:after="160" w:line="300"/>
        <w:jc w:val="both"/>
      </w:pPr>
      <w:r>
        <w:rPr>
          <w:rFonts w:ascii="Poppins" w:cs="Poppins" w:eastAsia="Poppins" w:hAnsi="Poppins"/>
          <w:color w:val="2A2E52"/>
          <w:sz w:val="21"/>
          <w:szCs w:val="21"/>
        </w:rPr>
        <w:t xml:space="preserve">Delivered. The deck is a genuine PowerPoint file whose charts are native chart objects, not images — better than the graphics Seplat asked for, because a recipient can edit them. The figures behind each chart travel with the file in an embedded worksheet.</w:t>
      </w:r>
    </w:p>
    <w:p>
      <w:pPr>
        <w:spacing w:after="160" w:line="300"/>
        <w:jc w:val="both"/>
      </w:pPr>
      <w:r>
        <w:rPr>
          <w:rFonts w:ascii="Poppins" w:cs="Poppins" w:eastAsia="Poppins" w:hAnsi="Poppins"/>
          <w:color w:val="2A2E52"/>
          <w:sz w:val="21"/>
          <w:szCs w:val="21"/>
        </w:rPr>
        <w:t xml:space="preserve">One point worth stating plainly, because the August review tied this feature to it: the deck does not depend on the AI decision. It is built entirely from figures the system calculates, so it works whether or not Seplat IT approves any AI service. The AI question now affects only optional drafting of commentary.</w:t>
      </w:r>
    </w:p>
    <w:p>
      <w:pPr>
        <w:spacing w:after="160" w:line="300"/>
        <w:jc w:val="both"/>
      </w:pPr>
      <w:r>
        <w:rPr>
          <w:rFonts w:ascii="Poppins" w:cs="Poppins" w:eastAsia="Poppins" w:hAnsi="Poppins"/>
          <w:color w:val="2A2E52"/>
          <w:sz w:val="21"/>
          <w:szCs w:val="21"/>
        </w:rPr>
        <w:t xml:space="preserve">Every screen that offers a report now produces the same designed document — the reports screen and each programme’s own page alike — because all of them build the same specification and hand it to the same renderers. Word and Excel remain data formats rather than designed documents, and they stopped corrupting the naira sign at the same time.</w:t>
      </w:r>
    </w:p>
    <w:p>
      <w:pPr>
        <w:spacing w:after="160" w:line="300"/>
        <w:jc w:val="both"/>
      </w:pPr>
      <w:r>
        <w:rPr>
          <w:rFonts w:ascii="Poppins" w:cs="Poppins" w:eastAsia="Poppins" w:hAnsi="Poppins"/>
          <w:color w:val="2A2E52"/>
          <w:sz w:val="21"/>
          <w:szCs w:val="21"/>
        </w:rPr>
        <w:t xml:space="preserve">The remaining improvement is Seplat’s own deck template. Both exports are modelled on the published 2025 report, which is close, but a master template would let the deck adopt their layouts exactly. Fonts are the known gap: PowerPoint files cannot embed a typeface the way a PDF does, so the deck names Space Grotesk and Poppins and falls back to a standard sans-serif on a machine without them. Installing the two fonts on the machines that present from this deck removes the difference.</w:t>
      </w:r>
    </w:p>
    <w:p>
      <w:pPr>
        <w:spacing w:after="160" w:line="300"/>
        <w:jc w:val="both"/>
      </w:pPr>
      <w:r>
        <w:rPr>
          <w:rFonts w:ascii="Poppins" w:cs="Poppins" w:eastAsia="Poppins" w:hAnsi="Poppins"/>
          <w:color w:val="2A2E52"/>
          <w:sz w:val="21"/>
          <w:szCs w:val="21"/>
        </w:rPr>
        <w:t xml:space="preserve">Seplat stated that any AI used must be one their IT function recognises and approves. The system currently uses Anthropic’s Claude, called only from the server. This should be put to Seplat IT for a decision, and the feature can be disabled entirely without affecting anything else if they decline.</w:t>
      </w:r>
    </w:p>
    <w:p>
      <w:pPr>
        <w:pStyle w:val="Heading2"/>
        <w:spacing w:after="130" w:before="260"/>
      </w:pPr>
      <w:r>
        <w:rPr>
          <w:rFonts w:ascii="Poppins" w:cs="Poppins" w:eastAsia="Poppins" w:hAnsi="Poppins"/>
          <w:b/>
          <w:bCs/>
          <w:color w:val="2B4C9B"/>
          <w:sz w:val="23"/>
          <w:szCs w:val="23"/>
        </w:rPr>
        <w:t xml:space="preserve">6.5 Evidence file storage</w:t>
      </w:r>
    </w:p>
    <w:p>
      <w:pPr>
        <w:spacing w:after="160" w:line="300"/>
        <w:jc w:val="both"/>
      </w:pPr>
      <w:r>
        <w:rPr>
          <w:rFonts w:ascii="Poppins" w:cs="Poppins" w:eastAsia="Poppins" w:hAnsi="Poppins"/>
          <w:color w:val="2A2E52"/>
          <w:sz w:val="21"/>
          <w:szCs w:val="21"/>
        </w:rPr>
        <w:t xml:space="preserve">The evidence register currently records descriptions rather than documents. Options are object storage run inside Seplat’s environment, cloud object storage, or a plain server volume. Recommendation: object storage running alongside the application, which keeps files on Seplat infrastructure and behaves identically in both configurations.</w:t>
      </w:r>
    </w:p>
    <w:p>
      <w:pPr>
        <w:pStyle w:val="Heading2"/>
        <w:spacing w:after="130" w:before="260"/>
      </w:pPr>
      <w:r>
        <w:rPr>
          <w:rFonts w:ascii="Poppins" w:cs="Poppins" w:eastAsia="Poppins" w:hAnsi="Poppins"/>
          <w:b/>
          <w:bCs/>
          <w:color w:val="2B4C9B"/>
          <w:sz w:val="23"/>
          <w:szCs w:val="23"/>
        </w:rPr>
        <w:t xml:space="preserve">6.6 Single sign-on</w:t>
      </w:r>
    </w:p>
    <w:p>
      <w:pPr>
        <w:spacing w:after="160" w:line="300"/>
        <w:jc w:val="both"/>
      </w:pPr>
      <w:r>
        <w:rPr>
          <w:rFonts w:ascii="Poppins" w:cs="Poppins" w:eastAsia="Poppins" w:hAnsi="Poppins"/>
          <w:color w:val="2A2E52"/>
          <w:sz w:val="21"/>
          <w:szCs w:val="21"/>
        </w:rPr>
        <w:t xml:space="preserve">Account administration is now built, so the command-line script is only needed to create the very first account at installation. What remains is whether staff should sign in with their existing Seplat credentials instead of a separate password. Recommendation: decide this now rather than later. The authentication layer is isolated enough that adding single sign-on against Seplat’s identity provider is straightforward today and becomes progressively harder as more accounts exist.</w:t>
      </w:r>
    </w:p>
    <w:p>
      <w:pPr>
        <w:pStyle w:val="Heading2"/>
        <w:spacing w:after="130" w:before="260"/>
      </w:pPr>
      <w:r>
        <w:rPr>
          <w:rFonts w:ascii="Poppins" w:cs="Poppins" w:eastAsia="Poppins" w:hAnsi="Poppins"/>
          <w:b/>
          <w:bCs/>
          <w:color w:val="2B4C9B"/>
          <w:sz w:val="23"/>
          <w:szCs w:val="23"/>
        </w:rPr>
        <w:t xml:space="preserve">6.7 Bulk upload and live calculation</w:t>
      </w:r>
    </w:p>
    <w:p>
      <w:pPr>
        <w:spacing w:after="160" w:line="300"/>
        <w:jc w:val="both"/>
      </w:pPr>
      <w:r>
        <w:rPr>
          <w:rFonts w:ascii="Poppins" w:cs="Poppins" w:eastAsia="Poppins" w:hAnsi="Poppins"/>
          <w:color w:val="2A2E52"/>
          <w:sz w:val="21"/>
          <w:szCs w:val="21"/>
        </w:rPr>
        <w:t xml:space="preserve">Financial spend, project master data and project completion files write to live records: a completed project can now be entered from two spreadsheets and appears in the portfolio, on its own page and in its report. Beneficiary counts and activity logs are validated and logged only, because writing them safely requires a rule Seplat must set: whether a new figure replaces a running total or adds to it. SROI is now computed rather than left blank: the standard method, applied to each programme’s own recorded spend and beneficiary count, shown with its proxy, its deductions and its arithmetic, and marked illustrative. Recommendation: leave the aggregation rules until Seplat sets them, and treat the social return figures as internal until M&amp;E agrees the four proxy values — the calculation will not change when they do, only its inputs.</w:t>
      </w:r>
    </w:p>
    <w:p>
      <w:pPr>
        <w:pStyle w:val="Heading1"/>
        <w:spacing w:after="180" w:before="380"/>
      </w:pPr>
      <w:r>
        <w:rPr>
          <w:rFonts w:ascii="Poppins" w:cs="Poppins" w:eastAsia="Poppins" w:hAnsi="Poppins"/>
          <w:b/>
          <w:bCs/>
          <w:color w:val="111C55"/>
          <w:sz w:val="28"/>
          <w:szCs w:val="28"/>
        </w:rPr>
        <w:t xml:space="preserve">7. Decisions and inputs needed from Seplat</w:t>
      </w:r>
    </w:p>
    <w:p>
      <w:pPr>
        <w:spacing w:after="160" w:line="300"/>
        <w:jc w:val="both"/>
      </w:pPr>
      <w:r>
        <w:rPr>
          <w:rFonts w:ascii="Poppins" w:cs="Poppins" w:eastAsia="Poppins" w:hAnsi="Poppins"/>
          <w:color w:val="2A2E52"/>
          <w:sz w:val="21"/>
          <w:szCs w:val="21"/>
        </w:rPr>
        <w:t xml:space="preserve">Progress on several items is now blocked on Seplat rather than on development.</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2888"/>
        <w:gridCol w:w="6138"/>
      </w:tblGrid>
      <w:tr>
        <w:trPr>
          <w:tblHeader/>
        </w:trPr>
        <w:tc>
          <w:tcPr>
            <w:tcW w:type="dxa" w:w="288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Needed</w:t>
            </w:r>
          </w:p>
        </w:tc>
        <w:tc>
          <w:tcPr>
            <w:tcW w:type="dxa" w:w="6138"/>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Unblocks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 Vercel account on the Pro tier and a managed PostgreSQL database, both owned by Seplat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Deployment. Pro rather than the free tier is not a capacity judgement: Vercel’s terms restrict the free tier to non-commercial personal projects, and it also limits scheduled media collection to one run a day. Seplat has chosen the managed hosting model; see the technical specification §2.1 for what that means for where the data sits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Complete data for one programme, plus the organisation chart</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The full worked example requested in the August review</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Seplat’s own data templates or reporting scope</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Aligning bulk upload to their actual records rather than our assumptions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Aggregation rules for uploaded beneficiary and activity data</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The last two upload types writing directly to live records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M&amp;E agreement on what a year of each outcome is worth, per pillar</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Social return figures becoming externally reportable rather than illustrative. The calculation is already built — this replaces four placeholder values</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IT decision on the AI service used for drafting commentary</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Optional AI-drafted narrative. No longer blocks any export — both PDF and PowerPoint are built from calculated figures alone</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Budget decision on paid media monitoring</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Social media and hashtag tracking</w:t>
            </w:r>
          </w:p>
        </w:tc>
      </w:tr>
      <w:tr>
        <w:tc>
          <w:tcPr>
            <w:tcW w:type="dxa" w:w="288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Whether single sign-on is required</w:t>
            </w:r>
          </w:p>
        </w:tc>
        <w:tc>
          <w:tcPr>
            <w:tcW w:type="dxa" w:w="6138"/>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Authentication scope</w:t>
            </w:r>
          </w:p>
        </w:tc>
      </w:tr>
    </w:tbl>
    <w:p>
      <w:pPr>
        <w:spacing w:after="220"/>
      </w:pPr>
    </w:p>
    <w:p>
      <w:pPr>
        <w:spacing w:after="160" w:line="300"/>
        <w:jc w:val="both"/>
      </w:pPr>
      <w:r>
        <w:rPr>
          <w:rFonts w:ascii="Poppins" w:cs="Poppins" w:eastAsia="Poppins" w:hAnsi="Poppins"/>
          <w:color w:val="2A2E52"/>
          <w:sz w:val="21"/>
          <w:szCs w:val="21"/>
        </w:rPr>
        <w:t xml:space="preserve">One outstanding clarification: the August review referred to a programme by a name that did not transcribe reliably. Confirming which programme was meant would let us build the worked example against the intended dataset.</w:t>
      </w:r>
    </w:p>
    <w:p>
      <w:pPr>
        <w:pStyle w:val="Heading1"/>
        <w:spacing w:after="180" w:before="380"/>
      </w:pPr>
      <w:r>
        <w:rPr>
          <w:rFonts w:ascii="Poppins" w:cs="Poppins" w:eastAsia="Poppins" w:hAnsi="Poppins"/>
          <w:b/>
          <w:bCs/>
          <w:color w:val="111C55"/>
          <w:sz w:val="28"/>
          <w:szCs w:val="28"/>
        </w:rPr>
        <w:t xml:space="preserve">8. Recommended sequence</w:t>
      </w:r>
    </w:p>
    <w:tbl>
      <w:tblPr>
        <w:tblW w:type="dxa" w:w="9026"/>
        <w:tblBorders>
          <w:top w:val="single" w:color="D9DBE7" w:sz="2"/>
          <w:left w:val="single" w:color="D9DBE7" w:sz="2"/>
          <w:bottom w:val="single" w:color="D9DBE7" w:sz="2"/>
          <w:right w:val="single" w:color="D9DBE7" w:sz="2"/>
          <w:insideH w:val="single" w:color="D9DBE7" w:sz="2"/>
          <w:insideV w:val="single" w:color="D9DBE7" w:sz="2"/>
        </w:tblBorders>
      </w:tblPr>
      <w:tblGrid>
        <w:gridCol w:w="3430"/>
        <w:gridCol w:w="3791"/>
        <w:gridCol w:w="1805"/>
      </w:tblGrid>
      <w:tr>
        <w:trPr>
          <w:tblHeader/>
        </w:trPr>
        <w:tc>
          <w:tcPr>
            <w:tcW w:type="dxa" w:w="3430"/>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Stage</w:t>
            </w:r>
          </w:p>
        </w:tc>
        <w:tc>
          <w:tcPr>
            <w:tcW w:type="dxa" w:w="3791"/>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Work</w:t>
            </w:r>
          </w:p>
        </w:tc>
        <w:tc>
          <w:tcPr>
            <w:tcW w:type="dxa" w:w="1805"/>
            <w:shd w:fill="F2F3F8" w:color="auto" w:val="clear"/>
            <w:tcMar>
              <w:top w:type="dxa" w:w="100"/>
              <w:left w:type="dxa" w:w="130"/>
              <w:bottom w:type="dxa" w:w="100"/>
              <w:right w:type="dxa" w:w="130"/>
            </w:tcMar>
          </w:tcPr>
          <w:p>
            <w:pPr>
              <w:spacing w:after="0" w:line="280"/>
              <w:jc w:val="left"/>
            </w:pPr>
            <w:r>
              <w:rPr>
                <w:rFonts w:ascii="Poppins" w:cs="Poppins" w:eastAsia="Poppins" w:hAnsi="Poppins"/>
                <w:b/>
                <w:bCs/>
                <w:color w:val="111C55"/>
                <w:sz w:val="19"/>
                <w:szCs w:val="19"/>
              </w:rPr>
              <w:t xml:space="preserve">Depends on</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1</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Install on Seplat infrastructure, or stand up a cloud demonstration instance</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infrastructure or hosting approval</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2</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Worked example on one real programme, end to end</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programme data and organisation chart</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3</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Evidence file storage</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Stage 1</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4</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Beneficiary and activity write-through, and live SROI</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Seplat aggregation rules and M&amp;E validation</w:t>
            </w:r>
          </w:p>
        </w:tc>
      </w:tr>
      <w:tr>
        <w:tc>
          <w:tcPr>
            <w:tcW w:type="dxa" w:w="3430"/>
            <w:tcMar>
              <w:top w:type="dxa" w:w="100"/>
              <w:left w:type="dxa" w:w="130"/>
              <w:bottom w:type="dxa" w:w="100"/>
              <w:right w:type="dxa" w:w="130"/>
            </w:tcMar>
          </w:tcPr>
          <w:p>
            <w:pPr>
              <w:spacing w:after="0" w:line="280"/>
              <w:jc w:val="left"/>
            </w:pPr>
            <w:r>
              <w:rPr>
                <w:rFonts w:ascii="Poppins" w:cs="Poppins" w:eastAsia="Poppins" w:hAnsi="Poppins"/>
                <w:b/>
                <w:bCs/>
                <w:color w:val="2A2E52"/>
                <w:sz w:val="19"/>
                <w:szCs w:val="19"/>
              </w:rPr>
              <w:t xml:space="preserve">5</w:t>
            </w:r>
          </w:p>
        </w:tc>
        <w:tc>
          <w:tcPr>
            <w:tcW w:type="dxa" w:w="3791"/>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Media monitoring, phase two (social and hashtags)</w:t>
            </w:r>
          </w:p>
        </w:tc>
        <w:tc>
          <w:tcPr>
            <w:tcW w:type="dxa" w:w="1805"/>
            <w:tcMar>
              <w:top w:type="dxa" w:w="100"/>
              <w:left w:type="dxa" w:w="130"/>
              <w:bottom w:type="dxa" w:w="100"/>
              <w:right w:type="dxa" w:w="130"/>
            </w:tcMar>
          </w:tcPr>
          <w:p>
            <w:pPr>
              <w:spacing w:after="0" w:line="280"/>
              <w:jc w:val="left"/>
            </w:pPr>
            <w:r>
              <w:rPr>
                <w:rFonts w:ascii="Poppins" w:cs="Poppins" w:eastAsia="Poppins" w:hAnsi="Poppins"/>
                <w:b w:val="false"/>
                <w:bCs w:val="false"/>
                <w:color w:val="2A2E52"/>
                <w:sz w:val="19"/>
                <w:szCs w:val="19"/>
              </w:rPr>
              <w:t xml:space="preserve">Budget approval for a monitoring subscription</w:t>
            </w:r>
          </w:p>
        </w:tc>
      </w:tr>
    </w:tbl>
    <w:p>
      <w:pPr>
        <w:spacing w:after="220"/>
      </w:pPr>
    </w:p>
    <w:p>
      <w:pPr>
        <w:spacing w:after="160" w:line="300"/>
        <w:jc w:val="both"/>
      </w:pPr>
      <w:r>
        <w:rPr>
          <w:rFonts w:ascii="Poppins" w:cs="Poppins" w:eastAsia="Poppins" w:hAnsi="Poppins"/>
          <w:color w:val="2A2E52"/>
          <w:sz w:val="21"/>
          <w:szCs w:val="21"/>
        </w:rPr>
        <w:t xml:space="preserve">Stage 3 requires nothing from Seplat and can run in parallel with the hosting conversation. Stage 1 is the highest-value single step, because it converts the system from something demonstrated into something in use, and unblocks three later stages.</w:t>
      </w:r>
    </w:p>
    <w:p>
      <w:pPr>
        <w:pStyle w:val="Heading1"/>
        <w:spacing w:after="180" w:before="380"/>
      </w:pPr>
      <w:r>
        <w:rPr>
          <w:rFonts w:ascii="Poppins" w:cs="Poppins" w:eastAsia="Poppins" w:hAnsi="Poppins"/>
          <w:b/>
          <w:bCs/>
          <w:color w:val="111C55"/>
          <w:sz w:val="28"/>
          <w:szCs w:val="28"/>
        </w:rPr>
        <w:t xml:space="preserve">9. Commercial note</w:t>
      </w:r>
    </w:p>
    <w:p>
      <w:pPr>
        <w:spacing w:after="160" w:line="300"/>
        <w:jc w:val="both"/>
      </w:pPr>
      <w:r>
        <w:rPr>
          <w:rFonts w:ascii="Poppins" w:cs="Poppins" w:eastAsia="Poppins" w:hAnsi="Poppins"/>
          <w:color w:val="2A2E52"/>
          <w:sz w:val="21"/>
          <w:szCs w:val="21"/>
        </w:rPr>
        <w:t xml:space="preserve">The platform fee and annual maintenance are as set out in the proposal. Third-party subscription costs — media monitoring, and AI usage if approved — are recharged at cost and are not included in that fee. They are optional: the system functions fully without either, with the corresponding features disabled and labelled as such.</w:t>
      </w:r>
    </w:p>
    <w:p>
      <w:pPr>
        <w:spacing w:after="160" w:line="300"/>
        <w:jc w:val="both"/>
      </w:pPr>
      <w:r>
        <w:rPr>
          <w:rFonts w:ascii="Poppins" w:cs="Poppins" w:eastAsia="Poppins" w:hAnsi="Poppins"/>
          <w:color w:val="2A2E52"/>
          <w:sz w:val="21"/>
          <w:szCs w:val="21"/>
        </w:rPr>
        <w:t xml:space="preserve">Under the agreed operating model Seplat purchases usage rights and hosts the system on its own infrastructure. Once installed, Teasoo has no access to the data, the database or the running system. The application sends nothing back to Teasoo. Support is provided against the source code, which means diagnosing a production issue requires Seplat to share information deliberately.</w:t>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6E8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SPIMS — Project Status Report</dc:title>
  <dc:creator>Teasoo Consulting</dc:creator>
  <dc:description>Social Performance &amp; Impact Management System — status report v2.1</dc:description>
  <cp:lastModifiedBy>Un-named</cp:lastModifiedBy>
  <cp:revision>1</cp:revision>
  <dcterms:created xsi:type="dcterms:W3CDTF">2026-10-13T15:42:32.453Z</dcterms:created>
  <dcterms:modified xsi:type="dcterms:W3CDTF">2026-10-13T15:42:32.453Z</dcterms:modified>
</cp:coreProperties>
</file>

<file path=docProps/custom.xml><?xml version="1.0" encoding="utf-8"?>
<Properties xmlns="http://schemas.openxmlformats.org/officeDocument/2006/custom-properties" xmlns:vt="http://schemas.openxmlformats.org/officeDocument/2006/docPropsVTypes"/>
</file>