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1.1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social mention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Phase one can start now; phase two needs a budget decision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and web sources.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In the meantime we can begin media monitoring phase one, which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v1.1</dc:description>
  <cp:lastModifiedBy>Un-named</cp:lastModifiedBy>
  <cp:revision>1</cp:revision>
  <dcterms:created xsi:type="dcterms:W3CDTF">2026-09-09T12:26:07.754Z</dcterms:created>
  <dcterms:modified xsi:type="dcterms:W3CDTF">2026-09-09T12:26:07.754Z</dcterms:modified>
</cp:coreProperties>
</file>

<file path=docProps/custom.xml><?xml version="1.0" encoding="utf-8"?>
<Properties xmlns="http://schemas.openxmlformats.org/officeDocument/2006/custom-properties" xmlns:vt="http://schemas.openxmlformats.org/officeDocument/2006/docPropsVTypes"/>
</file>