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Datos Masivos</w:t>
      </w:r>
    </w:p>
    <w:p w:rsidR="00000000" w:rsidDel="00000000" w:rsidP="00000000" w:rsidRDefault="00000000" w:rsidRPr="00000000" w14:paraId="00000008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4 - Gradient-boosted tree classifier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2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Israel López Pablo                                    No.17210585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18 de Mayo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Importación de librerías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org.apache.spark.mllib.tree.GradientBoostedTrees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org.apache.spark.mllib.tree.configuration.BoostingStrategy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org.apache.spark.mllib.tree.model.GradientBoostedTreesModel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8573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carga y analiza el archivo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 data = MLUtils.loadLibSVMFile(sc, "data/mllib/sample_libsvm_data.txt")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dividen los datos en conjuntos de entrenamiento y prueba (30% retenido para prueba)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 splits = data.randomSplit(Array(0.7, 0.3))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 (trainingData, testData) = (splits(0), splits(1))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 un modelo GradientBoostedTrees.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parámetros predeterminados para la clasificación utilizan LogLoss de forma predeterminada.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 boostingStrategy = BoostingStrategy.defaultParams("Classification")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boostingStrategy.numIterations = 3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boostingStrategy.treeStrategy.numClasses =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boostingStrategy.treeStrategy.maxDepth =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3239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Vacío </w:t>
      </w:r>
      <w:r w:rsidDel="00000000" w:rsidR="00000000" w:rsidRPr="00000000">
        <w:rPr>
          <w:b w:val="1"/>
          <w:rtl w:val="0"/>
        </w:rPr>
        <w:t xml:space="preserve">categoricalFeaturesInfo</w:t>
      </w:r>
      <w:r w:rsidDel="00000000" w:rsidR="00000000" w:rsidRPr="00000000">
        <w:rPr>
          <w:b w:val="1"/>
          <w:rtl w:val="0"/>
        </w:rPr>
        <w:t xml:space="preserve"> indica que todas las características son continuas.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boostingStrategy.treeStrategy.categoricalFeaturesInfo = Map[Int, Int]()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81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 model = GradientBoostedTrees.train(trainingData, boostingStrategy)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504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modelo en instancias de prueba y calcular el error de prueba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 labelAndPreds = testData.map { point =&gt;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val prediction = model.predict(point.features)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(point.label, prediction)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 testErr = labelAndPreds.filter(r =&gt; r._1 != r._2).count.toDouble / testData.count()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println(s"Test Error = $testErr")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println(s"Learned classification GBT model:\n ${model.toDebugString}")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1371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2781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352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Guardar y cargar modelo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model.save(sc, "target/tmp/myGradientBoostingClassificationModel")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190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 sameModel = GradientBoostedTreesModel.load(sc,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"target/tmp/myGradientBoostingClassificationModel")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12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22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8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