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TQB-LIST-0053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Do you want to eat lunch at the campus cafeteria today?</w:t>
      </w:r>
    </w:p>
    <w:p>
      <w:r>
        <w:rPr>
          <w:b/>
        </w:rPr>
        <w:t xml:space="preserve">Male Speaker: </w:t>
      </w:r>
      <w:r>
        <w:t>Sure, but let's go a little later to avoid the long lines.</w:t>
      </w:r>
    </w:p>
    <w:p>
      <w:r>
        <w:rPr>
          <w:b/>
        </w:rPr>
        <w:t xml:space="preserve">Narrator: </w:t>
      </w:r>
      <w:r>
        <w:t>Why does the man want to go later?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