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Revisión de la ERS y propuesta de alcance</w:t>
      </w:r>
    </w:p>
    <w:p>
      <w:pPr>
        <w:jc w:val="center"/>
      </w:pPr>
      <w:r>
        <w:rPr>
          <w:b/>
        </w:rPr>
        <w:t>Sistema de Gestión de la Liga Municipal de Futbol Amateur Morelia</w:t>
      </w:r>
    </w:p>
    <w:p>
      <w:pPr>
        <w:jc w:val="center"/>
      </w:pPr>
      <w:r>
        <w:t>Revisión para un equipo de tres personas | Octubre de 2026</w:t>
      </w:r>
    </w:p>
    <w:p>
      <w:r>
        <w:t>Documento de trabajo académico. La evaluación se basa en el ERS adjunto (revisión 0.1, borrador sin aprobación formal). Las prioridades y reducciones de este informe son recomendaciones para discutir con el equipo, el profesor y la Liga; no modifican por sí mismas las reglas ni los acuerdos del proyecto.</w:t>
      </w:r>
    </w:p>
    <w:p>
      <w:pPr>
        <w:pStyle w:val="Heading1"/>
      </w:pPr>
      <w:r>
        <w:t>Conclusión ejecutiva</w:t>
      </w:r>
    </w:p>
    <w:p>
      <w:r>
        <w:t>Sí conviene ajustar el alcance. El ERS describe una plataforma integral de operación de liga y conserva de forma responsable muchos asuntos pendientes, pero su conjunto de módulos, casos, requisitos y modelos es mayor que un compromiso razonable para tres personas en el periodo de diez semanas que el propio documento menciona. Se recomienda entregar una versión funcional de un flujo vertical: configurar una temporada y un grupo, registrar equipos y jugadores, organizar partidos con captura manual y validación de conflictos, registrar resultados, calcular la tabla y publicar esa información. La seguridad básica, el historial y la trazabilidad de cambios críticos atraviesan ese flujo.</w:t>
      </w:r>
    </w:p>
    <w:p>
      <w:r>
        <w:t>La disciplina se conserva como registro manual acotado de una resolución/sanción y su vigencia, sujeto a confirmación de reglas y permisos. El motor de sanciones, la gestión integral de expedientes y recursos se aplazan. Así se mantiene el vínculo con la operación real sin prometer automatización jurídica/deportiva que el ERS no puede especificar todavía.</w:t>
      </w:r>
    </w:p>
    <w:p>
      <w:pPr>
        <w:pStyle w:val="Heading1"/>
      </w:pPr>
      <w:r>
        <w:t>A. Diagnóstico breve del alcance actual</w:t>
      </w:r>
    </w:p>
    <w:p>
      <w:r>
        <w:t>El documento define 12 módulos (M-01 a M-12), 93 requisitos funcionales (RF-001 a RF-093), 16 casos de uso, 9 procesos BPMN, 22 pantallas, 11 reportes, 12 tipos de usuario y una arquitectura conceptual con aplicación interna, portal público, backend/API modular, base relacional, motor de reglas y componente específico de programación. También lista hasta siete integraciones potenciales. Cada elemento es coherente con una visión integral; tomado en conjunto, supone análisis, diseño, construcción, integración y validación de muchos subdominios en paralelo.</w:t>
      </w:r>
    </w:p>
    <w:p>
      <w:r>
        <w:t>Los mayores focos de esfuerzo y riesgo son: (1) programación automática con restricciones duras y blandas; (2) disciplina con evidencias, catálogo de artículos, cálculo de vigencia, sanciones, recursos y publicación; (3) altas, renovaciones, transferencias e historial de elegibilidad; (4) ascensos, descensos y fases finales dependientes de reglas por temporada; (5) RBAC detallado para numerosos cargos; y (6) portal público, reportes, exportación, auditoría, respaldo y despliegue como capacidades adicionales. Varios de estos componentes dependen de decisiones que el mismo ERS marca [PENDIENTE].</w:t>
      </w:r>
    </w:p>
    <w:p>
      <w:r>
        <w:t>La especificación distingue bien fuentes, propuestas y pendientes; sin embargo, la prioridad «Alta/Esencial» asignada a muchas funciones se refiere al producto integral, no a lo que debe terminar el equipo este semestre. Hace falta una prioridad de entrega separada. La estimación relativa de este informe compara esfuerzo para una implementación académica acotada y no es una estimación de horas.</w:t>
      </w:r>
    </w:p>
    <w:p>
      <w:pPr>
        <w:pStyle w:val="Heading1"/>
      </w:pPr>
      <w:r>
        <w:t>B. Requisitos y módulos: prioridad, esfuerzo, riesgo y recomendación</w:t>
      </w:r>
    </w:p>
    <w:p>
      <w:r>
        <w:t>Prioridad recomendada para esta entrega: E = esencial para el flujo vertical; C = conveniente, reducible; O = opcional/aplazable. Esfuerzo relativo considera análisis, implementación e integración, no solo código.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88"/>
            <w:vAlign w:val="center"/>
            <w:shd w:fill="1F4E79"/>
          </w:tcPr>
          <w:p>
            <w:pPr>
              <w:spacing w:after="20"/>
            </w:pPr>
            <w:r/>
            <w:r>
              <w:rPr>
                <w:rFonts w:ascii="Arial" w:hAnsi="Arial"/>
                <w:b/>
                <w:color w:val="FFFFFF"/>
                <w:sz w:val="14"/>
              </w:rPr>
              <w:t>Elemento del ERS</w:t>
            </w:r>
          </w:p>
        </w:tc>
        <w:tc>
          <w:tcPr>
            <w:tcW w:type="dxa" w:w="864"/>
            <w:vAlign w:val="center"/>
            <w:shd w:fill="1F4E79"/>
          </w:tcPr>
          <w:p>
            <w:pPr>
              <w:spacing w:after="20"/>
            </w:pPr>
            <w:r/>
            <w:r>
              <w:rPr>
                <w:rFonts w:ascii="Arial" w:hAnsi="Arial"/>
                <w:b/>
                <w:color w:val="FFFFFF"/>
                <w:sz w:val="14"/>
              </w:rPr>
              <w:t>Prioridad</w:t>
            </w:r>
          </w:p>
        </w:tc>
        <w:tc>
          <w:tcPr>
            <w:tcW w:type="dxa" w:w="792"/>
            <w:vAlign w:val="center"/>
            <w:shd w:fill="1F4E79"/>
          </w:tcPr>
          <w:p>
            <w:pPr>
              <w:spacing w:after="20"/>
            </w:pPr>
            <w:r/>
            <w:r>
              <w:rPr>
                <w:rFonts w:ascii="Arial" w:hAnsi="Arial"/>
                <w:b/>
                <w:color w:val="FFFFFF"/>
                <w:sz w:val="14"/>
              </w:rPr>
              <w:t>Esfuerzo</w:t>
            </w:r>
          </w:p>
        </w:tc>
        <w:tc>
          <w:tcPr>
            <w:tcW w:type="dxa" w:w="4248"/>
            <w:vAlign w:val="center"/>
            <w:shd w:fill="1F4E79"/>
          </w:tcPr>
          <w:p>
            <w:pPr>
              <w:spacing w:after="20"/>
            </w:pPr>
            <w:r/>
            <w:r>
              <w:rPr>
                <w:rFonts w:ascii="Arial" w:hAnsi="Arial"/>
                <w:b/>
                <w:color w:val="FFFFFF"/>
                <w:sz w:val="14"/>
              </w:rPr>
              <w:t>Riesgo y recomendación</w:t>
            </w:r>
          </w:p>
        </w:tc>
        <w:tc>
          <w:tcPr>
            <w:tcW w:type="dxa" w:w="2088"/>
            <w:vAlign w:val="center"/>
            <w:shd w:fill="1F4E79"/>
          </w:tcPr>
          <w:p>
            <w:pPr>
              <w:spacing w:after="20"/>
            </w:pPr>
            <w:r/>
            <w:r>
              <w:rPr>
                <w:rFonts w:ascii="Arial" w:hAnsi="Arial"/>
                <w:b/>
                <w:color w:val="FFFFFF"/>
                <w:sz w:val="14"/>
              </w:rPr>
              <w:t>Impacto</w:t>
            </w:r>
          </w:p>
        </w:tc>
      </w:tr>
      <w:tr>
        <w:tc>
          <w:tcPr>
            <w:tcW w:type="dxa" w:w="2088"/>
            <w:vAlign w:val="center"/>
          </w:tcPr>
          <w:p>
            <w:pPr>
              <w:spacing w:after="20"/>
            </w:pPr>
            <w:r/>
            <w:r>
              <w:rPr>
                <w:rFonts w:ascii="Arial" w:hAnsi="Arial"/>
                <w:b w:val="0"/>
                <w:sz w:val="14"/>
              </w:rPr>
              <w:t>M-01 Administración y seguridad; RF-093, RNF-003/012–015</w:t>
            </w:r>
          </w:p>
        </w:tc>
        <w:tc>
          <w:tcPr>
            <w:tcW w:type="dxa" w:w="864"/>
            <w:vAlign w:val="center"/>
          </w:tcPr>
          <w:p>
            <w:pPr>
              <w:spacing w:after="20"/>
            </w:pPr>
            <w:r/>
            <w:r>
              <w:rPr>
                <w:rFonts w:ascii="Arial" w:hAnsi="Arial"/>
                <w:b w:val="0"/>
                <w:sz w:val="14"/>
              </w:rPr>
              <w:t>E (mínimo)</w:t>
            </w:r>
          </w:p>
        </w:tc>
        <w:tc>
          <w:tcPr>
            <w:tcW w:type="dxa" w:w="792"/>
            <w:vAlign w:val="center"/>
          </w:tcPr>
          <w:p>
            <w:pPr>
              <w:spacing w:after="20"/>
            </w:pPr>
            <w:r/>
            <w:r>
              <w:rPr>
                <w:rFonts w:ascii="Arial" w:hAnsi="Arial"/>
                <w:b w:val="0"/>
                <w:sz w:val="14"/>
              </w:rPr>
              <w:t>Alto</w:t>
            </w:r>
          </w:p>
        </w:tc>
        <w:tc>
          <w:tcPr>
            <w:tcW w:type="dxa" w:w="4248"/>
            <w:vAlign w:val="center"/>
          </w:tcPr>
          <w:p>
            <w:pPr>
              <w:spacing w:after="20"/>
            </w:pPr>
            <w:r/>
            <w:r>
              <w:rPr>
                <w:rFonts w:ascii="Arial" w:hAnsi="Arial"/>
                <w:b w:val="0"/>
                <w:sz w:val="14"/>
              </w:rPr>
              <w:t>RBAC con 12 perfiles, sesiones, auditoría y recuperación no están especificados. Conservar autenticación, pocos perfiles autorizados, denegación por defecto y traza de cambios críticos; acotar la matriz a acciones del flujo entregado.</w:t>
            </w:r>
          </w:p>
        </w:tc>
        <w:tc>
          <w:tcPr>
            <w:tcW w:type="dxa" w:w="2088"/>
            <w:vAlign w:val="center"/>
          </w:tcPr>
          <w:p>
            <w:pPr>
              <w:spacing w:after="20"/>
            </w:pPr>
            <w:r/>
            <w:r>
              <w:rPr>
                <w:rFonts w:ascii="Arial" w:hAnsi="Arial"/>
                <w:b w:val="0"/>
                <w:sz w:val="14"/>
              </w:rPr>
              <w:t>Reduce combinaciones de permisos; mantiene control y privacidad.</w:t>
            </w:r>
          </w:p>
        </w:tc>
      </w:tr>
      <w:tr>
        <w:tc>
          <w:tcPr>
            <w:tcW w:type="dxa" w:w="2088"/>
            <w:vAlign w:val="center"/>
          </w:tcPr>
          <w:p>
            <w:pPr>
              <w:spacing w:after="20"/>
            </w:pPr>
            <w:r/>
            <w:r>
              <w:rPr>
                <w:rFonts w:ascii="Arial" w:hAnsi="Arial"/>
                <w:b w:val="0"/>
                <w:sz w:val="14"/>
              </w:rPr>
              <w:t>M-02 Temporadas y normativa; RF-001–007</w:t>
            </w:r>
          </w:p>
        </w:tc>
        <w:tc>
          <w:tcPr>
            <w:tcW w:type="dxa" w:w="864"/>
            <w:vAlign w:val="center"/>
          </w:tcPr>
          <w:p>
            <w:pPr>
              <w:spacing w:after="20"/>
            </w:pPr>
            <w:r/>
            <w:r>
              <w:rPr>
                <w:rFonts w:ascii="Arial" w:hAnsi="Arial"/>
                <w:b w:val="0"/>
                <w:sz w:val="14"/>
              </w:rPr>
              <w:t>E (reducido)</w:t>
            </w:r>
          </w:p>
        </w:tc>
        <w:tc>
          <w:tcPr>
            <w:tcW w:type="dxa" w:w="792"/>
            <w:vAlign w:val="center"/>
          </w:tcPr>
          <w:p>
            <w:pPr>
              <w:spacing w:after="20"/>
            </w:pPr>
            <w:r/>
            <w:r>
              <w:rPr>
                <w:rFonts w:ascii="Arial" w:hAnsi="Arial"/>
                <w:b w:val="0"/>
                <w:sz w:val="14"/>
              </w:rPr>
              <w:t>Medio</w:t>
            </w:r>
          </w:p>
        </w:tc>
        <w:tc>
          <w:tcPr>
            <w:tcW w:type="dxa" w:w="4248"/>
            <w:vAlign w:val="center"/>
          </w:tcPr>
          <w:p>
            <w:pPr>
              <w:spacing w:after="20"/>
            </w:pPr>
            <w:r/>
            <w:r>
              <w:rPr>
                <w:rFonts w:ascii="Arial" w:hAnsi="Arial"/>
                <w:b w:val="0"/>
                <w:sz w:val="14"/>
              </w:rPr>
              <w:t>Conservar una temporada de trabajo, categoría/grupo y referencia/versionado básico de reglas. No construir un motor genérico; falta Reglamento/Convocatoria validada.</w:t>
            </w:r>
          </w:p>
        </w:tc>
        <w:tc>
          <w:tcPr>
            <w:tcW w:type="dxa" w:w="2088"/>
            <w:vAlign w:val="center"/>
          </w:tcPr>
          <w:p>
            <w:pPr>
              <w:spacing w:after="20"/>
            </w:pPr>
            <w:r/>
            <w:r>
              <w:rPr>
                <w:rFonts w:ascii="Arial" w:hAnsi="Arial"/>
                <w:b w:val="0"/>
                <w:sz w:val="14"/>
              </w:rPr>
              <w:t>Permite configurar el ciclo sin parametrización abierta.</w:t>
            </w:r>
          </w:p>
        </w:tc>
      </w:tr>
      <w:tr>
        <w:tc>
          <w:tcPr>
            <w:tcW w:type="dxa" w:w="2088"/>
            <w:vAlign w:val="center"/>
          </w:tcPr>
          <w:p>
            <w:pPr>
              <w:spacing w:after="20"/>
            </w:pPr>
            <w:r/>
            <w:r>
              <w:rPr>
                <w:rFonts w:ascii="Arial" w:hAnsi="Arial"/>
                <w:b w:val="0"/>
                <w:sz w:val="14"/>
              </w:rPr>
              <w:t>M-03 Organización deportiva; RF-008–012</w:t>
            </w:r>
          </w:p>
        </w:tc>
        <w:tc>
          <w:tcPr>
            <w:tcW w:type="dxa" w:w="864"/>
            <w:vAlign w:val="center"/>
          </w:tcPr>
          <w:p>
            <w:pPr>
              <w:spacing w:after="20"/>
            </w:pPr>
            <w:r/>
            <w:r>
              <w:rPr>
                <w:rFonts w:ascii="Arial" w:hAnsi="Arial"/>
                <w:b w:val="0"/>
                <w:sz w:val="14"/>
              </w:rPr>
              <w:t>E (básico)</w:t>
            </w:r>
          </w:p>
        </w:tc>
        <w:tc>
          <w:tcPr>
            <w:tcW w:type="dxa" w:w="792"/>
            <w:vAlign w:val="center"/>
          </w:tcPr>
          <w:p>
            <w:pPr>
              <w:spacing w:after="20"/>
            </w:pPr>
            <w:r/>
            <w:r>
              <w:rPr>
                <w:rFonts w:ascii="Arial" w:hAnsi="Arial"/>
                <w:b w:val="0"/>
                <w:sz w:val="14"/>
              </w:rPr>
              <w:t>Medio</w:t>
            </w:r>
          </w:p>
        </w:tc>
        <w:tc>
          <w:tcPr>
            <w:tcW w:type="dxa" w:w="4248"/>
            <w:vAlign w:val="center"/>
          </w:tcPr>
          <w:p>
            <w:pPr>
              <w:spacing w:after="20"/>
            </w:pPr>
            <w:r/>
            <w:r>
              <w:rPr>
                <w:rFonts w:ascii="Arial" w:hAnsi="Arial"/>
                <w:b w:val="0"/>
                <w:sz w:val="14"/>
              </w:rPr>
              <w:t>Registrar club/equipo para una temporada y grupo. Reutilizar datos de persona si es necesario; conservar historial donde cambia participación.</w:t>
            </w:r>
          </w:p>
        </w:tc>
        <w:tc>
          <w:tcPr>
            <w:tcW w:type="dxa" w:w="2088"/>
            <w:vAlign w:val="center"/>
          </w:tcPr>
          <w:p>
            <w:pPr>
              <w:spacing w:after="20"/>
            </w:pPr>
            <w:r/>
            <w:r>
              <w:rPr>
                <w:rFonts w:ascii="Arial" w:hAnsi="Arial"/>
                <w:b w:val="0"/>
                <w:sz w:val="14"/>
              </w:rPr>
              <w:t>Aporta los participantes necesarios para la competencia.</w:t>
            </w:r>
          </w:p>
        </w:tc>
      </w:tr>
      <w:tr>
        <w:tc>
          <w:tcPr>
            <w:tcW w:type="dxa" w:w="2088"/>
            <w:vAlign w:val="center"/>
          </w:tcPr>
          <w:p>
            <w:pPr>
              <w:spacing w:after="20"/>
            </w:pPr>
            <w:r/>
            <w:r>
              <w:rPr>
                <w:rFonts w:ascii="Arial" w:hAnsi="Arial"/>
                <w:b w:val="0"/>
                <w:sz w:val="14"/>
              </w:rPr>
              <w:t>M-04 Registro y elegibilidad; RF-013–020</w:t>
            </w:r>
          </w:p>
        </w:tc>
        <w:tc>
          <w:tcPr>
            <w:tcW w:type="dxa" w:w="864"/>
            <w:vAlign w:val="center"/>
          </w:tcPr>
          <w:p>
            <w:pPr>
              <w:spacing w:after="20"/>
            </w:pPr>
            <w:r/>
            <w:r>
              <w:rPr>
                <w:rFonts w:ascii="Arial" w:hAnsi="Arial"/>
                <w:b w:val="0"/>
                <w:sz w:val="14"/>
              </w:rPr>
              <w:t>C (básico)</w:t>
            </w:r>
          </w:p>
        </w:tc>
        <w:tc>
          <w:tcPr>
            <w:tcW w:type="dxa" w:w="792"/>
            <w:vAlign w:val="center"/>
          </w:tcPr>
          <w:p>
            <w:pPr>
              <w:spacing w:after="20"/>
            </w:pPr>
            <w:r/>
            <w:r>
              <w:rPr>
                <w:rFonts w:ascii="Arial" w:hAnsi="Arial"/>
                <w:b w:val="0"/>
                <w:sz w:val="14"/>
              </w:rPr>
              <w:t>Alto</w:t>
            </w:r>
          </w:p>
        </w:tc>
        <w:tc>
          <w:tcPr>
            <w:tcW w:type="dxa" w:w="4248"/>
            <w:vAlign w:val="center"/>
          </w:tcPr>
          <w:p>
            <w:pPr>
              <w:spacing w:after="20"/>
            </w:pPr>
            <w:r/>
            <w:r>
              <w:rPr>
                <w:rFonts w:ascii="Arial" w:hAnsi="Arial"/>
                <w:b w:val="0"/>
                <w:sz w:val="14"/>
              </w:rPr>
              <w:t>Limitar a alta/baja y estado vigente con validaciones acordadas. Aplazar renovación/transferencia y automatización de elegibilidad por reglas complejas; mantener un bloqueo explícito solo si la regla está confirmada.</w:t>
            </w:r>
          </w:p>
        </w:tc>
        <w:tc>
          <w:tcPr>
            <w:tcW w:type="dxa" w:w="2088"/>
            <w:vAlign w:val="center"/>
          </w:tcPr>
          <w:p>
            <w:pPr>
              <w:spacing w:after="20"/>
            </w:pPr>
            <w:r/>
            <w:r>
              <w:rPr>
                <w:rFonts w:ascii="Arial" w:hAnsi="Arial"/>
                <w:b w:val="0"/>
                <w:sz w:val="14"/>
              </w:rPr>
              <w:t>Evita casos transaccionales y normativos no definidos.</w:t>
            </w:r>
          </w:p>
        </w:tc>
      </w:tr>
      <w:tr>
        <w:tc>
          <w:tcPr>
            <w:tcW w:type="dxa" w:w="2088"/>
            <w:vAlign w:val="center"/>
          </w:tcPr>
          <w:p>
            <w:pPr>
              <w:spacing w:after="20"/>
            </w:pPr>
            <w:r/>
            <w:r>
              <w:rPr>
                <w:rFonts w:ascii="Arial" w:hAnsi="Arial"/>
                <w:b w:val="0"/>
                <w:sz w:val="14"/>
              </w:rPr>
              <w:t>M-05 Árbitros y designaciones; RF-021–026</w:t>
            </w:r>
          </w:p>
        </w:tc>
        <w:tc>
          <w:tcPr>
            <w:tcW w:type="dxa" w:w="864"/>
            <w:vAlign w:val="center"/>
          </w:tcPr>
          <w:p>
            <w:pPr>
              <w:spacing w:after="20"/>
            </w:pPr>
            <w:r/>
            <w:r>
              <w:rPr>
                <w:rFonts w:ascii="Arial" w:hAnsi="Arial"/>
                <w:b w:val="0"/>
                <w:sz w:val="14"/>
              </w:rPr>
              <w:t>O/C</w:t>
            </w:r>
          </w:p>
        </w:tc>
        <w:tc>
          <w:tcPr>
            <w:tcW w:type="dxa" w:w="792"/>
            <w:vAlign w:val="center"/>
          </w:tcPr>
          <w:p>
            <w:pPr>
              <w:spacing w:after="20"/>
            </w:pPr>
            <w:r/>
            <w:r>
              <w:rPr>
                <w:rFonts w:ascii="Arial" w:hAnsi="Arial"/>
                <w:b w:val="0"/>
                <w:sz w:val="14"/>
              </w:rPr>
              <w:t>Alto</w:t>
            </w:r>
          </w:p>
        </w:tc>
        <w:tc>
          <w:tcPr>
            <w:tcW w:type="dxa" w:w="4248"/>
            <w:vAlign w:val="center"/>
          </w:tcPr>
          <w:p>
            <w:pPr>
              <w:spacing w:after="20"/>
            </w:pPr>
            <w:r/>
            <w:r>
              <w:rPr>
                <w:rFonts w:ascii="Arial" w:hAnsi="Arial"/>
                <w:b w:val="0"/>
                <w:sz w:val="14"/>
              </w:rPr>
              <w:t>Aplazar catálogo, disponibilidad, designaciones y cédula integral; si el profesor exige cubrir arbitraje, limitar a asignar un árbitro como dato del partido y registrar incidencia textual.</w:t>
            </w:r>
          </w:p>
        </w:tc>
        <w:tc>
          <w:tcPr>
            <w:tcW w:type="dxa" w:w="2088"/>
            <w:vAlign w:val="center"/>
          </w:tcPr>
          <w:p>
            <w:pPr>
              <w:spacing w:after="20"/>
            </w:pPr>
            <w:r/>
            <w:r>
              <w:rPr>
                <w:rFonts w:ascii="Arial" w:hAnsi="Arial"/>
                <w:b w:val="0"/>
                <w:sz w:val="14"/>
              </w:rPr>
              <w:t>Desacopla un subsistema y sus dependencias disciplinarias.</w:t>
            </w:r>
          </w:p>
        </w:tc>
      </w:tr>
      <w:tr>
        <w:tc>
          <w:tcPr>
            <w:tcW w:type="dxa" w:w="2088"/>
            <w:vAlign w:val="center"/>
          </w:tcPr>
          <w:p>
            <w:pPr>
              <w:spacing w:after="20"/>
            </w:pPr>
            <w:r/>
            <w:r>
              <w:rPr>
                <w:rFonts w:ascii="Arial" w:hAnsi="Arial"/>
                <w:b w:val="0"/>
                <w:sz w:val="14"/>
              </w:rPr>
              <w:t>M-06 Canchas y recursos; RF-027–032</w:t>
            </w:r>
          </w:p>
        </w:tc>
        <w:tc>
          <w:tcPr>
            <w:tcW w:type="dxa" w:w="864"/>
            <w:vAlign w:val="center"/>
          </w:tcPr>
          <w:p>
            <w:pPr>
              <w:spacing w:after="20"/>
            </w:pPr>
            <w:r/>
            <w:r>
              <w:rPr>
                <w:rFonts w:ascii="Arial" w:hAnsi="Arial"/>
                <w:b w:val="0"/>
                <w:sz w:val="14"/>
              </w:rPr>
              <w:t>E (básico)</w:t>
            </w:r>
          </w:p>
        </w:tc>
        <w:tc>
          <w:tcPr>
            <w:tcW w:type="dxa" w:w="792"/>
            <w:vAlign w:val="center"/>
          </w:tcPr>
          <w:p>
            <w:pPr>
              <w:spacing w:after="20"/>
            </w:pPr>
            <w:r/>
            <w:r>
              <w:rPr>
                <w:rFonts w:ascii="Arial" w:hAnsi="Arial"/>
                <w:b w:val="0"/>
                <w:sz w:val="14"/>
              </w:rPr>
              <w:t>Medio</w:t>
            </w:r>
          </w:p>
        </w:tc>
        <w:tc>
          <w:tcPr>
            <w:tcW w:type="dxa" w:w="4248"/>
            <w:vAlign w:val="center"/>
          </w:tcPr>
          <w:p>
            <w:pPr>
              <w:spacing w:after="20"/>
            </w:pPr>
            <w:r/>
            <w:r>
              <w:rPr>
                <w:rFonts w:ascii="Arial" w:hAnsi="Arial"/>
                <w:b w:val="0"/>
                <w:sz w:val="14"/>
              </w:rPr>
              <w:t>Conservar catálogo mínimo, disponibilidad y bloqueo por intervalo; aplazar mantenimiento detallado y capacidad de partidos consecutivos.</w:t>
            </w:r>
          </w:p>
        </w:tc>
        <w:tc>
          <w:tcPr>
            <w:tcW w:type="dxa" w:w="2088"/>
            <w:vAlign w:val="center"/>
          </w:tcPr>
          <w:p>
            <w:pPr>
              <w:spacing w:after="20"/>
            </w:pPr>
            <w:r/>
            <w:r>
              <w:rPr>
                <w:rFonts w:ascii="Arial" w:hAnsi="Arial"/>
                <w:b w:val="0"/>
                <w:sz w:val="14"/>
              </w:rPr>
              <w:t>Lo mínimo necesario para validar asignaciones manuales.</w:t>
            </w:r>
          </w:p>
        </w:tc>
      </w:tr>
      <w:tr>
        <w:tc>
          <w:tcPr>
            <w:tcW w:type="dxa" w:w="2088"/>
            <w:vAlign w:val="center"/>
          </w:tcPr>
          <w:p>
            <w:pPr>
              <w:spacing w:after="20"/>
            </w:pPr>
            <w:r/>
            <w:r>
              <w:rPr>
                <w:rFonts w:ascii="Arial" w:hAnsi="Arial"/>
                <w:b w:val="0"/>
                <w:sz w:val="14"/>
              </w:rPr>
              <w:t>M-07 Programación; RF-033–042</w:t>
            </w:r>
          </w:p>
        </w:tc>
        <w:tc>
          <w:tcPr>
            <w:tcW w:type="dxa" w:w="864"/>
            <w:vAlign w:val="center"/>
          </w:tcPr>
          <w:p>
            <w:pPr>
              <w:spacing w:after="20"/>
            </w:pPr>
            <w:r/>
            <w:r>
              <w:rPr>
                <w:rFonts w:ascii="Arial" w:hAnsi="Arial"/>
                <w:b w:val="0"/>
                <w:sz w:val="14"/>
              </w:rPr>
              <w:t>E (simplificado)</w:t>
            </w:r>
          </w:p>
        </w:tc>
        <w:tc>
          <w:tcPr>
            <w:tcW w:type="dxa" w:w="792"/>
            <w:vAlign w:val="center"/>
          </w:tcPr>
          <w:p>
            <w:pPr>
              <w:spacing w:after="20"/>
            </w:pPr>
            <w:r/>
            <w:r>
              <w:rPr>
                <w:rFonts w:ascii="Arial" w:hAnsi="Arial"/>
                <w:b w:val="0"/>
                <w:sz w:val="14"/>
              </w:rPr>
              <w:t>Alto</w:t>
            </w:r>
          </w:p>
        </w:tc>
        <w:tc>
          <w:tcPr>
            <w:tcW w:type="dxa" w:w="4248"/>
            <w:vAlign w:val="center"/>
          </w:tcPr>
          <w:p>
            <w:pPr>
              <w:spacing w:after="20"/>
            </w:pPr>
            <w:r/>
            <w:r>
              <w:rPr>
                <w:rFonts w:ascii="Arial" w:hAnsi="Arial"/>
                <w:b w:val="0"/>
                <w:sz w:val="14"/>
              </w:rPr>
              <w:t>Captura/ajuste manual de jornadas y validación de equipo duplicado, cancha ocupada y no disponibilidad. Aplazar generación automática, optimización, restricciones blandas, descansos, reprogramación automática y explicación de inviabilidad global.</w:t>
            </w:r>
          </w:p>
        </w:tc>
        <w:tc>
          <w:tcPr>
            <w:tcW w:type="dxa" w:w="2088"/>
            <w:vAlign w:val="center"/>
          </w:tcPr>
          <w:p>
            <w:pPr>
              <w:spacing w:after="20"/>
            </w:pPr>
            <w:r/>
            <w:r>
              <w:rPr>
                <w:rFonts w:ascii="Arial" w:hAnsi="Arial"/>
                <w:b w:val="0"/>
                <w:sz w:val="14"/>
              </w:rPr>
              <w:t>Sostiene programación útil sin comprometer un algoritmo difícil de validar.</w:t>
            </w:r>
          </w:p>
        </w:tc>
      </w:tr>
      <w:tr>
        <w:tc>
          <w:tcPr>
            <w:tcW w:type="dxa" w:w="2088"/>
            <w:vAlign w:val="center"/>
          </w:tcPr>
          <w:p>
            <w:pPr>
              <w:spacing w:after="20"/>
            </w:pPr>
            <w:r/>
            <w:r>
              <w:rPr>
                <w:rFonts w:ascii="Arial" w:hAnsi="Arial"/>
                <w:b w:val="0"/>
                <w:sz w:val="14"/>
              </w:rPr>
              <w:t>M-08 Partidos, resultados y tablas; RF-043–056</w:t>
            </w:r>
          </w:p>
        </w:tc>
        <w:tc>
          <w:tcPr>
            <w:tcW w:type="dxa" w:w="864"/>
            <w:vAlign w:val="center"/>
          </w:tcPr>
          <w:p>
            <w:pPr>
              <w:spacing w:after="20"/>
            </w:pPr>
            <w:r/>
            <w:r>
              <w:rPr>
                <w:rFonts w:ascii="Arial" w:hAnsi="Arial"/>
                <w:b w:val="0"/>
                <w:sz w:val="14"/>
              </w:rPr>
              <w:t>E</w:t>
            </w:r>
          </w:p>
        </w:tc>
        <w:tc>
          <w:tcPr>
            <w:tcW w:type="dxa" w:w="792"/>
            <w:vAlign w:val="center"/>
          </w:tcPr>
          <w:p>
            <w:pPr>
              <w:spacing w:after="20"/>
            </w:pPr>
            <w:r/>
            <w:r>
              <w:rPr>
                <w:rFonts w:ascii="Arial" w:hAnsi="Arial"/>
                <w:b w:val="0"/>
                <w:sz w:val="14"/>
              </w:rPr>
              <w:t>Medio</w:t>
            </w:r>
          </w:p>
        </w:tc>
        <w:tc>
          <w:tcPr>
            <w:tcW w:type="dxa" w:w="4248"/>
            <w:vAlign w:val="center"/>
          </w:tcPr>
          <w:p>
            <w:pPr>
              <w:spacing w:after="20"/>
            </w:pPr>
            <w:r/>
            <w:r>
              <w:rPr>
                <w:rFonts w:ascii="Arial" w:hAnsi="Arial"/>
                <w:b w:val="0"/>
                <w:sz w:val="14"/>
              </w:rPr>
              <w:t>Conservar estados mínimos acordados, registro/validación de resultado, cálculo de tabla y recálculo autorizado. Aplazar historial de tabla por fecha y estadísticas de jugador.</w:t>
            </w:r>
          </w:p>
        </w:tc>
        <w:tc>
          <w:tcPr>
            <w:tcW w:type="dxa" w:w="2088"/>
            <w:vAlign w:val="center"/>
          </w:tcPr>
          <w:p>
            <w:pPr>
              <w:spacing w:after="20"/>
            </w:pPr>
            <w:r/>
            <w:r>
              <w:rPr>
                <w:rFonts w:ascii="Arial" w:hAnsi="Arial"/>
                <w:b w:val="0"/>
                <w:sz w:val="14"/>
              </w:rPr>
              <w:t>Es el núcleo verificable del flujo deportivo.</w:t>
            </w:r>
          </w:p>
        </w:tc>
      </w:tr>
      <w:tr>
        <w:tc>
          <w:tcPr>
            <w:tcW w:type="dxa" w:w="2088"/>
            <w:vAlign w:val="center"/>
          </w:tcPr>
          <w:p>
            <w:pPr>
              <w:spacing w:after="20"/>
            </w:pPr>
            <w:r/>
            <w:r>
              <w:rPr>
                <w:rFonts w:ascii="Arial" w:hAnsi="Arial"/>
                <w:b w:val="0"/>
                <w:sz w:val="14"/>
              </w:rPr>
              <w:t>M-09 Disciplina; RF-057–068</w:t>
            </w:r>
          </w:p>
        </w:tc>
        <w:tc>
          <w:tcPr>
            <w:tcW w:type="dxa" w:w="864"/>
            <w:vAlign w:val="center"/>
          </w:tcPr>
          <w:p>
            <w:pPr>
              <w:spacing w:after="20"/>
            </w:pPr>
            <w:r/>
            <w:r>
              <w:rPr>
                <w:rFonts w:ascii="Arial" w:hAnsi="Arial"/>
                <w:b w:val="0"/>
                <w:sz w:val="14"/>
              </w:rPr>
              <w:t>C (registro mínimo)</w:t>
            </w:r>
          </w:p>
        </w:tc>
        <w:tc>
          <w:tcPr>
            <w:tcW w:type="dxa" w:w="792"/>
            <w:vAlign w:val="center"/>
          </w:tcPr>
          <w:p>
            <w:pPr>
              <w:spacing w:after="20"/>
            </w:pPr>
            <w:r/>
            <w:r>
              <w:rPr>
                <w:rFonts w:ascii="Arial" w:hAnsi="Arial"/>
                <w:b w:val="0"/>
                <w:sz w:val="14"/>
              </w:rPr>
              <w:t>Alto</w:t>
            </w:r>
          </w:p>
        </w:tc>
        <w:tc>
          <w:tcPr>
            <w:tcW w:type="dxa" w:w="4248"/>
            <w:vAlign w:val="center"/>
          </w:tcPr>
          <w:p>
            <w:pPr>
              <w:spacing w:after="20"/>
            </w:pPr>
            <w:r/>
            <w:r>
              <w:rPr>
                <w:rFonts w:ascii="Arial" w:hAnsi="Arial"/>
                <w:b w:val="0"/>
                <w:sz w:val="14"/>
              </w:rPr>
              <w:t>Conservar registro manual de incidencia/sanción y vigencia, si la Liga valida campos y autoridad. Aplazar expediente completo, evidencias/archivos, propuesta automática, catálogo configurable, recursos y publicación pública de sanciones.</w:t>
            </w:r>
          </w:p>
        </w:tc>
        <w:tc>
          <w:tcPr>
            <w:tcW w:type="dxa" w:w="2088"/>
            <w:vAlign w:val="center"/>
          </w:tcPr>
          <w:p>
            <w:pPr>
              <w:spacing w:after="20"/>
            </w:pPr>
            <w:r/>
            <w:r>
              <w:rPr>
                <w:rFonts w:ascii="Arial" w:hAnsi="Arial"/>
                <w:b w:val="0"/>
                <w:sz w:val="14"/>
              </w:rPr>
              <w:t>Mantiene presencia del dominio y separación captura/resolución; evita automatizar reglas no confirmadas.</w:t>
            </w:r>
          </w:p>
        </w:tc>
      </w:tr>
      <w:tr>
        <w:tc>
          <w:tcPr>
            <w:tcW w:type="dxa" w:w="2088"/>
            <w:vAlign w:val="center"/>
          </w:tcPr>
          <w:p>
            <w:pPr>
              <w:spacing w:after="20"/>
            </w:pPr>
            <w:r/>
            <w:r>
              <w:rPr>
                <w:rFonts w:ascii="Arial" w:hAnsi="Arial"/>
                <w:b w:val="0"/>
                <w:sz w:val="14"/>
              </w:rPr>
              <w:t>M-10 Competencias y fases finales; RF-069–081</w:t>
            </w:r>
          </w:p>
        </w:tc>
        <w:tc>
          <w:tcPr>
            <w:tcW w:type="dxa" w:w="864"/>
            <w:vAlign w:val="center"/>
          </w:tcPr>
          <w:p>
            <w:pPr>
              <w:spacing w:after="20"/>
            </w:pPr>
            <w:r/>
            <w:r>
              <w:rPr>
                <w:rFonts w:ascii="Arial" w:hAnsi="Arial"/>
                <w:b w:val="0"/>
                <w:sz w:val="14"/>
              </w:rPr>
              <w:t>O</w:t>
            </w:r>
          </w:p>
        </w:tc>
        <w:tc>
          <w:tcPr>
            <w:tcW w:type="dxa" w:w="792"/>
            <w:vAlign w:val="center"/>
          </w:tcPr>
          <w:p>
            <w:pPr>
              <w:spacing w:after="20"/>
            </w:pPr>
            <w:r/>
            <w:r>
              <w:rPr>
                <w:rFonts w:ascii="Arial" w:hAnsi="Arial"/>
                <w:b w:val="0"/>
                <w:sz w:val="14"/>
              </w:rPr>
              <w:t>Alto</w:t>
            </w:r>
          </w:p>
        </w:tc>
        <w:tc>
          <w:tcPr>
            <w:tcW w:type="dxa" w:w="4248"/>
            <w:vAlign w:val="center"/>
          </w:tcPr>
          <w:p>
            <w:pPr>
              <w:spacing w:after="20"/>
            </w:pPr>
            <w:r/>
            <w:r>
              <w:rPr>
                <w:rFonts w:ascii="Arial" w:hAnsi="Arial"/>
                <w:b w:val="0"/>
                <w:sz w:val="14"/>
              </w:rPr>
              <w:t>Aplazar cálculo de ascensos/descensos y gestión de liguilla/fases finales; registrar el cierre fuera del sistema si forma parte de la evaluación.</w:t>
            </w:r>
          </w:p>
        </w:tc>
        <w:tc>
          <w:tcPr>
            <w:tcW w:type="dxa" w:w="2088"/>
            <w:vAlign w:val="center"/>
          </w:tcPr>
          <w:p>
            <w:pPr>
              <w:spacing w:after="20"/>
            </w:pPr>
            <w:r/>
            <w:r>
              <w:rPr>
                <w:rFonts w:ascii="Arial" w:hAnsi="Arial"/>
                <w:b w:val="0"/>
                <w:sz w:val="14"/>
              </w:rPr>
              <w:t>Depende de normativa, excepciones y formatos aún pendientes.</w:t>
            </w:r>
          </w:p>
        </w:tc>
      </w:tr>
      <w:tr>
        <w:tc>
          <w:tcPr>
            <w:tcW w:type="dxa" w:w="2088"/>
            <w:vAlign w:val="center"/>
          </w:tcPr>
          <w:p>
            <w:pPr>
              <w:spacing w:after="20"/>
            </w:pPr>
            <w:r/>
            <w:r>
              <w:rPr>
                <w:rFonts w:ascii="Arial" w:hAnsi="Arial"/>
                <w:b w:val="0"/>
                <w:sz w:val="14"/>
              </w:rPr>
              <w:t>M-11 Portal y publicación; RF-082–090</w:t>
            </w:r>
          </w:p>
        </w:tc>
        <w:tc>
          <w:tcPr>
            <w:tcW w:type="dxa" w:w="864"/>
            <w:vAlign w:val="center"/>
          </w:tcPr>
          <w:p>
            <w:pPr>
              <w:spacing w:after="20"/>
            </w:pPr>
            <w:r/>
            <w:r>
              <w:rPr>
                <w:rFonts w:ascii="Arial" w:hAnsi="Arial"/>
                <w:b w:val="0"/>
                <w:sz w:val="14"/>
              </w:rPr>
              <w:t>E (consulta mínima)</w:t>
            </w:r>
          </w:p>
        </w:tc>
        <w:tc>
          <w:tcPr>
            <w:tcW w:type="dxa" w:w="792"/>
            <w:vAlign w:val="center"/>
          </w:tcPr>
          <w:p>
            <w:pPr>
              <w:spacing w:after="20"/>
            </w:pPr>
            <w:r/>
            <w:r>
              <w:rPr>
                <w:rFonts w:ascii="Arial" w:hAnsi="Arial"/>
                <w:b w:val="0"/>
                <w:sz w:val="14"/>
              </w:rPr>
              <w:t>Medio</w:t>
            </w:r>
          </w:p>
        </w:tc>
        <w:tc>
          <w:tcPr>
            <w:tcW w:type="dxa" w:w="4248"/>
            <w:vAlign w:val="center"/>
          </w:tcPr>
          <w:p>
            <w:pPr>
              <w:spacing w:after="20"/>
            </w:pPr>
            <w:r/>
            <w:r>
              <w:rPr>
                <w:rFonts w:ascii="Arial" w:hAnsi="Arial"/>
                <w:b w:val="0"/>
                <w:sz w:val="14"/>
              </w:rPr>
              <w:t>Publicar solo programación, resultados y tabla ya autorizados; filtros básicos por temporada/grupo/equipo. Aplazar noticias, buscador general, equipos/competencias ampliados y sanciones públicas.</w:t>
            </w:r>
          </w:p>
        </w:tc>
        <w:tc>
          <w:tcPr>
            <w:tcW w:type="dxa" w:w="2088"/>
            <w:vAlign w:val="center"/>
          </w:tcPr>
          <w:p>
            <w:pPr>
              <w:spacing w:after="20"/>
            </w:pPr>
            <w:r/>
            <w:r>
              <w:rPr>
                <w:rFonts w:ascii="Arial" w:hAnsi="Arial"/>
                <w:b w:val="0"/>
                <w:sz w:val="14"/>
              </w:rPr>
              <w:t>Conserva la utilidad pública con una vista de solo lectura.</w:t>
            </w:r>
          </w:p>
        </w:tc>
      </w:tr>
      <w:tr>
        <w:tc>
          <w:tcPr>
            <w:tcW w:type="dxa" w:w="2088"/>
            <w:vAlign w:val="center"/>
          </w:tcPr>
          <w:p>
            <w:pPr>
              <w:spacing w:after="20"/>
            </w:pPr>
            <w:r/>
            <w:r>
              <w:rPr>
                <w:rFonts w:ascii="Arial" w:hAnsi="Arial"/>
                <w:b w:val="0"/>
                <w:sz w:val="14"/>
              </w:rPr>
              <w:t>M-12 Reportes/documentos; RF-091–092</w:t>
            </w:r>
          </w:p>
        </w:tc>
        <w:tc>
          <w:tcPr>
            <w:tcW w:type="dxa" w:w="864"/>
            <w:vAlign w:val="center"/>
          </w:tcPr>
          <w:p>
            <w:pPr>
              <w:spacing w:after="20"/>
            </w:pPr>
            <w:r/>
            <w:r>
              <w:rPr>
                <w:rFonts w:ascii="Arial" w:hAnsi="Arial"/>
                <w:b w:val="0"/>
                <w:sz w:val="14"/>
              </w:rPr>
              <w:t>O/C</w:t>
            </w:r>
          </w:p>
        </w:tc>
        <w:tc>
          <w:tcPr>
            <w:tcW w:type="dxa" w:w="792"/>
            <w:vAlign w:val="center"/>
          </w:tcPr>
          <w:p>
            <w:pPr>
              <w:spacing w:after="20"/>
            </w:pPr>
            <w:r/>
            <w:r>
              <w:rPr>
                <w:rFonts w:ascii="Arial" w:hAnsi="Arial"/>
                <w:b w:val="0"/>
                <w:sz w:val="14"/>
              </w:rPr>
              <w:t>Medio</w:t>
            </w:r>
          </w:p>
        </w:tc>
        <w:tc>
          <w:tcPr>
            <w:tcW w:type="dxa" w:w="4248"/>
            <w:vAlign w:val="center"/>
          </w:tcPr>
          <w:p>
            <w:pPr>
              <w:spacing w:after="20"/>
            </w:pPr>
            <w:r/>
            <w:r>
              <w:rPr>
                <w:rFonts w:ascii="Arial" w:hAnsi="Arial"/>
                <w:b w:val="0"/>
                <w:sz w:val="14"/>
              </w:rPr>
              <w:t>Aplazar reportes operativos generalizados y exportación PDF/Excel; ofrecer consultas/listados que ya forman parte del flujo principal. No implementar almacenamiento documental.</w:t>
            </w:r>
          </w:p>
        </w:tc>
        <w:tc>
          <w:tcPr>
            <w:tcW w:type="dxa" w:w="2088"/>
            <w:vAlign w:val="center"/>
          </w:tcPr>
          <w:p>
            <w:pPr>
              <w:spacing w:after="20"/>
            </w:pPr>
            <w:r/>
            <w:r>
              <w:rPr>
                <w:rFonts w:ascii="Arial" w:hAnsi="Arial"/>
                <w:b w:val="0"/>
                <w:sz w:val="14"/>
              </w:rPr>
              <w:t>Evita duplicar pantallas, plantillas, filtros y dependencias de archivo.</w:t>
            </w:r>
          </w:p>
        </w:tc>
      </w:tr>
      <w:tr>
        <w:tc>
          <w:tcPr>
            <w:tcW w:type="dxa" w:w="2088"/>
            <w:vAlign w:val="center"/>
          </w:tcPr>
          <w:p>
            <w:pPr>
              <w:spacing w:after="20"/>
            </w:pPr>
            <w:r/>
            <w:r>
              <w:rPr>
                <w:rFonts w:ascii="Arial" w:hAnsi="Arial"/>
                <w:b w:val="0"/>
                <w:sz w:val="14"/>
              </w:rPr>
              <w:t>Integraciones (correo, WhatsApp/SMS, archivos, mapas, API, autenticación externa)</w:t>
            </w:r>
          </w:p>
        </w:tc>
        <w:tc>
          <w:tcPr>
            <w:tcW w:type="dxa" w:w="864"/>
            <w:vAlign w:val="center"/>
          </w:tcPr>
          <w:p>
            <w:pPr>
              <w:spacing w:after="20"/>
            </w:pPr>
            <w:r/>
            <w:r>
              <w:rPr>
                <w:rFonts w:ascii="Arial" w:hAnsi="Arial"/>
                <w:b w:val="0"/>
                <w:sz w:val="14"/>
              </w:rPr>
              <w:t>O</w:t>
            </w:r>
          </w:p>
        </w:tc>
        <w:tc>
          <w:tcPr>
            <w:tcW w:type="dxa" w:w="792"/>
            <w:vAlign w:val="center"/>
          </w:tcPr>
          <w:p>
            <w:pPr>
              <w:spacing w:after="20"/>
            </w:pPr>
            <w:r/>
            <w:r>
              <w:rPr>
                <w:rFonts w:ascii="Arial" w:hAnsi="Arial"/>
                <w:b w:val="0"/>
                <w:sz w:val="14"/>
              </w:rPr>
              <w:t>Alto</w:t>
            </w:r>
          </w:p>
        </w:tc>
        <w:tc>
          <w:tcPr>
            <w:tcW w:type="dxa" w:w="4248"/>
            <w:vAlign w:val="center"/>
          </w:tcPr>
          <w:p>
            <w:pPr>
              <w:spacing w:after="20"/>
            </w:pPr>
            <w:r/>
            <w:r>
              <w:rPr>
                <w:rFonts w:ascii="Arial" w:hAnsi="Arial"/>
                <w:b w:val="0"/>
                <w:sz w:val="14"/>
              </w:rPr>
              <w:t>Excluir de esta entrega mientras ninguna esté aprobada. CSV/Excel también aplazado salvo que se confirme importación como necesidad imprescindible.</w:t>
            </w:r>
          </w:p>
        </w:tc>
        <w:tc>
          <w:tcPr>
            <w:tcW w:type="dxa" w:w="2088"/>
            <w:vAlign w:val="center"/>
          </w:tcPr>
          <w:p>
            <w:pPr>
              <w:spacing w:after="20"/>
            </w:pPr>
            <w:r/>
            <w:r>
              <w:rPr>
                <w:rFonts w:ascii="Arial" w:hAnsi="Arial"/>
                <w:b w:val="0"/>
                <w:sz w:val="14"/>
              </w:rPr>
              <w:t>Elimina costo externo, configuración y pruebas de interoperabilidad.</w:t>
            </w:r>
          </w:p>
        </w:tc>
      </w:tr>
      <w:tr>
        <w:tc>
          <w:tcPr>
            <w:tcW w:type="dxa" w:w="2088"/>
            <w:vAlign w:val="center"/>
          </w:tcPr>
          <w:p>
            <w:pPr>
              <w:spacing w:after="20"/>
            </w:pPr>
            <w:r/>
            <w:r>
              <w:rPr>
                <w:rFonts w:ascii="Arial" w:hAnsi="Arial"/>
                <w:b w:val="0"/>
                <w:sz w:val="14"/>
              </w:rPr>
              <w:t>Diseño, arquitectura e infraestructura</w:t>
            </w:r>
          </w:p>
        </w:tc>
        <w:tc>
          <w:tcPr>
            <w:tcW w:type="dxa" w:w="864"/>
            <w:vAlign w:val="center"/>
          </w:tcPr>
          <w:p>
            <w:pPr>
              <w:spacing w:after="20"/>
            </w:pPr>
            <w:r/>
            <w:r>
              <w:rPr>
                <w:rFonts w:ascii="Arial" w:hAnsi="Arial"/>
                <w:b w:val="0"/>
                <w:sz w:val="14"/>
              </w:rPr>
              <w:t>E (mínimo viable)</w:t>
            </w:r>
          </w:p>
        </w:tc>
        <w:tc>
          <w:tcPr>
            <w:tcW w:type="dxa" w:w="792"/>
            <w:vAlign w:val="center"/>
          </w:tcPr>
          <w:p>
            <w:pPr>
              <w:spacing w:after="20"/>
            </w:pPr>
            <w:r/>
            <w:r>
              <w:rPr>
                <w:rFonts w:ascii="Arial" w:hAnsi="Arial"/>
                <w:b w:val="0"/>
                <w:sz w:val="14"/>
              </w:rPr>
              <w:t>Medio</w:t>
            </w:r>
          </w:p>
        </w:tc>
        <w:tc>
          <w:tcPr>
            <w:tcW w:type="dxa" w:w="4248"/>
            <w:vAlign w:val="center"/>
          </w:tcPr>
          <w:p>
            <w:pPr>
              <w:spacing w:after="20"/>
            </w:pPr>
            <w:r/>
            <w:r>
              <w:rPr>
                <w:rFonts w:ascii="Arial" w:hAnsi="Arial"/>
                <w:b w:val="0"/>
                <w:sz w:val="14"/>
              </w:rPr>
              <w:t>Mantener arquitectura documentada a nivel conceptual; proponer una sola aplicación modular y una base relacional. Evitar microservicios, API pública, CI/CD y contenedores obligatorios. Despliegue/hosting queda pendiente.</w:t>
            </w:r>
          </w:p>
        </w:tc>
        <w:tc>
          <w:tcPr>
            <w:tcW w:type="dxa" w:w="2088"/>
            <w:vAlign w:val="center"/>
          </w:tcPr>
          <w:p>
            <w:pPr>
              <w:spacing w:after="20"/>
            </w:pPr>
            <w:r/>
            <w:r>
              <w:rPr>
                <w:rFonts w:ascii="Arial" w:hAnsi="Arial"/>
                <w:b w:val="0"/>
                <w:sz w:val="14"/>
              </w:rPr>
              <w:t>Reduce integración técnica sin decidir herramientas que no constan en las fuentes.</w:t>
            </w:r>
          </w:p>
        </w:tc>
      </w:tr>
      <w:tr>
        <w:tc>
          <w:tcPr>
            <w:tcW w:type="dxa" w:w="2088"/>
            <w:vAlign w:val="center"/>
          </w:tcPr>
          <w:p>
            <w:pPr>
              <w:spacing w:after="20"/>
            </w:pPr>
            <w:r/>
            <w:r>
              <w:rPr>
                <w:rFonts w:ascii="Arial" w:hAnsi="Arial"/>
                <w:b w:val="0"/>
                <w:sz w:val="14"/>
              </w:rPr>
              <w:t>Pruebas, documentación e integración</w:t>
            </w:r>
          </w:p>
        </w:tc>
        <w:tc>
          <w:tcPr>
            <w:tcW w:type="dxa" w:w="864"/>
            <w:vAlign w:val="center"/>
          </w:tcPr>
          <w:p>
            <w:pPr>
              <w:spacing w:after="20"/>
            </w:pPr>
            <w:r/>
            <w:r>
              <w:rPr>
                <w:rFonts w:ascii="Arial" w:hAnsi="Arial"/>
                <w:b w:val="0"/>
                <w:sz w:val="14"/>
              </w:rPr>
              <w:t>E</w:t>
            </w:r>
          </w:p>
        </w:tc>
        <w:tc>
          <w:tcPr>
            <w:tcW w:type="dxa" w:w="792"/>
            <w:vAlign w:val="center"/>
          </w:tcPr>
          <w:p>
            <w:pPr>
              <w:spacing w:after="20"/>
            </w:pPr>
            <w:r/>
            <w:r>
              <w:rPr>
                <w:rFonts w:ascii="Arial" w:hAnsi="Arial"/>
                <w:b w:val="0"/>
                <w:sz w:val="14"/>
              </w:rPr>
              <w:t>Alto</w:t>
            </w:r>
          </w:p>
        </w:tc>
        <w:tc>
          <w:tcPr>
            <w:tcW w:type="dxa" w:w="4248"/>
            <w:vAlign w:val="center"/>
          </w:tcPr>
          <w:p>
            <w:pPr>
              <w:spacing w:after="20"/>
            </w:pPr>
            <w:r/>
            <w:r>
              <w:rPr>
                <w:rFonts w:ascii="Arial" w:hAnsi="Arial"/>
                <w:b w:val="0"/>
                <w:sz w:val="14"/>
              </w:rPr>
              <w:t>Probar cada requisito retenido con criterios de aceptación y datos representativos; integración del flujo completo; documentación de uso y decisiones. No prometer cobertura exhaustiva de módulos aplazados.</w:t>
            </w:r>
          </w:p>
        </w:tc>
        <w:tc>
          <w:tcPr>
            <w:tcW w:type="dxa" w:w="2088"/>
            <w:vAlign w:val="center"/>
          </w:tcPr>
          <w:p>
            <w:pPr>
              <w:spacing w:after="20"/>
            </w:pPr>
            <w:r/>
            <w:r>
              <w:rPr>
                <w:rFonts w:ascii="Arial" w:hAnsi="Arial"/>
                <w:b w:val="0"/>
                <w:sz w:val="14"/>
              </w:rPr>
              <w:t>Asegura calidad dentro del alcance real.</w:t>
            </w:r>
          </w:p>
        </w:tc>
      </w:tr>
    </w:tbl>
    <w:p>
      <w:pPr>
        <w:spacing w:after="20"/>
      </w:pPr>
    </w:p>
    <w:p>
      <w:pPr>
        <w:pStyle w:val="Heading1"/>
      </w:pPr>
      <w:r>
        <w:t>C. Dudas por resolver con el equipo o el profesor</w:t>
      </w:r>
    </w:p>
    <w:p>
      <w:pPr>
        <w:pStyle w:val="ListBullet"/>
      </w:pPr>
      <w:r>
        <w:t>¿El entregable académico exige implementar todo el alcance del ERS, o basta con una versión acotada y demostrable? ¿Qué funciones exige explícitamente la rúbrica?</w:t>
      </w:r>
    </w:p>
    <w:p>
      <w:pPr>
        <w:pStyle w:val="ListBullet"/>
      </w:pPr>
      <w:r>
        <w:t>¿Las diez semanas del ERS son el calendario aplicable a esta entrega y qué entregables concretos se evaluarán (ERS, BPMN, arquitectura, prototipo, sistema desplegado, pruebas)?</w:t>
      </w:r>
    </w:p>
    <w:p>
      <w:pPr>
        <w:pStyle w:val="ListBullet"/>
      </w:pPr>
      <w:r>
        <w:t>¿La Liga o el profesor validará una temporada, grupo y conjunto de reglas de muestra? Sin Reglamento/Convocatoria confirmados no se deben fijar puntuación, desempates, transferencias, sanciones ni ascensos.</w:t>
      </w:r>
    </w:p>
    <w:p>
      <w:pPr>
        <w:pStyle w:val="ListBullet"/>
      </w:pPr>
      <w:r>
        <w:t>¿La programación automática es obligatoria en la evaluación? Si sí, ¿se acepta una primera versión limitada a generar enfrentamientos o debe asignar también fechas, horas y canchas?</w:t>
      </w:r>
    </w:p>
    <w:p>
      <w:pPr>
        <w:pStyle w:val="ListBullet"/>
      </w:pPr>
      <w:r>
        <w:t>¿La disciplina debe aparecer en el producto demostrable? Si sí, confirmar si bastan registros manuales de incidencias/resoluciones o se requieren cédulas, expediente, recurso, evidencia y castigados.</w:t>
      </w:r>
    </w:p>
    <w:p>
      <w:pPr>
        <w:pStyle w:val="ListBullet"/>
      </w:pPr>
      <w:r>
        <w:t>¿Quién puede registrar y quién puede aprobar/publicar programación, resultados y sanciones? Confirmar una matriz mínima de permisos; el ERS registra separación de captura y resolución disciplinaria.</w:t>
      </w:r>
    </w:p>
    <w:p>
      <w:pPr>
        <w:pStyle w:val="ListBullet"/>
      </w:pPr>
      <w:r>
        <w:t>¿Qué información de jugadores puede almacenar y publicar el prototipo, y qué datos deben ser ficticios? Confirmar reglas de privacidad antes de usar datos reales.</w:t>
      </w:r>
    </w:p>
    <w:p>
      <w:pPr>
        <w:pStyle w:val="ListBullet"/>
      </w:pPr>
      <w:r>
        <w:t>¿Se requiere carga de información histórica, notificaciones, exportación o alojamiento accesible en internet? Hoy son dependencias no resueltas, no requisitos aprobados.</w:t>
      </w:r>
    </w:p>
    <w:p>
      <w:pPr>
        <w:pStyle w:val="ListBullet"/>
      </w:pPr>
      <w:r>
        <w:t>¿Puede el equipo combinar responsabilidades de Scrum, análisis, arquitectura, desarrollo y pruebas durante los sprints, y quién revisará código/integración? Los roles descritos asignan áreas pero dejan carga de construcción simultánea poco visible.</w:t>
      </w:r>
    </w:p>
    <w:p>
      <w:pPr>
        <w:pStyle w:val="ListBullet"/>
      </w:pPr>
      <w:r>
        <w:t>¿Se verificará el audio R2 y las fuentes R4? El ERS señala expresamente que el audio no se transcribió de forma confiable y que el Reglamento/Convocatoria no se consultaron directamente.</w:t>
      </w:r>
    </w:p>
    <w:p>
      <w:pPr>
        <w:pStyle w:val="Heading1"/>
      </w:pPr>
      <w:r>
        <w:t>D. Alcance recomendado para tres personas</w:t>
      </w:r>
    </w:p>
    <w:p>
      <w:r>
        <w:t>Propuesta de entrega: un producto académico demostrable que cubra una competencia acotada de una temporada, una categoría/grupo y equipos registrados, de principio a fin. Los datos y reglas de la demostración deberán ser ficticios o estar autorizados; la fuente de reglas reales queda pendiente de validación.</w:t>
      </w:r>
    </w:p>
    <w:p>
      <w:pPr>
        <w:pStyle w:val="Heading2"/>
      </w:pPr>
      <w:r>
        <w:t>Se mantiene</w:t>
      </w:r>
    </w:p>
    <w:p>
      <w:pPr>
        <w:pStyle w:val="ListBullet"/>
      </w:pPr>
      <w:r>
        <w:t>Aplicación web responsive con área interna autenticada y una vista pública de solo consulta.</w:t>
      </w:r>
    </w:p>
    <w:p>
      <w:pPr>
        <w:pStyle w:val="ListBullet"/>
      </w:pPr>
      <w:r>
        <w:t>Una temporada de trabajo, categoría/grupo, equipos y jugadores con registro básico e historial necesario.</w:t>
      </w:r>
    </w:p>
    <w:p>
      <w:pPr>
        <w:pStyle w:val="ListBullet"/>
      </w:pPr>
      <w:r>
        <w:t>Cancha/sede y disponibilidad mínima, asignación manual de partidos y validación de conflictos duros básicos.</w:t>
      </w:r>
    </w:p>
    <w:p>
      <w:pPr>
        <w:pStyle w:val="ListBullet"/>
      </w:pPr>
      <w:r>
        <w:t>Ciclo de partido simplificado, captura y validación del marcador, tabla automática y recálculo tras corrección autorizada.</w:t>
      </w:r>
    </w:p>
    <w:p>
      <w:pPr>
        <w:pStyle w:val="ListBullet"/>
      </w:pPr>
      <w:r>
        <w:t>Publicación controlada de programación, resultados y tabla; distinguir borrador/revisión/publicado.</w:t>
      </w:r>
    </w:p>
    <w:p>
      <w:pPr>
        <w:pStyle w:val="ListBullet"/>
      </w:pPr>
      <w:r>
        <w:t>Control de acceso mínimo por perfiles confirmados, protección de datos, integridad de operaciones críticas e historial/auditoría mínima.</w:t>
      </w:r>
    </w:p>
    <w:p>
      <w:pPr>
        <w:pStyle w:val="ListBullet"/>
      </w:pPr>
      <w:r>
        <w:t>Registro disciplinario manual y acotado solo si se validan la necesidad, los campos y la autoridad; no calcular sanciones automáticamente.</w:t>
      </w:r>
    </w:p>
    <w:p>
      <w:pPr>
        <w:pStyle w:val="Heading2"/>
      </w:pPr>
      <w:r>
        <w:t>Se simplifica</w:t>
      </w:r>
    </w:p>
    <w:p>
      <w:pPr>
        <w:pStyle w:val="ListBullet"/>
      </w:pPr>
      <w:r>
        <w:t>12 tipos de usuario → propuesta de pocos perfiles operativos para la demo (administración, operación y disciplina, más público); nombres y permisos pendientes de validación. Mantener separación entre captura y aprobación de disciplina si esa función se incluye.</w:t>
      </w:r>
    </w:p>
    <w:p>
      <w:pPr>
        <w:pStyle w:val="ListBullet"/>
      </w:pPr>
      <w:r>
        <w:t>12 módulos → organizar el código/documentación por capacidades del flujo; no exigir que cada M-01…M-12 tenga una interfaz o servicio independiente.</w:t>
      </w:r>
    </w:p>
    <w:p>
      <w:pPr>
        <w:pStyle w:val="ListBullet"/>
      </w:pPr>
      <w:r>
        <w:t>Programación automática completa → crear/ajustar jornada manualmente y validar conflictos; no optimizar preferencias ni resolver automáticamente restricciones globales.</w:t>
      </w:r>
    </w:p>
    <w:p>
      <w:pPr>
        <w:pStyle w:val="ListBullet"/>
      </w:pPr>
      <w:r>
        <w:t>Reglas configurables → registrar la versión o referencia de la regla utilizada para esta temporada; reglas ambiguas pasan a validación humana y no se convierten en supuestos del sistema.</w:t>
      </w:r>
    </w:p>
    <w:p>
      <w:pPr>
        <w:pStyle w:val="ListBullet"/>
      </w:pPr>
      <w:r>
        <w:t>Portal público → tres consultas principales, filtros directos y solo contenido publicado.</w:t>
      </w:r>
    </w:p>
    <w:p>
      <w:pPr>
        <w:pStyle w:val="ListBullet"/>
      </w:pPr>
      <w:r>
        <w:t>RNF cuantitativos → definir solo metas medibles que el equipo pueda verificar; mantener los valores sin acordar como pendientes, no como criterios de aceptación.</w:t>
      </w:r>
    </w:p>
    <w:p>
      <w:pPr>
        <w:pStyle w:val="Heading2"/>
      </w:pPr>
      <w:r>
        <w:t>Se aplaza o excluye de esta entrega</w:t>
      </w:r>
    </w:p>
    <w:p>
      <w:pPr>
        <w:pStyle w:val="ListBullet"/>
      </w:pPr>
      <w:r>
        <w:t>Generador/optimizador completo de programación, reprogramación automática y restricciones blandas.</w:t>
      </w:r>
    </w:p>
    <w:p>
      <w:pPr>
        <w:pStyle w:val="ListBullet"/>
      </w:pPr>
      <w:r>
        <w:t>Transferencias y renovaciones complejas, estadísticas individuales, histórico de tabla por cada fecha y catálogo genérico de reglas.</w:t>
      </w:r>
    </w:p>
    <w:p>
      <w:pPr>
        <w:pStyle w:val="ListBullet"/>
      </w:pPr>
      <w:r>
        <w:t>Expedientes disciplinarios completos, evidencias documentales, propuestas automáticas, recursos, lista pública de castigados y publicación de sanciones.</w:t>
      </w:r>
    </w:p>
    <w:p>
      <w:pPr>
        <w:pStyle w:val="ListBullet"/>
      </w:pPr>
      <w:r>
        <w:t>Ascensos/descensos automatizados, llaves, calendario y flujos de liguilla/fases finales.</w:t>
      </w:r>
    </w:p>
    <w:p>
      <w:pPr>
        <w:pStyle w:val="ListBullet"/>
      </w:pPr>
      <w:r>
        <w:t>Noticias/comunicados, buscador general, reportes genéricos, PDF/Excel e importación histórica.</w:t>
      </w:r>
    </w:p>
    <w:p>
      <w:pPr>
        <w:pStyle w:val="ListBullet"/>
      </w:pPr>
      <w:r>
        <w:t>Correo, WhatsApp/SMS, mapas, API pública, autenticación externa, almacenamiento externo, CI/CD, contenedores y disponibilidad operacional cuantificada.</w:t>
      </w:r>
    </w:p>
    <w:p>
      <w:r>
        <w:t>El aplazamiento no elimina estos elementos de la visión a largo plazo. En el ERS revisado se conservan como fuera del alcance de la entrega o como pendientes, con sus identificadores y motivo, para que no aparezcan como obligaciones de diseño, implementación o aceptación.</w:t>
      </w:r>
    </w:p>
    <w:p>
      <w:pPr>
        <w:pStyle w:val="Heading1"/>
      </w:pPr>
      <w:r>
        <w:t>E. ERS revisado para la entrega del equipo</w:t>
      </w:r>
    </w:p>
    <w:p>
      <w:r>
        <w:t>Esta revisión de alcance conserva el propósito del sistema y los elementos válidos del ERS 0.1, pero delimita qué se propone construir en esta entrega. Los cambios son propuestas académicas pendientes de aprobación; no sustituyen una validación de la Liga ni alteran reglas deportivas.</w:t>
      </w:r>
    </w:p>
    <w:p>
      <w:pPr>
        <w:pStyle w:val="Heading2"/>
      </w:pPr>
      <w:r>
        <w:t>E.1 Introducción, propósito y alcance</w:t>
      </w:r>
    </w:p>
    <w:p>
      <w:r>
        <w:t>El sistema propuesto es una aplicación web responsive para apoyar un flujo de competencia de la Liga Municipal de Futbol Amateur Morelia. La entrega se limita a una temporada, una categoría/grupo de demostración y su flujo de participantes, partidos, resultados, tabla y publicación básica. La información pública será solo de consulta y se expondrá después de validación/autorización. El nombre final, la operación real, reglas, permisos y uso de datos reales siguen [PENDIENTE].</w:t>
      </w:r>
    </w:p>
    <w:p>
      <w:r>
        <w:t>El objetivo de esta entrega es demostrar que la información de una competencia puede registrarse de forma consistente, programarse con validaciones básicas, cerrarse con resultados y consultarse públicamente sin exponer información interna. No se afirma que la entrega reemplace el sistema integral descrito en la visión original.</w:t>
      </w:r>
    </w:p>
    <w:p>
      <w:pPr>
        <w:pStyle w:val="Heading2"/>
      </w:pPr>
      <w:r>
        <w:t>E.2 Funcionalidad incluida y no incluida</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1F4E79"/>
          </w:tcPr>
          <w:p>
            <w:pPr>
              <w:spacing w:after="20"/>
            </w:pPr>
            <w:r/>
            <w:r>
              <w:rPr>
                <w:rFonts w:ascii="Arial" w:hAnsi="Arial"/>
                <w:b/>
                <w:color w:val="FFFFFF"/>
                <w:sz w:val="14"/>
              </w:rPr>
              <w:t>Área</w:t>
            </w:r>
          </w:p>
        </w:tc>
        <w:tc>
          <w:tcPr>
            <w:tcW w:type="dxa" w:w="7416"/>
            <w:vAlign w:val="center"/>
            <w:shd w:fill="1F4E79"/>
          </w:tcPr>
          <w:p>
            <w:pPr>
              <w:spacing w:after="20"/>
            </w:pPr>
            <w:r/>
            <w:r>
              <w:rPr>
                <w:rFonts w:ascii="Arial" w:hAnsi="Arial"/>
                <w:b/>
                <w:color w:val="FFFFFF"/>
                <w:sz w:val="14"/>
              </w:rPr>
              <w:t>Requisitos fuente y tratamiento explícito</w:t>
            </w:r>
          </w:p>
        </w:tc>
        <w:tc>
          <w:tcPr>
            <w:tcW w:type="dxa" w:w="1008"/>
            <w:vAlign w:val="center"/>
            <w:shd w:fill="1F4E79"/>
          </w:tcPr>
          <w:p>
            <w:pPr>
              <w:spacing w:after="20"/>
            </w:pPr>
            <w:r/>
            <w:r>
              <w:rPr>
                <w:rFonts w:ascii="Arial" w:hAnsi="Arial"/>
                <w:b/>
                <w:color w:val="FFFFFF"/>
                <w:sz w:val="14"/>
              </w:rPr>
              <w:t>Estado</w:t>
            </w:r>
          </w:p>
        </w:tc>
      </w:tr>
      <w:tr>
        <w:tc>
          <w:tcPr>
            <w:tcW w:type="dxa" w:w="1800"/>
            <w:vAlign w:val="center"/>
          </w:tcPr>
          <w:p>
            <w:pPr>
              <w:spacing w:after="20"/>
            </w:pPr>
            <w:r/>
            <w:r>
              <w:rPr>
                <w:rFonts w:ascii="Arial" w:hAnsi="Arial"/>
                <w:b w:val="0"/>
                <w:sz w:val="14"/>
              </w:rPr>
              <w:t>Configuración de competencia</w:t>
            </w:r>
          </w:p>
        </w:tc>
        <w:tc>
          <w:tcPr>
            <w:tcW w:type="dxa" w:w="7416"/>
            <w:vAlign w:val="center"/>
          </w:tcPr>
          <w:p>
            <w:pPr>
              <w:spacing w:after="20"/>
            </w:pPr>
            <w:r/>
            <w:r>
              <w:rPr>
                <w:rFonts w:ascii="Arial" w:hAnsi="Arial"/>
                <w:b w:val="0"/>
                <w:sz w:val="14"/>
              </w:rPr>
              <w:t>RF-001, 003–005: mantener una temporada de trabajo, categoría/grupo y su histórico básico. RF-002/006: asociar referencia/versionado básico de convocatoria/reglas, sujeto a validación. RF-007: interpretación pendiente no se automatiza.</w:t>
            </w:r>
          </w:p>
        </w:tc>
        <w:tc>
          <w:tcPr>
            <w:tcW w:type="dxa" w:w="1008"/>
            <w:vAlign w:val="center"/>
          </w:tcPr>
          <w:p>
            <w:pPr>
              <w:spacing w:after="20"/>
            </w:pPr>
            <w:r/>
            <w:r>
              <w:rPr>
                <w:rFonts w:ascii="Arial" w:hAnsi="Arial"/>
                <w:b w:val="0"/>
                <w:sz w:val="14"/>
              </w:rPr>
              <w:t>Incluido/reducido</w:t>
            </w:r>
          </w:p>
        </w:tc>
      </w:tr>
      <w:tr>
        <w:tc>
          <w:tcPr>
            <w:tcW w:type="dxa" w:w="1800"/>
            <w:vAlign w:val="center"/>
          </w:tcPr>
          <w:p>
            <w:pPr>
              <w:spacing w:after="20"/>
            </w:pPr>
            <w:r/>
            <w:r>
              <w:rPr>
                <w:rFonts w:ascii="Arial" w:hAnsi="Arial"/>
                <w:b w:val="0"/>
                <w:sz w:val="14"/>
              </w:rPr>
              <w:t>Clubes, equipos y personas</w:t>
            </w:r>
          </w:p>
        </w:tc>
        <w:tc>
          <w:tcPr>
            <w:tcW w:type="dxa" w:w="7416"/>
            <w:vAlign w:val="center"/>
          </w:tcPr>
          <w:p>
            <w:pPr>
              <w:spacing w:after="20"/>
            </w:pPr>
            <w:r/>
            <w:r>
              <w:rPr>
                <w:rFonts w:ascii="Arial" w:hAnsi="Arial"/>
                <w:b w:val="0"/>
                <w:sz w:val="14"/>
              </w:rPr>
              <w:t>RF-008–010: registro básico de clubes/equipos/personas necesarios para la competencia. RF-011–012: reutilización e historial en el grado necesario para evitar duplicidad y pérdida del vínculo por temporada.</w:t>
            </w:r>
          </w:p>
        </w:tc>
        <w:tc>
          <w:tcPr>
            <w:tcW w:type="dxa" w:w="1008"/>
            <w:vAlign w:val="center"/>
          </w:tcPr>
          <w:p>
            <w:pPr>
              <w:spacing w:after="20"/>
            </w:pPr>
            <w:r/>
            <w:r>
              <w:rPr>
                <w:rFonts w:ascii="Arial" w:hAnsi="Arial"/>
                <w:b w:val="0"/>
                <w:sz w:val="14"/>
              </w:rPr>
              <w:t>Incluido/reducido</w:t>
            </w:r>
          </w:p>
        </w:tc>
      </w:tr>
      <w:tr>
        <w:tc>
          <w:tcPr>
            <w:tcW w:type="dxa" w:w="1800"/>
            <w:vAlign w:val="center"/>
          </w:tcPr>
          <w:p>
            <w:pPr>
              <w:spacing w:after="20"/>
            </w:pPr>
            <w:r/>
            <w:r>
              <w:rPr>
                <w:rFonts w:ascii="Arial" w:hAnsi="Arial"/>
                <w:b w:val="0"/>
                <w:sz w:val="14"/>
              </w:rPr>
              <w:t>Registro y elegibilidad</w:t>
            </w:r>
          </w:p>
        </w:tc>
        <w:tc>
          <w:tcPr>
            <w:tcW w:type="dxa" w:w="7416"/>
            <w:vAlign w:val="center"/>
          </w:tcPr>
          <w:p>
            <w:pPr>
              <w:spacing w:after="20"/>
            </w:pPr>
            <w:r/>
            <w:r>
              <w:rPr>
                <w:rFonts w:ascii="Arial" w:hAnsi="Arial"/>
                <w:b w:val="0"/>
                <w:sz w:val="14"/>
              </w:rPr>
              <w:t>RF-013–014: alta/baja y estado vigente. RF-017/019–020 solo cuando reglas y causas de bloqueo hayan sido confirmadas. RF-015–016/018 se aplazan salvo que la regla y evaluación las exijan.</w:t>
            </w:r>
          </w:p>
        </w:tc>
        <w:tc>
          <w:tcPr>
            <w:tcW w:type="dxa" w:w="1008"/>
            <w:vAlign w:val="center"/>
          </w:tcPr>
          <w:p>
            <w:pPr>
              <w:spacing w:after="20"/>
            </w:pPr>
            <w:r/>
            <w:r>
              <w:rPr>
                <w:rFonts w:ascii="Arial" w:hAnsi="Arial"/>
                <w:b w:val="0"/>
                <w:sz w:val="14"/>
              </w:rPr>
              <w:t>Parcial</w:t>
            </w:r>
          </w:p>
        </w:tc>
      </w:tr>
      <w:tr>
        <w:tc>
          <w:tcPr>
            <w:tcW w:type="dxa" w:w="1800"/>
            <w:vAlign w:val="center"/>
          </w:tcPr>
          <w:p>
            <w:pPr>
              <w:spacing w:after="20"/>
            </w:pPr>
            <w:r/>
            <w:r>
              <w:rPr>
                <w:rFonts w:ascii="Arial" w:hAnsi="Arial"/>
                <w:b w:val="0"/>
                <w:sz w:val="14"/>
              </w:rPr>
              <w:t>Árbitros y cédula</w:t>
            </w:r>
          </w:p>
        </w:tc>
        <w:tc>
          <w:tcPr>
            <w:tcW w:type="dxa" w:w="7416"/>
            <w:vAlign w:val="center"/>
          </w:tcPr>
          <w:p>
            <w:pPr>
              <w:spacing w:after="20"/>
            </w:pPr>
            <w:r/>
            <w:r>
              <w:rPr>
                <w:rFonts w:ascii="Arial" w:hAnsi="Arial"/>
                <w:b w:val="0"/>
                <w:sz w:val="14"/>
              </w:rPr>
              <w:t>RF-021–026: fuera de alcance del flujo mínimo; posible campo manual de árbitro en el partido sin módulo de disponibilidad/designación. Cédula/captura de incidencias pendiente de confirmación académica.</w:t>
            </w:r>
          </w:p>
        </w:tc>
        <w:tc>
          <w:tcPr>
            <w:tcW w:type="dxa" w:w="1008"/>
            <w:vAlign w:val="center"/>
          </w:tcPr>
          <w:p>
            <w:pPr>
              <w:spacing w:after="20"/>
            </w:pPr>
            <w:r/>
            <w:r>
              <w:rPr>
                <w:rFonts w:ascii="Arial" w:hAnsi="Arial"/>
                <w:b w:val="0"/>
                <w:sz w:val="14"/>
              </w:rPr>
              <w:t>Aplazado/parcial</w:t>
            </w:r>
          </w:p>
        </w:tc>
      </w:tr>
      <w:tr>
        <w:tc>
          <w:tcPr>
            <w:tcW w:type="dxa" w:w="1800"/>
            <w:vAlign w:val="center"/>
          </w:tcPr>
          <w:p>
            <w:pPr>
              <w:spacing w:after="20"/>
            </w:pPr>
            <w:r/>
            <w:r>
              <w:rPr>
                <w:rFonts w:ascii="Arial" w:hAnsi="Arial"/>
                <w:b w:val="0"/>
                <w:sz w:val="14"/>
              </w:rPr>
              <w:t>Canchas</w:t>
            </w:r>
          </w:p>
        </w:tc>
        <w:tc>
          <w:tcPr>
            <w:tcW w:type="dxa" w:w="7416"/>
            <w:vAlign w:val="center"/>
          </w:tcPr>
          <w:p>
            <w:pPr>
              <w:spacing w:after="20"/>
            </w:pPr>
            <w:r/>
            <w:r>
              <w:rPr>
                <w:rFonts w:ascii="Arial" w:hAnsi="Arial"/>
                <w:b w:val="0"/>
                <w:sz w:val="14"/>
              </w:rPr>
              <w:t>RF-027, 029–030: catálogo y disponibilidad/bloqueo mínimos para validación. RF-028 y 031–032 se aplazan o reducen a datos necesarios.</w:t>
            </w:r>
          </w:p>
        </w:tc>
        <w:tc>
          <w:tcPr>
            <w:tcW w:type="dxa" w:w="1008"/>
            <w:vAlign w:val="center"/>
          </w:tcPr>
          <w:p>
            <w:pPr>
              <w:spacing w:after="20"/>
            </w:pPr>
            <w:r/>
            <w:r>
              <w:rPr>
                <w:rFonts w:ascii="Arial" w:hAnsi="Arial"/>
                <w:b w:val="0"/>
                <w:sz w:val="14"/>
              </w:rPr>
              <w:t>Incluido/reducido</w:t>
            </w:r>
          </w:p>
        </w:tc>
      </w:tr>
      <w:tr>
        <w:tc>
          <w:tcPr>
            <w:tcW w:type="dxa" w:w="1800"/>
            <w:vAlign w:val="center"/>
          </w:tcPr>
          <w:p>
            <w:pPr>
              <w:spacing w:after="20"/>
            </w:pPr>
            <w:r/>
            <w:r>
              <w:rPr>
                <w:rFonts w:ascii="Arial" w:hAnsi="Arial"/>
                <w:b w:val="0"/>
                <w:sz w:val="14"/>
              </w:rPr>
              <w:t>Programación</w:t>
            </w:r>
          </w:p>
        </w:tc>
        <w:tc>
          <w:tcPr>
            <w:tcW w:type="dxa" w:w="7416"/>
            <w:vAlign w:val="center"/>
          </w:tcPr>
          <w:p>
            <w:pPr>
              <w:spacing w:after="20"/>
            </w:pPr>
            <w:r/>
            <w:r>
              <w:rPr>
                <w:rFonts w:ascii="Arial" w:hAnsi="Arial"/>
                <w:b w:val="0"/>
                <w:sz w:val="14"/>
              </w:rPr>
              <w:t>RF-033, 036, 039–040: crear/ajustar partidos manualmente y evitar conflictos básicos. RF-034–035, 037–038, 041–042: generación automática, descansos, reprogramación y explicación de inviabilidad global se aplazan.</w:t>
            </w:r>
          </w:p>
        </w:tc>
        <w:tc>
          <w:tcPr>
            <w:tcW w:type="dxa" w:w="1008"/>
            <w:vAlign w:val="center"/>
          </w:tcPr>
          <w:p>
            <w:pPr>
              <w:spacing w:after="20"/>
            </w:pPr>
            <w:r/>
            <w:r>
              <w:rPr>
                <w:rFonts w:ascii="Arial" w:hAnsi="Arial"/>
                <w:b w:val="0"/>
                <w:sz w:val="14"/>
              </w:rPr>
              <w:t>Incluido/reducido</w:t>
            </w:r>
          </w:p>
        </w:tc>
      </w:tr>
      <w:tr>
        <w:tc>
          <w:tcPr>
            <w:tcW w:type="dxa" w:w="1800"/>
            <w:vAlign w:val="center"/>
          </w:tcPr>
          <w:p>
            <w:pPr>
              <w:spacing w:after="20"/>
            </w:pPr>
            <w:r/>
            <w:r>
              <w:rPr>
                <w:rFonts w:ascii="Arial" w:hAnsi="Arial"/>
                <w:b w:val="0"/>
                <w:sz w:val="14"/>
              </w:rPr>
              <w:t>Partidos y resultados</w:t>
            </w:r>
          </w:p>
        </w:tc>
        <w:tc>
          <w:tcPr>
            <w:tcW w:type="dxa" w:w="7416"/>
            <w:vAlign w:val="center"/>
          </w:tcPr>
          <w:p>
            <w:pPr>
              <w:spacing w:after="20"/>
            </w:pPr>
            <w:r/>
            <w:r>
              <w:rPr>
                <w:rFonts w:ascii="Arial" w:hAnsi="Arial"/>
                <w:b w:val="0"/>
                <w:sz w:val="14"/>
              </w:rPr>
              <w:t>RF-043–048, 052–053: estados mínimos, captura/validación de resultado, recálculo autorizado y estadísticas de equipo necesarias para tabla. RF-044–046, 055–056: historial, permisos, dato oficial y publicación controlada. RF-051 y 054 se aplazan.</w:t>
            </w:r>
          </w:p>
        </w:tc>
        <w:tc>
          <w:tcPr>
            <w:tcW w:type="dxa" w:w="1008"/>
            <w:vAlign w:val="center"/>
          </w:tcPr>
          <w:p>
            <w:pPr>
              <w:spacing w:after="20"/>
            </w:pPr>
            <w:r/>
            <w:r>
              <w:rPr>
                <w:rFonts w:ascii="Arial" w:hAnsi="Arial"/>
                <w:b w:val="0"/>
                <w:sz w:val="14"/>
              </w:rPr>
              <w:t>Incluido</w:t>
            </w:r>
          </w:p>
        </w:tc>
      </w:tr>
      <w:tr>
        <w:tc>
          <w:tcPr>
            <w:tcW w:type="dxa" w:w="1800"/>
            <w:vAlign w:val="center"/>
          </w:tcPr>
          <w:p>
            <w:pPr>
              <w:spacing w:after="20"/>
            </w:pPr>
            <w:r/>
            <w:r>
              <w:rPr>
                <w:rFonts w:ascii="Arial" w:hAnsi="Arial"/>
                <w:b w:val="0"/>
                <w:sz w:val="14"/>
              </w:rPr>
              <w:t>Disciplina</w:t>
            </w:r>
          </w:p>
        </w:tc>
        <w:tc>
          <w:tcPr>
            <w:tcW w:type="dxa" w:w="7416"/>
            <w:vAlign w:val="center"/>
          </w:tcPr>
          <w:p>
            <w:pPr>
              <w:spacing w:after="20"/>
            </w:pPr>
            <w:r/>
            <w:r>
              <w:rPr>
                <w:rFonts w:ascii="Arial" w:hAnsi="Arial"/>
                <w:b w:val="0"/>
                <w:sz w:val="14"/>
              </w:rPr>
              <w:t>RF-057–068: solo registro manual mínimo de incidente/resolución/vigencia si se valida; sin motor de sanciones, evidencias/archivos, recursos, lista pública ni publicación de sanciones. RF-064 se implementa solo después de aclarar AMB-001.</w:t>
            </w:r>
          </w:p>
        </w:tc>
        <w:tc>
          <w:tcPr>
            <w:tcW w:type="dxa" w:w="1008"/>
            <w:vAlign w:val="center"/>
          </w:tcPr>
          <w:p>
            <w:pPr>
              <w:spacing w:after="20"/>
            </w:pPr>
            <w:r/>
            <w:r>
              <w:rPr>
                <w:rFonts w:ascii="Arial" w:hAnsi="Arial"/>
                <w:b w:val="0"/>
                <w:sz w:val="14"/>
              </w:rPr>
              <w:t>Parcial; pendiente</w:t>
            </w:r>
          </w:p>
        </w:tc>
      </w:tr>
      <w:tr>
        <w:tc>
          <w:tcPr>
            <w:tcW w:type="dxa" w:w="1800"/>
            <w:vAlign w:val="center"/>
          </w:tcPr>
          <w:p>
            <w:pPr>
              <w:spacing w:after="20"/>
            </w:pPr>
            <w:r/>
            <w:r>
              <w:rPr>
                <w:rFonts w:ascii="Arial" w:hAnsi="Arial"/>
                <w:b w:val="0"/>
                <w:sz w:val="14"/>
              </w:rPr>
              <w:t>Competencias/fases finales</w:t>
            </w:r>
          </w:p>
        </w:tc>
        <w:tc>
          <w:tcPr>
            <w:tcW w:type="dxa" w:w="7416"/>
            <w:vAlign w:val="center"/>
          </w:tcPr>
          <w:p>
            <w:pPr>
              <w:spacing w:after="20"/>
            </w:pPr>
            <w:r/>
            <w:r>
              <w:rPr>
                <w:rFonts w:ascii="Arial" w:hAnsi="Arial"/>
                <w:b w:val="0"/>
                <w:sz w:val="14"/>
              </w:rPr>
              <w:t>RF-069–081: aplazados. No se incluyen ascensos/descensos automáticos, liguilla ni llaves.</w:t>
            </w:r>
          </w:p>
        </w:tc>
        <w:tc>
          <w:tcPr>
            <w:tcW w:type="dxa" w:w="1008"/>
            <w:vAlign w:val="center"/>
          </w:tcPr>
          <w:p>
            <w:pPr>
              <w:spacing w:after="20"/>
            </w:pPr>
            <w:r/>
            <w:r>
              <w:rPr>
                <w:rFonts w:ascii="Arial" w:hAnsi="Arial"/>
                <w:b w:val="0"/>
                <w:sz w:val="14"/>
              </w:rPr>
              <w:t>Fuera de alcance</w:t>
            </w:r>
          </w:p>
        </w:tc>
      </w:tr>
      <w:tr>
        <w:tc>
          <w:tcPr>
            <w:tcW w:type="dxa" w:w="1800"/>
            <w:vAlign w:val="center"/>
          </w:tcPr>
          <w:p>
            <w:pPr>
              <w:spacing w:after="20"/>
            </w:pPr>
            <w:r/>
            <w:r>
              <w:rPr>
                <w:rFonts w:ascii="Arial" w:hAnsi="Arial"/>
                <w:b w:val="0"/>
                <w:sz w:val="14"/>
              </w:rPr>
              <w:t>Consulta pública</w:t>
            </w:r>
          </w:p>
        </w:tc>
        <w:tc>
          <w:tcPr>
            <w:tcW w:type="dxa" w:w="7416"/>
            <w:vAlign w:val="center"/>
          </w:tcPr>
          <w:p>
            <w:pPr>
              <w:spacing w:after="20"/>
            </w:pPr>
            <w:r/>
            <w:r>
              <w:rPr>
                <w:rFonts w:ascii="Arial" w:hAnsi="Arial"/>
                <w:b w:val="0"/>
                <w:sz w:val="14"/>
              </w:rPr>
              <w:t>RF-082–084, 090: consulta publicada de programación, resultados y tabla. RF-085–089 se reducen o aplazan; sanciones públicas no incluidas.</w:t>
            </w:r>
          </w:p>
        </w:tc>
        <w:tc>
          <w:tcPr>
            <w:tcW w:type="dxa" w:w="1008"/>
            <w:vAlign w:val="center"/>
          </w:tcPr>
          <w:p>
            <w:pPr>
              <w:spacing w:after="20"/>
            </w:pPr>
            <w:r/>
            <w:r>
              <w:rPr>
                <w:rFonts w:ascii="Arial" w:hAnsi="Arial"/>
                <w:b w:val="0"/>
                <w:sz w:val="14"/>
              </w:rPr>
              <w:t>Incluido/reducido</w:t>
            </w:r>
          </w:p>
        </w:tc>
      </w:tr>
      <w:tr>
        <w:tc>
          <w:tcPr>
            <w:tcW w:type="dxa" w:w="1800"/>
            <w:vAlign w:val="center"/>
          </w:tcPr>
          <w:p>
            <w:pPr>
              <w:spacing w:after="20"/>
            </w:pPr>
            <w:r/>
            <w:r>
              <w:rPr>
                <w:rFonts w:ascii="Arial" w:hAnsi="Arial"/>
                <w:b w:val="0"/>
                <w:sz w:val="14"/>
              </w:rPr>
              <w:t>Reportes y auditoría</w:t>
            </w:r>
          </w:p>
        </w:tc>
        <w:tc>
          <w:tcPr>
            <w:tcW w:type="dxa" w:w="7416"/>
            <w:vAlign w:val="center"/>
          </w:tcPr>
          <w:p>
            <w:pPr>
              <w:spacing w:after="20"/>
            </w:pPr>
            <w:r/>
            <w:r>
              <w:rPr>
                <w:rFonts w:ascii="Arial" w:hAnsi="Arial"/>
                <w:b w:val="0"/>
                <w:sz w:val="14"/>
              </w:rPr>
              <w:t>RF-093: auditoría mínima de acciones críticas. RF-091–092: reportes genéricos y exportación PDF/Excel aplazados; consultas principales son parte de M-08/M-11.</w:t>
            </w:r>
          </w:p>
        </w:tc>
        <w:tc>
          <w:tcPr>
            <w:tcW w:type="dxa" w:w="1008"/>
            <w:vAlign w:val="center"/>
          </w:tcPr>
          <w:p>
            <w:pPr>
              <w:spacing w:after="20"/>
            </w:pPr>
            <w:r/>
            <w:r>
              <w:rPr>
                <w:rFonts w:ascii="Arial" w:hAnsi="Arial"/>
                <w:b w:val="0"/>
                <w:sz w:val="14"/>
              </w:rPr>
              <w:t>Parcial</w:t>
            </w:r>
          </w:p>
        </w:tc>
      </w:tr>
    </w:tbl>
    <w:p>
      <w:pPr>
        <w:spacing w:after="20"/>
      </w:pPr>
    </w:p>
    <w:p>
      <w:pPr>
        <w:pStyle w:val="Heading2"/>
      </w:pPr>
      <w:r>
        <w:t>E.3 Requisitos no funcionales y reglas</w:t>
      </w:r>
    </w:p>
    <w:p>
      <w:r>
        <w:t>Se mantienen como requisitos transversales de la entrega: RNF-003 mínimo privilegio, RNF-004 integridad transaccional, RNF-007 diseño responsive, RNF-012 protección y separación de datos personales/públicos, RNF-013 almacenamiento seguro de credenciales si se manejan contraseñas, RNF-014 control de sesión acorde a la solución, RNF-015 trazabilidad mínima; RN-001, RN-003, RN-005, RN-006 y RN-019–025 en la parte que aplique al flujo retenido. Deben transformarse en criterios de aceptación observables.</w:t>
      </w:r>
    </w:p>
    <w:p>
      <w:r>
        <w:t>RNF-001 disponibilidad, RNF-002 rendimiento, RNF-008 nivel de accesibilidad, RNF-010 recuperación, RNF-011 observabilidad y cualquier objetivo cuantitativo permanecen pendientes hasta acordar medidas y entorno. RNF-005 escalabilidad se limita a permitir nuevas temporadas/categorías sin exigir una plataforma de producción. Las reglas de puntos, desempates, estados definitivos, elegibilidad y sanciones requieren confirmación; si no se confirman, usar datos/reglas de demostración identificados como tales y no presentarlos como oficiales.</w:t>
      </w:r>
    </w:p>
    <w:p>
      <w:pPr>
        <w:pStyle w:val="Heading2"/>
      </w:pPr>
      <w:r>
        <w:t>E.4 Usuarios, interfaces y datos</w:t>
      </w:r>
    </w:p>
    <w:p>
      <w:r>
        <w:t>El portal público es de solo lectura. Para la demo se propone reducir perfiles a administración, operación y, si se aprueba disciplina, captura/resolución separadas; es una simplificación [PROPUESTA], no una definición de la organización de la Liga. La lista de 12 actores y matriz rol→módulo→acción del ERS fuente se conservan como referencia del producto integral, no como perfiles comprometidos de esta entrega. Confirmar con profesor/Liga antes de cerrar permisos.</w:t>
      </w:r>
    </w:p>
    <w:p>
      <w:r>
        <w:t>La interfaz mínima comprende autenticación interna, formularios/listados del flujo retenido y consultas públicas de programación, resultado y tabla. No se requiere UI independiente para cada pantalla UI-001…UI-022 si una vista puede cubrir de forma clara la misma función. El modelo conceptual se limita a temporada, categoría/grupo, equipo/club, persona/registro, cancha/disponibilidad, partido/programación, resultado, usuario/rol y publicación/auditoría; disciplina mínima solo si se autoriza. Atributos, cardinalidades y retención permanecen pendientes hasta validar reglas/datos.</w:t>
      </w:r>
    </w:p>
    <w:p>
      <w:pPr>
        <w:pStyle w:val="Heading2"/>
      </w:pPr>
      <w:r>
        <w:t>E.5 Arquitectura, integraciones y restricciones</w:t>
      </w:r>
    </w:p>
    <w:p>
      <w:r>
        <w:t>Como propuesta para reducir trabajo de integración, evaluar una aplicación modular única con persistencia relacional y área pública de consulta. Mantener separación lógica entre interfaz, reglas, autorización y datos; no convertir el “motor de reglas desacoplado” ni el “servicio específico de programación” en servicios desplegables separados para esta entrega. El equipo debe justificar su decisión técnica de acuerdo con la restricción original; el stack concreto no se prescribe en esta revisión.</w:t>
      </w:r>
    </w:p>
    <w:p>
      <w:r>
        <w:t>No se incluyen integraciones externas ni almacenamiento documental. Importación histórica, hosting/dominio, ambiente de producción, API pública, CI/CD y contenedores quedan fuera de alcance o pendientes de exigencia académica. Ningún usuario público podrá editar información.</w:t>
      </w:r>
    </w:p>
    <w:p>
      <w:pPr>
        <w:pStyle w:val="Heading2"/>
      </w:pPr>
      <w:r>
        <w:t>E.6 Casos de uso y procesos revisados</w:t>
      </w:r>
    </w:p>
    <w:p>
      <w:r>
        <w:t>Casos de uso para esta entrega: CU-001 Registrar temporada (reducido); CU-002 Configurar categoría/grupo; CU-003 Registrar club/equipo; CU-004 Registrar jugador (alta/baja básica); CU-005 Registrar cancha (mínimo); CU-006 Crear/ajustar programación manual y validar conflictos; CU-007 Aprobar/publicar programación; CU-008 Registrar/validar resultado; CU-009 Calcular tabla; CU-016 Consultar portal público. CU-010 Capturar cédula y CU-011 Resolver sanción solo entran si el curso las exige y se valida el alcance manual acotado. CU-012/013/014/015 quedan aplazados.</w:t>
      </w:r>
    </w:p>
    <w:p>
      <w:r>
        <w:t>Procesos BPMN priorizados: P-01 configuración reducida, P-02 registro reducido, P-03 programación manual y publicación, P-04 ciclo simplificado del partido, P-05 resultado y tabla, P-09 publicación pública simplificada. P-06 disciplinario solo como flujo reducido si se aprueba. P-07 ascenso/descenso y P-08 fases finales se excluyen de esta entrega. Por ello, no se deben mantener sus diagramas como requisitos obligatorios de implementación; pueden quedar en un anexo de visión futura claramente rotulado.</w:t>
      </w:r>
    </w:p>
    <w:p>
      <w:pPr>
        <w:pStyle w:val="Heading2"/>
      </w:pPr>
      <w:r>
        <w:t>E.7 Entregables y trabajo posterior al ERS</w:t>
      </w:r>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F4E79"/>
          </w:tcPr>
          <w:p>
            <w:pPr>
              <w:spacing w:after="20"/>
            </w:pPr>
            <w:r/>
            <w:r>
              <w:rPr>
                <w:rFonts w:ascii="Arial" w:hAnsi="Arial"/>
                <w:b/>
                <w:color w:val="FFFFFF"/>
                <w:sz w:val="16"/>
              </w:rPr>
              <w:t>Actividad</w:t>
            </w:r>
          </w:p>
        </w:tc>
        <w:tc>
          <w:tcPr>
            <w:tcW w:type="dxa" w:w="8352"/>
            <w:vAlign w:val="center"/>
            <w:shd w:fill="1F4E79"/>
          </w:tcPr>
          <w:p>
            <w:pPr>
              <w:spacing w:after="20"/>
            </w:pPr>
            <w:r/>
            <w:r>
              <w:rPr>
                <w:rFonts w:ascii="Arial" w:hAnsi="Arial"/>
                <w:b/>
                <w:color w:val="FFFFFF"/>
                <w:sz w:val="16"/>
              </w:rPr>
              <w:t>Compromiso recomendado</w:t>
            </w:r>
          </w:p>
        </w:tc>
      </w:tr>
      <w:tr>
        <w:tc>
          <w:tcPr>
            <w:tcW w:type="dxa" w:w="1872"/>
            <w:vAlign w:val="center"/>
          </w:tcPr>
          <w:p>
            <w:pPr>
              <w:spacing w:after="20"/>
            </w:pPr>
            <w:r/>
            <w:r>
              <w:rPr>
                <w:rFonts w:ascii="Arial" w:hAnsi="Arial"/>
                <w:b w:val="0"/>
                <w:sz w:val="16"/>
              </w:rPr>
              <w:t>Análisis/backlog</w:t>
            </w:r>
          </w:p>
        </w:tc>
        <w:tc>
          <w:tcPr>
            <w:tcW w:type="dxa" w:w="8352"/>
            <w:vAlign w:val="center"/>
          </w:tcPr>
          <w:p>
            <w:pPr>
              <w:spacing w:after="20"/>
            </w:pPr>
            <w:r/>
            <w:r>
              <w:rPr>
                <w:rFonts w:ascii="Arial" w:hAnsi="Arial"/>
                <w:b w:val="0"/>
                <w:sz w:val="16"/>
              </w:rPr>
              <w:t>Historias y criterios de aceptación solo para requisitos retenidos; resolver primero prioridades, reglas demo, matriz mínima de permisos y qué constituye resultado oficial.</w:t>
            </w:r>
          </w:p>
        </w:tc>
      </w:tr>
      <w:tr>
        <w:tc>
          <w:tcPr>
            <w:tcW w:type="dxa" w:w="1872"/>
            <w:vAlign w:val="center"/>
          </w:tcPr>
          <w:p>
            <w:pPr>
              <w:spacing w:after="20"/>
            </w:pPr>
            <w:r/>
            <w:r>
              <w:rPr>
                <w:rFonts w:ascii="Arial" w:hAnsi="Arial"/>
                <w:b w:val="0"/>
                <w:sz w:val="16"/>
              </w:rPr>
              <w:t>Diseño</w:t>
            </w:r>
          </w:p>
        </w:tc>
        <w:tc>
          <w:tcPr>
            <w:tcW w:type="dxa" w:w="8352"/>
            <w:vAlign w:val="center"/>
          </w:tcPr>
          <w:p>
            <w:pPr>
              <w:spacing w:after="20"/>
            </w:pPr>
            <w:r/>
            <w:r>
              <w:rPr>
                <w:rFonts w:ascii="Arial" w:hAnsi="Arial"/>
                <w:b w:val="0"/>
                <w:sz w:val="16"/>
              </w:rPr>
              <w:t>Modelo de datos del flujo incluido, prototipo de pantallas necesarias y estados mínimos de partido/publicación. No modelar 29 entidades ni 22 pantallas como alcance comprometido.</w:t>
            </w:r>
          </w:p>
        </w:tc>
      </w:tr>
      <w:tr>
        <w:tc>
          <w:tcPr>
            <w:tcW w:type="dxa" w:w="1872"/>
            <w:vAlign w:val="center"/>
          </w:tcPr>
          <w:p>
            <w:pPr>
              <w:spacing w:after="20"/>
            </w:pPr>
            <w:r/>
            <w:r>
              <w:rPr>
                <w:rFonts w:ascii="Arial" w:hAnsi="Arial"/>
                <w:b w:val="0"/>
                <w:sz w:val="16"/>
              </w:rPr>
              <w:t>Arquitectura</w:t>
            </w:r>
          </w:p>
        </w:tc>
        <w:tc>
          <w:tcPr>
            <w:tcW w:type="dxa" w:w="8352"/>
            <w:vAlign w:val="center"/>
          </w:tcPr>
          <w:p>
            <w:pPr>
              <w:spacing w:after="20"/>
            </w:pPr>
            <w:r/>
            <w:r>
              <w:rPr>
                <w:rFonts w:ascii="Arial" w:hAnsi="Arial"/>
                <w:b w:val="0"/>
                <w:sz w:val="16"/>
              </w:rPr>
              <w:t>Decisión documentada de aplicación, persistencia, autenticación y despliegue para el alcance; evitar API externa, servicios desplegables separados y dependencias no aprobadas.</w:t>
            </w:r>
          </w:p>
        </w:tc>
      </w:tr>
      <w:tr>
        <w:tc>
          <w:tcPr>
            <w:tcW w:type="dxa" w:w="1872"/>
            <w:vAlign w:val="center"/>
          </w:tcPr>
          <w:p>
            <w:pPr>
              <w:spacing w:after="20"/>
            </w:pPr>
            <w:r/>
            <w:r>
              <w:rPr>
                <w:rFonts w:ascii="Arial" w:hAnsi="Arial"/>
                <w:b w:val="0"/>
                <w:sz w:val="16"/>
              </w:rPr>
              <w:t>Implementación</w:t>
            </w:r>
          </w:p>
        </w:tc>
        <w:tc>
          <w:tcPr>
            <w:tcW w:type="dxa" w:w="8352"/>
            <w:vAlign w:val="center"/>
          </w:tcPr>
          <w:p>
            <w:pPr>
              <w:spacing w:after="20"/>
            </w:pPr>
            <w:r/>
            <w:r>
              <w:rPr>
                <w:rFonts w:ascii="Arial" w:hAnsi="Arial"/>
                <w:b w:val="0"/>
                <w:sz w:val="16"/>
              </w:rPr>
              <w:t>Construir por flujo vertical: configuración/datos → programación → resultado/tabla → publicación. El registro disciplinario acotado va después del flujo principal si se valida.</w:t>
            </w:r>
          </w:p>
        </w:tc>
      </w:tr>
      <w:tr>
        <w:tc>
          <w:tcPr>
            <w:tcW w:type="dxa" w:w="1872"/>
            <w:vAlign w:val="center"/>
          </w:tcPr>
          <w:p>
            <w:pPr>
              <w:spacing w:after="20"/>
            </w:pPr>
            <w:r/>
            <w:r>
              <w:rPr>
                <w:rFonts w:ascii="Arial" w:hAnsi="Arial"/>
                <w:b w:val="0"/>
                <w:sz w:val="16"/>
              </w:rPr>
              <w:t>Pruebas</w:t>
            </w:r>
          </w:p>
        </w:tc>
        <w:tc>
          <w:tcPr>
            <w:tcW w:type="dxa" w:w="8352"/>
            <w:vAlign w:val="center"/>
          </w:tcPr>
          <w:p>
            <w:pPr>
              <w:spacing w:after="20"/>
            </w:pPr>
            <w:r/>
            <w:r>
              <w:rPr>
                <w:rFonts w:ascii="Arial" w:hAnsi="Arial"/>
                <w:b w:val="0"/>
                <w:sz w:val="16"/>
              </w:rPr>
              <w:t>Pruebas de aceptación de cada RF incluido; conflictos de cancha/equipo, resultado no validado, corrección autorizada, publicación indebida, permisos y persistencia/historial. No declarar cubiertos los módulos aplazados.</w:t>
            </w:r>
          </w:p>
        </w:tc>
      </w:tr>
      <w:tr>
        <w:tc>
          <w:tcPr>
            <w:tcW w:type="dxa" w:w="1872"/>
            <w:vAlign w:val="center"/>
          </w:tcPr>
          <w:p>
            <w:pPr>
              <w:spacing w:after="20"/>
            </w:pPr>
            <w:r/>
            <w:r>
              <w:rPr>
                <w:rFonts w:ascii="Arial" w:hAnsi="Arial"/>
                <w:b w:val="0"/>
                <w:sz w:val="16"/>
              </w:rPr>
              <w:t>Integración/despliegue</w:t>
            </w:r>
          </w:p>
        </w:tc>
        <w:tc>
          <w:tcPr>
            <w:tcW w:type="dxa" w:w="8352"/>
            <w:vAlign w:val="center"/>
          </w:tcPr>
          <w:p>
            <w:pPr>
              <w:spacing w:after="20"/>
            </w:pPr>
            <w:r/>
            <w:r>
              <w:rPr>
                <w:rFonts w:ascii="Arial" w:hAnsi="Arial"/>
                <w:b w:val="0"/>
                <w:sz w:val="16"/>
              </w:rPr>
              <w:t>Integración de una aplicación y su base de datos; demostración en el entorno requerido por el curso. Hosting/producción e integraciones quedan pendientes si no aparecen en la rúbrica.</w:t>
            </w:r>
          </w:p>
        </w:tc>
      </w:tr>
      <w:tr>
        <w:tc>
          <w:tcPr>
            <w:tcW w:type="dxa" w:w="1872"/>
            <w:vAlign w:val="center"/>
          </w:tcPr>
          <w:p>
            <w:pPr>
              <w:spacing w:after="20"/>
            </w:pPr>
            <w:r/>
            <w:r>
              <w:rPr>
                <w:rFonts w:ascii="Arial" w:hAnsi="Arial"/>
                <w:b w:val="0"/>
                <w:sz w:val="16"/>
              </w:rPr>
              <w:t>Documentación</w:t>
            </w:r>
          </w:p>
        </w:tc>
        <w:tc>
          <w:tcPr>
            <w:tcW w:type="dxa" w:w="8352"/>
            <w:vAlign w:val="center"/>
          </w:tcPr>
          <w:p>
            <w:pPr>
              <w:spacing w:after="20"/>
            </w:pPr>
            <w:r/>
            <w:r>
              <w:rPr>
                <w:rFonts w:ascii="Arial" w:hAnsi="Arial"/>
                <w:b w:val="0"/>
                <w:sz w:val="16"/>
              </w:rPr>
              <w:t>ERS actualizado, decisiones técnicas y guía breve para probar los flujos incluidos. BPMN, matriz de trazabilidad y modelos deben señalar explícitamente incluidos, reducidos y aplazados.</w:t>
            </w:r>
          </w:p>
        </w:tc>
      </w:tr>
    </w:tbl>
    <w:p>
      <w:pPr>
        <w:spacing w:after="20"/>
      </w:pPr>
    </w:p>
    <w:p>
      <w:pPr>
        <w:pStyle w:val="Heading1"/>
      </w:pPr>
      <w:r>
        <w:t>F. Resumen de cambios y justificación</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1F4E79"/>
          </w:tcPr>
          <w:p>
            <w:pPr>
              <w:spacing w:after="20"/>
            </w:pPr>
            <w:r/>
            <w:r>
              <w:rPr>
                <w:rFonts w:ascii="Arial" w:hAnsi="Arial"/>
                <w:b/>
                <w:color w:val="FFFFFF"/>
                <w:sz w:val="15"/>
              </w:rPr>
              <w:t>Cambio</w:t>
            </w:r>
          </w:p>
        </w:tc>
        <w:tc>
          <w:tcPr>
            <w:tcW w:type="dxa" w:w="3744"/>
            <w:vAlign w:val="center"/>
            <w:shd w:fill="1F4E79"/>
          </w:tcPr>
          <w:p>
            <w:pPr>
              <w:spacing w:after="20"/>
            </w:pPr>
            <w:r/>
            <w:r>
              <w:rPr>
                <w:rFonts w:ascii="Arial" w:hAnsi="Arial"/>
                <w:b/>
                <w:color w:val="FFFFFF"/>
                <w:sz w:val="15"/>
              </w:rPr>
              <w:t>Qué se propone</w:t>
            </w:r>
          </w:p>
        </w:tc>
        <w:tc>
          <w:tcPr>
            <w:tcW w:type="dxa" w:w="4896"/>
            <w:vAlign w:val="center"/>
            <w:shd w:fill="1F4E79"/>
          </w:tcPr>
          <w:p>
            <w:pPr>
              <w:spacing w:after="20"/>
            </w:pPr>
            <w:r/>
            <w:r>
              <w:rPr>
                <w:rFonts w:ascii="Arial" w:hAnsi="Arial"/>
                <w:b/>
                <w:color w:val="FFFFFF"/>
                <w:sz w:val="15"/>
              </w:rPr>
              <w:t>Justificación</w:t>
            </w:r>
          </w:p>
        </w:tc>
      </w:tr>
      <w:tr>
        <w:tc>
          <w:tcPr>
            <w:tcW w:type="dxa" w:w="1584"/>
            <w:vAlign w:val="center"/>
          </w:tcPr>
          <w:p>
            <w:pPr>
              <w:spacing w:after="20"/>
            </w:pPr>
            <w:r/>
            <w:r>
              <w:rPr>
                <w:rFonts w:ascii="Arial" w:hAnsi="Arial"/>
                <w:b w:val="0"/>
                <w:sz w:val="15"/>
              </w:rPr>
              <w:t>Alcance y objetivo</w:t>
            </w:r>
          </w:p>
        </w:tc>
        <w:tc>
          <w:tcPr>
            <w:tcW w:type="dxa" w:w="3744"/>
            <w:vAlign w:val="center"/>
          </w:tcPr>
          <w:p>
            <w:pPr>
              <w:spacing w:after="20"/>
            </w:pPr>
            <w:r/>
            <w:r>
              <w:rPr>
                <w:rFonts w:ascii="Arial" w:hAnsi="Arial"/>
                <w:b w:val="0"/>
                <w:sz w:val="15"/>
              </w:rPr>
              <w:t>De “ciclo completo integral” como compromiso inmediato a una competencia/temporada/grupo demostrable.</w:t>
            </w:r>
          </w:p>
        </w:tc>
        <w:tc>
          <w:tcPr>
            <w:tcW w:type="dxa" w:w="4896"/>
            <w:vAlign w:val="center"/>
          </w:tcPr>
          <w:p>
            <w:pPr>
              <w:spacing w:after="20"/>
            </w:pPr>
            <w:r/>
            <w:r>
              <w:rPr>
                <w:rFonts w:ascii="Arial" w:hAnsi="Arial"/>
                <w:b w:val="0"/>
                <w:sz w:val="15"/>
              </w:rPr>
              <w:t>Delimita volumen sin perder el flujo central; la visión integral queda como evolución futura.</w:t>
            </w:r>
          </w:p>
        </w:tc>
      </w:tr>
      <w:tr>
        <w:tc>
          <w:tcPr>
            <w:tcW w:type="dxa" w:w="1584"/>
            <w:vAlign w:val="center"/>
          </w:tcPr>
          <w:p>
            <w:pPr>
              <w:spacing w:after="20"/>
            </w:pPr>
            <w:r/>
            <w:r>
              <w:rPr>
                <w:rFonts w:ascii="Arial" w:hAnsi="Arial"/>
                <w:b w:val="0"/>
                <w:sz w:val="15"/>
              </w:rPr>
              <w:t>Prioridades</w:t>
            </w:r>
          </w:p>
        </w:tc>
        <w:tc>
          <w:tcPr>
            <w:tcW w:type="dxa" w:w="3744"/>
            <w:vAlign w:val="center"/>
          </w:tcPr>
          <w:p>
            <w:pPr>
              <w:spacing w:after="20"/>
            </w:pPr>
            <w:r/>
            <w:r>
              <w:rPr>
                <w:rFonts w:ascii="Arial" w:hAnsi="Arial"/>
                <w:b w:val="0"/>
                <w:sz w:val="15"/>
              </w:rPr>
              <w:t>Separar prioridad de producto de prioridad de entrega.</w:t>
            </w:r>
          </w:p>
        </w:tc>
        <w:tc>
          <w:tcPr>
            <w:tcW w:type="dxa" w:w="4896"/>
            <w:vAlign w:val="center"/>
          </w:tcPr>
          <w:p>
            <w:pPr>
              <w:spacing w:after="20"/>
            </w:pPr>
            <w:r/>
            <w:r>
              <w:rPr>
                <w:rFonts w:ascii="Arial" w:hAnsi="Arial"/>
                <w:b w:val="0"/>
                <w:sz w:val="15"/>
              </w:rPr>
              <w:t>Las etiquetas Alta/Media/Baja originales no dimensionan el trabajo de este semestre.</w:t>
            </w:r>
          </w:p>
        </w:tc>
      </w:tr>
      <w:tr>
        <w:tc>
          <w:tcPr>
            <w:tcW w:type="dxa" w:w="1584"/>
            <w:vAlign w:val="center"/>
          </w:tcPr>
          <w:p>
            <w:pPr>
              <w:spacing w:after="20"/>
            </w:pPr>
            <w:r/>
            <w:r>
              <w:rPr>
                <w:rFonts w:ascii="Arial" w:hAnsi="Arial"/>
                <w:b w:val="0"/>
                <w:sz w:val="15"/>
              </w:rPr>
              <w:t>Programación</w:t>
            </w:r>
          </w:p>
        </w:tc>
        <w:tc>
          <w:tcPr>
            <w:tcW w:type="dxa" w:w="3744"/>
            <w:vAlign w:val="center"/>
          </w:tcPr>
          <w:p>
            <w:pPr>
              <w:spacing w:after="20"/>
            </w:pPr>
            <w:r/>
            <w:r>
              <w:rPr>
                <w:rFonts w:ascii="Arial" w:hAnsi="Arial"/>
                <w:b w:val="0"/>
                <w:sz w:val="15"/>
              </w:rPr>
              <w:t>Sustituir temporalmente generación automática por captura manual con validación de conflictos básicos.</w:t>
            </w:r>
          </w:p>
        </w:tc>
        <w:tc>
          <w:tcPr>
            <w:tcW w:type="dxa" w:w="4896"/>
            <w:vAlign w:val="center"/>
          </w:tcPr>
          <w:p>
            <w:pPr>
              <w:spacing w:after="20"/>
            </w:pPr>
            <w:r/>
            <w:r>
              <w:rPr>
                <w:rFonts w:ascii="Arial" w:hAnsi="Arial"/>
                <w:b w:val="0"/>
                <w:sz w:val="15"/>
              </w:rPr>
              <w:t>Algoritmo, restricciones y datos reales siguen pendientes; se conserva calidad operativa esencial.</w:t>
            </w:r>
          </w:p>
        </w:tc>
      </w:tr>
      <w:tr>
        <w:tc>
          <w:tcPr>
            <w:tcW w:type="dxa" w:w="1584"/>
            <w:vAlign w:val="center"/>
          </w:tcPr>
          <w:p>
            <w:pPr>
              <w:spacing w:after="20"/>
            </w:pPr>
            <w:r/>
            <w:r>
              <w:rPr>
                <w:rFonts w:ascii="Arial" w:hAnsi="Arial"/>
                <w:b w:val="0"/>
                <w:sz w:val="15"/>
              </w:rPr>
              <w:t>Disciplina</w:t>
            </w:r>
          </w:p>
        </w:tc>
        <w:tc>
          <w:tcPr>
            <w:tcW w:type="dxa" w:w="3744"/>
            <w:vAlign w:val="center"/>
          </w:tcPr>
          <w:p>
            <w:pPr>
              <w:spacing w:after="20"/>
            </w:pPr>
            <w:r/>
            <w:r>
              <w:rPr>
                <w:rFonts w:ascii="Arial" w:hAnsi="Arial"/>
                <w:b w:val="0"/>
                <w:sz w:val="15"/>
              </w:rPr>
              <w:t>Reducir a registro manual mínimo condicionado; aplazar evidencia, reglas automáticas, recursos y difusión.</w:t>
            </w:r>
          </w:p>
        </w:tc>
        <w:tc>
          <w:tcPr>
            <w:tcW w:type="dxa" w:w="4896"/>
            <w:vAlign w:val="center"/>
          </w:tcPr>
          <w:p>
            <w:pPr>
              <w:spacing w:after="20"/>
            </w:pPr>
            <w:r/>
            <w:r>
              <w:rPr>
                <w:rFonts w:ascii="Arial" w:hAnsi="Arial"/>
                <w:b w:val="0"/>
                <w:sz w:val="15"/>
              </w:rPr>
              <w:t>Catálogo, vigencia, impacto y facultades no están definidos; evitar decisiones incorrectas.</w:t>
            </w:r>
          </w:p>
        </w:tc>
      </w:tr>
      <w:tr>
        <w:tc>
          <w:tcPr>
            <w:tcW w:type="dxa" w:w="1584"/>
            <w:vAlign w:val="center"/>
          </w:tcPr>
          <w:p>
            <w:pPr>
              <w:spacing w:after="20"/>
            </w:pPr>
            <w:r/>
            <w:r>
              <w:rPr>
                <w:rFonts w:ascii="Arial" w:hAnsi="Arial"/>
                <w:b w:val="0"/>
                <w:sz w:val="15"/>
              </w:rPr>
              <w:t>Fases finales y promociones</w:t>
            </w:r>
          </w:p>
        </w:tc>
        <w:tc>
          <w:tcPr>
            <w:tcW w:type="dxa" w:w="3744"/>
            <w:vAlign w:val="center"/>
          </w:tcPr>
          <w:p>
            <w:pPr>
              <w:spacing w:after="20"/>
            </w:pPr>
            <w:r/>
            <w:r>
              <w:rPr>
                <w:rFonts w:ascii="Arial" w:hAnsi="Arial"/>
                <w:b w:val="0"/>
                <w:sz w:val="15"/>
              </w:rPr>
              <w:t>Aplazar RF-069–081 y P-07/P-08.</w:t>
            </w:r>
          </w:p>
        </w:tc>
        <w:tc>
          <w:tcPr>
            <w:tcW w:type="dxa" w:w="4896"/>
            <w:vAlign w:val="center"/>
          </w:tcPr>
          <w:p>
            <w:pPr>
              <w:spacing w:after="20"/>
            </w:pPr>
            <w:r/>
            <w:r>
              <w:rPr>
                <w:rFonts w:ascii="Arial" w:hAnsi="Arial"/>
                <w:b w:val="0"/>
                <w:sz w:val="15"/>
              </w:rPr>
              <w:t>Dependencia de reglas de convocatoria y formato aún no validados.</w:t>
            </w:r>
          </w:p>
        </w:tc>
      </w:tr>
      <w:tr>
        <w:tc>
          <w:tcPr>
            <w:tcW w:type="dxa" w:w="1584"/>
            <w:vAlign w:val="center"/>
          </w:tcPr>
          <w:p>
            <w:pPr>
              <w:spacing w:after="20"/>
            </w:pPr>
            <w:r/>
            <w:r>
              <w:rPr>
                <w:rFonts w:ascii="Arial" w:hAnsi="Arial"/>
                <w:b w:val="0"/>
                <w:sz w:val="15"/>
              </w:rPr>
              <w:t>Roles, pantallas y módulos</w:t>
            </w:r>
          </w:p>
        </w:tc>
        <w:tc>
          <w:tcPr>
            <w:tcW w:type="dxa" w:w="3744"/>
            <w:vAlign w:val="center"/>
          </w:tcPr>
          <w:p>
            <w:pPr>
              <w:spacing w:after="20"/>
            </w:pPr>
            <w:r/>
            <w:r>
              <w:rPr>
                <w:rFonts w:ascii="Arial" w:hAnsi="Arial"/>
                <w:b w:val="0"/>
                <w:sz w:val="15"/>
              </w:rPr>
              <w:t>No exigir implementación individual de 12 roles, 22 pantallas y 12 módulos; mapear lo necesario al flujo y validar permisos.</w:t>
            </w:r>
          </w:p>
        </w:tc>
        <w:tc>
          <w:tcPr>
            <w:tcW w:type="dxa" w:w="4896"/>
            <w:vAlign w:val="center"/>
          </w:tcPr>
          <w:p>
            <w:pPr>
              <w:spacing w:after="20"/>
            </w:pPr>
            <w:r/>
            <w:r>
              <w:rPr>
                <w:rFonts w:ascii="Arial" w:hAnsi="Arial"/>
                <w:b w:val="0"/>
                <w:sz w:val="15"/>
              </w:rPr>
              <w:t>Evita duplicar estructura documental como obligación de interfaz/arquitectura.</w:t>
            </w:r>
          </w:p>
        </w:tc>
      </w:tr>
      <w:tr>
        <w:tc>
          <w:tcPr>
            <w:tcW w:type="dxa" w:w="1584"/>
            <w:vAlign w:val="center"/>
          </w:tcPr>
          <w:p>
            <w:pPr>
              <w:spacing w:after="20"/>
            </w:pPr>
            <w:r/>
            <w:r>
              <w:rPr>
                <w:rFonts w:ascii="Arial" w:hAnsi="Arial"/>
                <w:b w:val="0"/>
                <w:sz w:val="15"/>
              </w:rPr>
              <w:t>Portal, reportes e integraciones</w:t>
            </w:r>
          </w:p>
        </w:tc>
        <w:tc>
          <w:tcPr>
            <w:tcW w:type="dxa" w:w="3744"/>
            <w:vAlign w:val="center"/>
          </w:tcPr>
          <w:p>
            <w:pPr>
              <w:spacing w:after="20"/>
            </w:pPr>
            <w:r/>
            <w:r>
              <w:rPr>
                <w:rFonts w:ascii="Arial" w:hAnsi="Arial"/>
                <w:b w:val="0"/>
                <w:sz w:val="15"/>
              </w:rPr>
              <w:t>Mantener consultas públicas principales; aplazar noticias, buscador general, reportes/exportación e integraciones.</w:t>
            </w:r>
          </w:p>
        </w:tc>
        <w:tc>
          <w:tcPr>
            <w:tcW w:type="dxa" w:w="4896"/>
            <w:vAlign w:val="center"/>
          </w:tcPr>
          <w:p>
            <w:pPr>
              <w:spacing w:after="20"/>
            </w:pPr>
            <w:r/>
            <w:r>
              <w:rPr>
                <w:rFonts w:ascii="Arial" w:hAnsi="Arial"/>
                <w:b w:val="0"/>
                <w:sz w:val="15"/>
              </w:rPr>
              <w:t>Conserva la consulta de valor y reduce superficies de prueba y dependencias.</w:t>
            </w:r>
          </w:p>
        </w:tc>
      </w:tr>
      <w:tr>
        <w:tc>
          <w:tcPr>
            <w:tcW w:type="dxa" w:w="1584"/>
            <w:vAlign w:val="center"/>
          </w:tcPr>
          <w:p>
            <w:pPr>
              <w:spacing w:after="20"/>
            </w:pPr>
            <w:r/>
            <w:r>
              <w:rPr>
                <w:rFonts w:ascii="Arial" w:hAnsi="Arial"/>
                <w:b w:val="0"/>
                <w:sz w:val="15"/>
              </w:rPr>
              <w:t>Requisitos no funcionales</w:t>
            </w:r>
          </w:p>
        </w:tc>
        <w:tc>
          <w:tcPr>
            <w:tcW w:type="dxa" w:w="3744"/>
            <w:vAlign w:val="center"/>
          </w:tcPr>
          <w:p>
            <w:pPr>
              <w:spacing w:after="20"/>
            </w:pPr>
            <w:r/>
            <w:r>
              <w:rPr>
                <w:rFonts w:ascii="Arial" w:hAnsi="Arial"/>
                <w:b w:val="0"/>
                <w:sz w:val="15"/>
              </w:rPr>
              <w:t>Conservar seguridad/integridad/privacidad mínimas; marcar objetivos sin métricas como pendientes.</w:t>
            </w:r>
          </w:p>
        </w:tc>
        <w:tc>
          <w:tcPr>
            <w:tcW w:type="dxa" w:w="4896"/>
            <w:vAlign w:val="center"/>
          </w:tcPr>
          <w:p>
            <w:pPr>
              <w:spacing w:after="20"/>
            </w:pPr>
            <w:r/>
            <w:r>
              <w:rPr>
                <w:rFonts w:ascii="Arial" w:hAnsi="Arial"/>
                <w:b w:val="0"/>
                <w:sz w:val="15"/>
              </w:rPr>
              <w:t>Mejora verificabilidad y evita aceptar resultados con umbrales inventados.</w:t>
            </w:r>
          </w:p>
        </w:tc>
      </w:tr>
      <w:tr>
        <w:tc>
          <w:tcPr>
            <w:tcW w:type="dxa" w:w="1584"/>
            <w:vAlign w:val="center"/>
          </w:tcPr>
          <w:p>
            <w:pPr>
              <w:spacing w:after="20"/>
            </w:pPr>
            <w:r/>
            <w:r>
              <w:rPr>
                <w:rFonts w:ascii="Arial" w:hAnsi="Arial"/>
                <w:b w:val="0"/>
                <w:sz w:val="15"/>
              </w:rPr>
              <w:t>Diseño y pruebas posteriores</w:t>
            </w:r>
          </w:p>
        </w:tc>
        <w:tc>
          <w:tcPr>
            <w:tcW w:type="dxa" w:w="3744"/>
            <w:vAlign w:val="center"/>
          </w:tcPr>
          <w:p>
            <w:pPr>
              <w:spacing w:after="20"/>
            </w:pPr>
            <w:r/>
            <w:r>
              <w:rPr>
                <w:rFonts w:ascii="Arial" w:hAnsi="Arial"/>
                <w:b w:val="0"/>
                <w:sz w:val="15"/>
              </w:rPr>
              <w:t>Alinear modelo, BPMN, pantallas, matriz y pruebas con el alcance retenido.</w:t>
            </w:r>
          </w:p>
        </w:tc>
        <w:tc>
          <w:tcPr>
            <w:tcW w:type="dxa" w:w="4896"/>
            <w:vAlign w:val="center"/>
          </w:tcPr>
          <w:p>
            <w:pPr>
              <w:spacing w:after="20"/>
            </w:pPr>
            <w:r/>
            <w:r>
              <w:rPr>
                <w:rFonts w:ascii="Arial" w:hAnsi="Arial"/>
                <w:b w:val="0"/>
                <w:sz w:val="15"/>
              </w:rPr>
              <w:t>Evita contradicciones donde capítulos posteriores vuelvan obligatorios elementos aplazados.</w:t>
            </w:r>
          </w:p>
        </w:tc>
      </w:tr>
    </w:tbl>
    <w:p>
      <w:pPr>
        <w:spacing w:after="20"/>
      </w:pPr>
    </w:p>
    <w:p>
      <w:pPr>
        <w:pStyle w:val="Heading2"/>
      </w:pPr>
      <w:r>
        <w:t>Verificación de consistencia antes de aprobar</w:t>
      </w:r>
    </w:p>
    <w:p>
      <w:pPr>
        <w:pStyle w:val="ListBullet"/>
      </w:pPr>
      <w:r>
        <w:t>El alcance de esta propuesta contiene una temporada/grupo, equipos/jugadores, programación manual validada, resultados/tabla, publicación básica y controles transversales mínimos.</w:t>
      </w:r>
    </w:p>
    <w:p>
      <w:pPr>
        <w:pStyle w:val="ListBullet"/>
      </w:pPr>
      <w:r>
        <w:t>RF-034–035 (generación automática), RF-037–038 y RF-042 no deben aparecer como criterios obligatorios de esta entrega. RF-040 se limita a ajuste autorizado.</w:t>
      </w:r>
    </w:p>
    <w:p>
      <w:pPr>
        <w:pStyle w:val="ListBullet"/>
      </w:pPr>
      <w:r>
        <w:t>RF-057–068, CU-010–013 y P-06 no son obligatorios salvo que se apruebe el registro disciplinario manual acotado; RF-064 no se implementa hasta resolver AMB-001.</w:t>
      </w:r>
    </w:p>
    <w:p>
      <w:pPr>
        <w:pStyle w:val="ListBullet"/>
      </w:pPr>
      <w:r>
        <w:t>RF-069–081, CU-014/015, P-07/P-08, UI-018/UI-019 y las entidades/fases asociadas quedan aplazados. RF-085–089, RF-091/092 e integraciones externas también.</w:t>
      </w:r>
    </w:p>
    <w:p>
      <w:pPr>
        <w:pStyle w:val="ListBullet"/>
      </w:pPr>
      <w:r>
        <w:t>Los modelos de datos, arquitectura, navegación, trazabilidad, criterios CA, backlog y pruebas deben reflejar el mismo límite. La tabla de este apartado E sirve como disposición requisito por requisito por rangos; debe trasladarse al backlog/ERS aprobado antes de implementar.</w:t>
      </w:r>
    </w:p>
    <w:p>
      <w:pPr>
        <w:pStyle w:val="ListBullet"/>
      </w:pPr>
      <w:r>
        <w:t>No se concluye que el uso de IA reduzca el trabajo de análisis, integración, verificación o mantenimiento. La reducción propuesta proviene de limitar funciones, dependencias y decisiones aún no validadas.</w:t>
      </w:r>
    </w:p>
    <w:p>
      <w:r>
        <w:t>Estado recomendado del documento revisado: propuesta para discusión; no aprobado. Pendientes que bloquean convertirlo en compromiso: alcance que exige la rúbrica, reglas de demostración, permisos mínimos, resultado oficial, datos de prueba/privacidad y confirmación de si disciplina y generación automática son obligatorias.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Revisión de alcance de la ERS | Borrador académico para validación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rial" w:hAnsi="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