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80"/>
        <w:jc w:val="center"/>
      </w:pPr>
      <w:r>
        <w:drawing>
          <wp:inline>
            <wp:extent cx="1440000" cy="682759"/>
            <wp:docPr id="171" name="Picture 17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40000" cy="682759"/>
                    </a:xfrm>
                    <a:prstGeom prst="rect"/>
                  </pic:spPr>
                </pic:pic>
              </a:graphicData>
            </a:graphic>
          </wp:inline>
        </w:drawing>
      </w:r>
    </w:p>
    <w:p>
      <w:pPr>
        <w:spacing w:after="120"/>
        <w:jc w:val="center"/>
      </w:pPr>
      <w:r>
        <w:rPr>
          <w:rFonts w:ascii="Arial" w:hAnsi="Arial"/>
          <w:b/>
          <w:sz w:val="24"/>
        </w:rPr>
        <w:t>Tecnológico Nacional de México</w:t>
      </w:r>
    </w:p>
    <w:p>
      <w:pPr>
        <w:spacing w:after="720"/>
        <w:jc w:val="center"/>
      </w:pPr>
      <w:r>
        <w:rPr>
          <w:rFonts w:ascii="Arial" w:hAnsi="Arial"/>
          <w:b/>
          <w:sz w:val="24"/>
        </w:rPr>
        <w:t>Instituto Tecnológico de Morelia</w:t>
      </w:r>
    </w:p>
    <w:p>
      <w:pPr>
        <w:spacing w:after="120"/>
        <w:jc w:val="center"/>
      </w:pPr>
      <w:r>
        <w:rPr>
          <w:rFonts w:ascii="Arial" w:hAnsi="Arial"/>
          <w:b/>
          <w:color w:val="006837"/>
          <w:sz w:val="44"/>
        </w:rPr>
        <w:t>Especificación de requisitos de software</w:t>
      </w:r>
    </w:p>
    <w:p>
      <w:pPr>
        <w:spacing w:after="120"/>
        <w:jc w:val="center"/>
      </w:pPr>
      <w:r>
        <w:rPr>
          <w:rFonts w:ascii="Arial" w:hAnsi="Arial"/>
          <w:b/>
          <w:color w:val="006837"/>
          <w:sz w:val="36"/>
        </w:rPr>
        <w:t>SIGLIM</w:t>
      </w:r>
    </w:p>
    <w:p>
      <w:pPr>
        <w:spacing w:after="480"/>
        <w:jc w:val="center"/>
      </w:pPr>
      <w:r>
        <w:rPr>
          <w:rFonts w:ascii="Arial" w:hAnsi="Arial"/>
          <w:b w:val="0"/>
          <w:sz w:val="26"/>
        </w:rPr>
        <w:t>Sistema de Gestión de la Liga Municipal de Futbol Amateur Morelia</w:t>
      </w:r>
    </w:p>
    <w:p>
      <w:pPr>
        <w:spacing w:after="720"/>
        <w:jc w:val="center"/>
      </w:pPr>
      <w:r>
        <w:rPr>
          <w:rFonts w:ascii="Arial" w:hAnsi="Arial"/>
          <w:b w:val="0"/>
          <w:sz w:val="22"/>
        </w:rPr>
        <w:t>Revisión 0.4 · IEEE Std 830-1998</w:t>
      </w:r>
    </w:p>
    <w:p>
      <w:pPr>
        <w:spacing w:after="360"/>
        <w:jc w:val="center"/>
      </w:pPr>
      <w:r>
        <w:rPr>
          <w:rFonts w:ascii="Arial" w:hAnsi="Arial"/>
          <w:b w:val="0"/>
          <w:sz w:val="22"/>
        </w:rPr>
        <w:t>Ingeniería en Sistemas Computacionales · Fundamentos de Ingeniería de Software</w:t>
      </w:r>
    </w:p>
    <w:p>
      <w:pPr>
        <w:spacing w:after="120"/>
        <w:jc w:val="center"/>
      </w:pPr>
      <w:r>
        <w:rPr>
          <w:rFonts w:ascii="Arial" w:hAnsi="Arial"/>
          <w:b/>
          <w:sz w:val="22"/>
        </w:rPr>
        <w:t>Presentan</w:t>
      </w:r>
    </w:p>
    <w:p>
      <w:pPr>
        <w:spacing w:after="40"/>
        <w:jc w:val="center"/>
      </w:pPr>
      <w:r>
        <w:rPr>
          <w:rFonts w:ascii="Arial" w:hAnsi="Arial"/>
          <w:b w:val="0"/>
          <w:sz w:val="22"/>
        </w:rPr>
        <w:t>López Meza Leonardo</w:t>
      </w:r>
    </w:p>
    <w:p>
      <w:pPr>
        <w:spacing w:after="40"/>
        <w:jc w:val="center"/>
      </w:pPr>
      <w:r>
        <w:rPr>
          <w:rFonts w:ascii="Arial" w:hAnsi="Arial"/>
          <w:b w:val="0"/>
          <w:sz w:val="22"/>
        </w:rPr>
        <w:t>Olvera Bucio Jose Israel</w:t>
      </w:r>
    </w:p>
    <w:p>
      <w:pPr>
        <w:spacing w:after="40"/>
        <w:jc w:val="center"/>
      </w:pPr>
      <w:r>
        <w:rPr>
          <w:rFonts w:ascii="Arial" w:hAnsi="Arial"/>
          <w:b w:val="0"/>
          <w:sz w:val="22"/>
        </w:rPr>
        <w:t>Olvera Lobato David Geovani</w:t>
      </w:r>
    </w:p>
    <w:p>
      <w:pPr>
        <w:spacing w:after="240"/>
        <w:jc w:val="center"/>
      </w:pPr>
    </w:p>
    <w:p>
      <w:pPr>
        <w:spacing w:after="120"/>
        <w:jc w:val="center"/>
      </w:pPr>
      <w:r>
        <w:rPr>
          <w:rFonts w:ascii="Arial" w:hAnsi="Arial"/>
          <w:b/>
          <w:sz w:val="22"/>
        </w:rPr>
        <w:t>Profesor</w:t>
      </w:r>
    </w:p>
    <w:p>
      <w:pPr>
        <w:spacing w:after="720"/>
        <w:jc w:val="center"/>
      </w:pPr>
      <w:r>
        <w:rPr>
          <w:rFonts w:ascii="Arial" w:hAnsi="Arial"/>
          <w:b w:val="0"/>
          <w:sz w:val="22"/>
        </w:rPr>
        <w:t>Claudio Ernesto Florian Arenas</w:t>
      </w:r>
    </w:p>
    <w:p>
      <w:pPr>
        <w:spacing w:after="120"/>
        <w:jc w:val="center"/>
      </w:pPr>
      <w:r>
        <w:rPr>
          <w:rFonts w:ascii="Arial" w:hAnsi="Arial"/>
          <w:b w:val="0"/>
          <w:sz w:val="22"/>
        </w:rPr>
        <w:t>Morelia, Michoacán · Octubre de 2026</w:t>
      </w:r>
    </w:p>
    <w:p>
      <w:pPr>
        <w:spacing w:after="120"/>
        <w:jc w:val="center"/>
      </w:pPr>
      <w:r>
        <w:rPr>
          <w:rFonts w:ascii="Arial" w:hAnsi="Arial"/>
          <w:b w:val="0"/>
          <w:sz w:val="18"/>
        </w:rPr>
        <w:t>Borrador para seguimiento académico; pendiente de validación por la Liga.</w:t>
      </w:r>
      <w:r>
        <w:br w:type="page"/>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4" w:name="control-del-documento"/>
    <w:p>
      <w:pPr>
        <w:pStyle w:val="Heading1"/>
      </w:pPr>
      <w:r>
        <w:t xml:space="preserve">Control del documento</w:t>
      </w:r>
    </w:p>
    <w:bookmarkStart w:id="20" w:name="información-del-documento"/>
    <w:p>
      <w:pPr>
        <w:pStyle w:val="Heading2"/>
      </w:pPr>
      <w:r>
        <w:t xml:space="preserve">Información del documento</w:t>
      </w:r>
    </w:p>
    <w:tbl>
      <w:tblPr>
        <w:tblStyle w:val="Table"/>
        <w:jc w:val="center"/>
        <w:tblLook w:firstRow="1" w:lastRow="0" w:firstColumn="0" w:lastColumn="0" w:noHBand="0" w:noVBand="0" w:val="0020"/>
        <w:tblW w:w="9405" w:type="dxa"/>
        <w:tblLayout w:type="fixed"/>
      </w:tblPr>
      <w:tblGrid>
        <w:gridCol w:w="2000"/>
        <w:gridCol w:w="7404"/>
      </w:tblGrid>
      <w:tr>
        <w:trPr>
          <w:tblHeader w:val="true"/>
          <w:tblHeader/>
        </w:trPr>
        <w:tc>
          <w:tcPr>
            <w:tcW w:type="dxa" w:w="20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740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Proyecto</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SIGLIM — Sistema de Gestión de la Liga Municipal de Futbol Amateur Morelia. Nombre definitivo del proyecto:</w:t>
            </w:r>
            <w:r>
              <w:rPr>
                <w:rFonts w:ascii="Arial" w:hAnsi="Arial"/>
                <w:sz w:val="17"/>
              </w:rPr>
              <w:t xml:space="preserve"> </w:t>
            </w:r>
            <w:r>
              <w:rPr>
                <w:bCs/>
                <w:rFonts w:ascii="Arial" w:hAnsi="Arial"/>
                <w:b/>
                <w:sz w:val="17"/>
              </w:rPr>
              <w:t xml:space="preserve">SIGLIM</w:t>
            </w:r>
            <w:r>
              <w:rPr>
                <w:rFonts w:ascii="Arial" w:hAnsi="Arial"/>
                <w:sz w:val="17"/>
              </w:rPr>
              <w:t xml:space="preserve">.</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Especificación de requisitos de software (ERS), estructurada según IEEE Std 830-1998.</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Revisión</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 Versiones previas: 0.1, 0.2 y 0.3.</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Elaborado por</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 por encargo del equipo de trabajo (véase 1.2).</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Seguimiento</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 Claudio Ernesto Florian Arenas.</w:t>
            </w:r>
          </w:p>
        </w:tc>
      </w:tr>
      <w:tr>
        <w:tc>
          <w:tcPr>
            <w:tcW w:type="dxa" w:w="20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w:t>
            </w:r>
          </w:p>
        </w:tc>
        <w:tc>
          <w:tcPr>
            <w:tcW w:type="dxa" w:w="74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Borrador para seguimiento. Los requisitos no han sido aprobados por la Liga. La revisión 0.4 sustituye la reducción de perfiles de la 0.3 por el alcance acordado por el equipo el 19-oct-2026 (registro de decisiones).</w:t>
            </w:r>
          </w:p>
        </w:tc>
      </w:tr>
    </w:tbl>
    <w:bookmarkEnd w:id="20"/>
    <w:bookmarkStart w:id="21" w:name="historial-de-revisiones"/>
    <w:p>
      <w:pPr>
        <w:pStyle w:val="Heading2"/>
      </w:pPr>
      <w:r>
        <w:t xml:space="preserve">Historial de revisiones</w:t>
      </w:r>
    </w:p>
    <w:tbl>
      <w:tblPr>
        <w:tblStyle w:val="Table"/>
        <w:jc w:val="center"/>
        <w:tblLook w:firstRow="1" w:lastRow="0" w:firstColumn="0" w:lastColumn="0" w:noHBand="0" w:noVBand="0" w:val="0020"/>
        <w:tblW w:w="9405" w:type="dxa"/>
        <w:tblLayout w:type="fixed"/>
      </w:tblPr>
      <w:tblGrid>
        <w:gridCol w:w="1016"/>
        <w:gridCol w:w="1200"/>
        <w:gridCol w:w="1336"/>
        <w:gridCol w:w="5851"/>
      </w:tblGrid>
      <w:tr>
        <w:trPr>
          <w:tblHeader w:val="true"/>
          <w:tblHeader/>
        </w:trPr>
        <w:tc>
          <w:tcPr>
            <w:tcW w:type="dxa" w:w="10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Revisión</w:t>
            </w:r>
          </w:p>
        </w:tc>
        <w:tc>
          <w:tcPr>
            <w:tcW w:type="dxa" w:w="12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Fecha</w:t>
            </w:r>
          </w:p>
        </w:tc>
        <w:tc>
          <w:tcPr>
            <w:tcW w:type="dxa" w:w="13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Autor</w:t>
            </w:r>
          </w:p>
        </w:tc>
        <w:tc>
          <w:tcPr>
            <w:tcW w:type="dxa" w:w="58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r>
      <w:tr>
        <w:tc>
          <w:tcPr>
            <w:tcW w:type="dxa" w:w="10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0.1</w:t>
            </w:r>
          </w:p>
        </w:tc>
        <w:tc>
          <w:tcPr>
            <w:tcW w:type="dxa" w:w="1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Primera versión. Se organiza la documentación técnica base de la Liga en la estructura IEEE 830, con prioridades propuestas y pendientes señalados.</w:t>
            </w:r>
          </w:p>
        </w:tc>
      </w:tr>
      <w:tr>
        <w:tc>
          <w:tcPr>
            <w:tcW w:type="dxa" w:w="10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0.2</w:t>
            </w:r>
          </w:p>
        </w:tc>
        <w:tc>
          <w:tcPr>
            <w:tcW w:type="dxa" w:w="1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Etiquetado de estado y prioridad de entrega sobre el contenido integral (versión intermedia).</w:t>
            </w:r>
          </w:p>
        </w:tc>
      </w:tr>
      <w:tr>
        <w:tc>
          <w:tcPr>
            <w:tcW w:type="dxa" w:w="10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Reducción al alcance de entrega propuesto para un equipo de tres personas; sección 2.6 y Apéndices C y D. Aprobada parcialmente por el profesor y el equipo el 07/10/26.</w:t>
            </w:r>
          </w:p>
        </w:tc>
      </w:tr>
      <w:tr>
        <w:tc>
          <w:tcPr>
            <w:tcW w:type="dxa" w:w="10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19 de octubre de 2026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recuperan los 12 tipos de usuario y su funcionalidad (DEC-01). Se incorporan las respuestas del cliente en el levantamiento (R2), los formatos de carta (R8) y las decisiones del equipo (R9), sobre la base del ERS 0.3 con las ediciones del equipo (DEC-41): cédula con validación arbitral, disciplina, tesorería, canchas de club, transferencias entre temporadas, liguilla, ascensos y descensos, reportes, portal ampliado y notificaciones. Nuevos RF-094 a RF-145, RNF-016 a RNF-019, RN-037 a RN-058, VAL-017 a VAL-028, CA-009 a CA-014, CU-017 a CU-029, P-10 a P-13, UI-023 a UI-034, REP-012 a REP-014, DD-011, DD-012, DP-007, DP-008, PEN-039 a PEN-043 y los módulos M-13 y M-14. Se sustituye la clasificación I/S/P por N/B/F (véase Convenciones). Se resuelven los pendientes que respondió el cliente o el equipo (Apéndices A y C).</w:t>
            </w:r>
          </w:p>
        </w:tc>
      </w:tr>
    </w:tbl>
    <w:bookmarkEnd w:id="21"/>
    <w:bookmarkStart w:id="22" w:name="registro-de-aprobaciones"/>
    <w:p>
      <w:pPr>
        <w:pStyle w:val="Heading2"/>
      </w:pPr>
      <w:r>
        <w:t xml:space="preserve">Registro de aprobaciones</w:t>
      </w:r>
    </w:p>
    <w:tbl>
      <w:tblPr>
        <w:tblStyle w:val="Table"/>
        <w:jc w:val="center"/>
        <w:tblLook w:firstRow="1" w:lastRow="0" w:firstColumn="0" w:lastColumn="0" w:noHBand="0" w:noVBand="0" w:val="0020"/>
        <w:tblW w:w="9405" w:type="dxa"/>
        <w:tblLayout w:type="fixed"/>
      </w:tblPr>
      <w:tblGrid>
        <w:gridCol w:w="2533"/>
        <w:gridCol w:w="2339"/>
        <w:gridCol w:w="1063"/>
        <w:gridCol w:w="1610"/>
        <w:gridCol w:w="1857"/>
      </w:tblGrid>
      <w:tr>
        <w:trPr>
          <w:tblHeader w:val="true"/>
          <w:tblHeader/>
        </w:trPr>
        <w:tc>
          <w:tcPr>
            <w:tcW w:type="dxa" w:w="253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Parte</w:t>
            </w:r>
          </w:p>
        </w:tc>
        <w:tc>
          <w:tcPr>
            <w:tcW w:type="dxa" w:w="23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10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Revisión</w:t>
            </w:r>
          </w:p>
        </w:tc>
        <w:tc>
          <w:tcPr>
            <w:tcW w:type="dxa" w:w="16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Fecha</w:t>
            </w:r>
          </w:p>
        </w:tc>
        <w:tc>
          <w:tcPr>
            <w:tcW w:type="dxa" w:w="18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Representante de la Liga Municipal (cliente)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07/10/26</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Aprobado parcialmente</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de desarrollo</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 Olvera Lobato David Geovani; López Meza Leonardo</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07/10/26</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Aprobado parcialmente</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de desarrollo</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 Olvera Lobato David Geovani; López Meza Leonardo</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bl>
    <w:bookmarkEnd w:id="22"/>
    <w:bookmarkStart w:id="23" w:name="convenciones-de-este-documento"/>
    <w:p>
      <w:pPr>
        <w:pStyle w:val="Heading2"/>
      </w:pPr>
      <w:r>
        <w:t xml:space="preserve">Convenciones de este documento</w:t>
      </w:r>
    </w:p>
    <w:tbl>
      <w:tblPr>
        <w:tblStyle w:val="Table"/>
        <w:jc w:val="center"/>
        <w:tblLook w:firstRow="1" w:lastRow="0" w:firstColumn="0" w:lastColumn="0" w:noHBand="0" w:noVBand="0" w:val="0020"/>
        <w:tblW w:w="9405" w:type="dxa"/>
        <w:tblLayout w:type="fixed"/>
      </w:tblPr>
      <w:tblGrid>
        <w:gridCol w:w="2247"/>
        <w:gridCol w:w="7157"/>
      </w:tblGrid>
      <w:tr>
        <w:trPr>
          <w:tblHeader w:val="true"/>
          <w:tblHeader/>
        </w:trPr>
        <w:tc>
          <w:tcPr>
            <w:tcW w:type="dxa" w:w="22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Marca</w:t>
            </w:r>
          </w:p>
        </w:tc>
        <w:tc>
          <w:tcPr>
            <w:tcW w:type="dxa" w:w="71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Significado</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 o decisión aún no definido. No es requisito aprobado. El detalle está en el Apéndice A.</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[PROPUESTA]</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Propuesta del equipo que requiere validación.</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[DEMO]</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 de demostración: el requisito es configurable y el valor indicado se usa, rotulado «no oficial», hasta que la Liga confirme el real.</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marca</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Contenido respaldado por las fuentes (R1, R2, R3, R8) o decidido por el equipo (R9). Sigue sujeto a validación con la Liga.</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DEC-xx</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Decisión del registro de decisiones (R9) que origina o modifica el elemento.</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Identificadores</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conservan los de la fuente: RF, RNF, RN, CU, P, M, UI, VAL, REP, CA, DD, DP, PEN, AMB y RSK. Los elementos nuevos continúan la numeración (RF-094 en adelante, etc.).</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Entrega</w:t>
            </w:r>
            <w:r>
              <w:rPr>
                <w:rFonts w:ascii="Arial" w:hAnsi="Arial"/>
                <w:sz w:val="17"/>
              </w:rPr>
              <w:t xml:space="preserve"> </w:t>
            </w:r>
            <w:r>
              <w:rPr>
                <w:rFonts w:ascii="Arial" w:hAnsi="Arial"/>
                <w:sz w:val="17"/>
              </w:rPr>
              <w:t xml:space="preserve">(N, B, F)</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N</w:t>
            </w:r>
            <w:r>
              <w:rPr>
                <w:rFonts w:ascii="Arial" w:hAnsi="Arial"/>
                <w:sz w:val="17"/>
              </w:rPr>
              <w:t xml:space="preserve"> </w:t>
            </w:r>
            <w:r>
              <w:rPr>
                <w:rFonts w:ascii="Arial" w:hAnsi="Arial"/>
                <w:sz w:val="17"/>
              </w:rPr>
              <w:t xml:space="preserve">= núcleo comprometido en los Sprints de esta entrega.</w:t>
            </w:r>
            <w:r>
              <w:rPr>
                <w:rFonts w:ascii="Arial" w:hAnsi="Arial"/>
                <w:sz w:val="17"/>
              </w:rPr>
              <w:t xml:space="preserve"> </w:t>
            </w:r>
            <w:r>
              <w:rPr>
                <w:bCs/>
                <w:rFonts w:ascii="Arial" w:hAnsi="Arial"/>
                <w:b/>
                <w:sz w:val="17"/>
              </w:rPr>
              <w:t xml:space="preserve">B</w:t>
            </w:r>
            <w:r>
              <w:rPr>
                <w:rFonts w:ascii="Arial" w:hAnsi="Arial"/>
                <w:sz w:val="17"/>
              </w:rPr>
              <w:t xml:space="preserve"> </w:t>
            </w:r>
            <w:r>
              <w:rPr>
                <w:rFonts w:ascii="Arial" w:hAnsi="Arial"/>
                <w:sz w:val="17"/>
              </w:rPr>
              <w:t xml:space="preserve">= forma parte del alcance y queda priorizado en el Product Backlog, sin Sprint asignado.</w:t>
            </w:r>
            <w:r>
              <w:rPr>
                <w:rFonts w:ascii="Arial" w:hAnsi="Arial"/>
                <w:sz w:val="17"/>
              </w:rPr>
              <w:t xml:space="preserve"> </w:t>
            </w:r>
            <w:r>
              <w:rPr>
                <w:bCs/>
                <w:rFonts w:ascii="Arial" w:hAnsi="Arial"/>
                <w:b/>
                <w:sz w:val="17"/>
              </w:rPr>
              <w:t xml:space="preserve">F</w:t>
            </w:r>
            <w:r>
              <w:rPr>
                <w:rFonts w:ascii="Arial" w:hAnsi="Arial"/>
                <w:sz w:val="17"/>
              </w:rPr>
              <w:t xml:space="preserve"> </w:t>
            </w:r>
            <w:r>
              <w:rPr>
                <w:rFonts w:ascii="Arial" w:hAnsi="Arial"/>
                <w:sz w:val="17"/>
              </w:rPr>
              <w:t xml:space="preserve">= fuera del alcance de esta entrega (sección 2.6). Cada uno de los 12 tipos de usuario tiene al menos un requisito N (DEC-01).</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Prioridad</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del producto integral (Alta, Media, Baja), independiente de la entrega. Para los RF de la fuente se conserva la de la revisión 0.1</w:t>
            </w:r>
            <w:r>
              <w:rPr>
                <w:rFonts w:ascii="Arial" w:hAnsi="Arial"/>
                <w:sz w:val="17"/>
              </w:rPr>
              <w:t xml:space="preserve"> </w:t>
            </w:r>
            <w:r>
              <w:rPr>
                <w:bCs/>
                <w:rFonts w:ascii="Arial" w:hAnsi="Arial"/>
                <w:b/>
                <w:sz w:val="17"/>
              </w:rPr>
              <w:t xml:space="preserve">[PROPUESTA]</w:t>
            </w:r>
            <w:r>
              <w:rPr>
                <w:rFonts w:ascii="Arial" w:hAnsi="Arial"/>
                <w:sz w:val="17"/>
              </w:rPr>
              <w:t xml:space="preserve">.</w:t>
            </w:r>
          </w:p>
        </w:tc>
      </w:tr>
    </w:tbl>
    <w:bookmarkEnd w:id="23"/>
    <w:bookmarkEnd w:id="24"/>
    <w:bookmarkStart w:id="37" w:name="X0e2973c2e3c317285bf344b2034a52754788c6d"/>
    <w:p>
      <w:pPr>
        <w:pStyle w:val="Heading1"/>
      </w:pPr>
      <w:r>
        <w:t xml:space="preserve">1 Introducción</w:t>
      </w:r>
    </w:p>
    <w:p>
      <w:pPr>
        <w:pStyle w:val="FirstParagraph"/>
      </w:pPr>
      <w:r>
        <w:t xml:space="preserve">Este documento es la Especificación de Requisitos de Software (ERS) de</w:t>
      </w:r>
      <w:r>
        <w:t xml:space="preserve"> </w:t>
      </w:r>
      <w:r>
        <w:rPr>
          <w:bCs/>
          <w:b/>
        </w:rPr>
        <w:t xml:space="preserve">SIGLIM</w:t>
      </w:r>
      <w:r>
        <w:t xml:space="preserve">, el Sistema de Gestión de la Liga Municipal de Futbol Amateur Morelia. Describe qué debe hacer el sistema y bajo qué restricciones, sin definir cómo se implementará. Está estructurado según IEEE Std 830-1998 y sigue la plantilla de ERS del curso.</w:t>
      </w:r>
    </w:p>
    <w:p>
      <w:pPr>
        <w:pStyle w:val="BodyText"/>
      </w:pPr>
      <w:r>
        <w:t xml:space="preserve">Está dirigido al equipo de desarrollo, que lo usa como base para el diseño, el backlog y las pruebas; al profesor de Fundamentos de Ingeniería de Software, que da seguimiento al proyecto durante el semestre; y a los representantes de la Liga, que deberán validar los requisitos, los procesos y las reglas en caso de que el sistema se lance al público.</w:t>
      </w:r>
    </w:p>
    <w:p>
      <w:pPr>
        <w:pStyle w:val="BodyText"/>
      </w:pPr>
      <w:r>
        <w:t xml:space="preserve">El proyecto es real y el documento es de seguimiento. Se conserva la información respaldada por las fuentes, se marcan con</w:t>
      </w:r>
      <w:r>
        <w:t xml:space="preserve"> </w:t>
      </w:r>
      <w:r>
        <w:rPr>
          <w:bCs/>
          <w:b/>
        </w:rPr>
        <w:t xml:space="preserve">[PENDIENTE]</w:t>
      </w:r>
      <w:r>
        <w:t xml:space="preserve"> </w:t>
      </w:r>
      <w:r>
        <w:t xml:space="preserve">los aspectos por definir, con</w:t>
      </w:r>
      <w:r>
        <w:t xml:space="preserve"> </w:t>
      </w:r>
      <w:r>
        <w:rPr>
          <w:bCs/>
          <w:b/>
        </w:rPr>
        <w:t xml:space="preserve">[PROPUESTA]</w:t>
      </w:r>
      <w:r>
        <w:t xml:space="preserve"> </w:t>
      </w:r>
      <w:r>
        <w:t xml:space="preserve">las sugerencias del equipo y con</w:t>
      </w:r>
      <w:r>
        <w:t xml:space="preserve"> </w:t>
      </w:r>
      <w:r>
        <w:rPr>
          <w:bCs/>
          <w:b/>
        </w:rPr>
        <w:t xml:space="preserve">[DEMO]</w:t>
      </w:r>
      <w:r>
        <w:t xml:space="preserve"> </w:t>
      </w:r>
      <w:r>
        <w:t xml:space="preserve">los valores de demostración, de modo que ninguna suposición se presente como requisito aprobado.</w:t>
      </w:r>
    </w:p>
    <w:bookmarkStart w:id="25" w:name="X28ee9ae3633df832d464340fd9c66ddade43d18"/>
    <w:p>
      <w:pPr>
        <w:pStyle w:val="Heading2"/>
      </w:pPr>
      <w:r>
        <w:t xml:space="preserve">1.1 Alcance</w:t>
      </w:r>
    </w:p>
    <w:p>
      <w:pPr>
        <w:pStyle w:val="FirstParagraph"/>
      </w:pPr>
      <w:r>
        <w:rPr>
          <w:bCs/>
          <w:b/>
        </w:rPr>
        <w:t xml:space="preserve">Producto.</w:t>
      </w:r>
      <w:r>
        <w:t xml:space="preserve"> </w:t>
      </w:r>
      <w:r>
        <w:t xml:space="preserve">SIGLIM es una plataforma web responsive con una aplicación interna, con acceso según el rol y el ámbito de cada usuario, y un portal público de solo consulta. Administra el ciclo completo de una temporada de la Liga: afiliación de clubes, registro y validación de jugadores, árbitros, canchas, programación manual, cédula arbitral, resultados oficiales, tabla, disciplina, liguilla, ascensos y descensos, cobros, reportes y publicación de la información autorizada.</w:t>
      </w:r>
    </w:p>
    <w:p>
      <w:pPr>
        <w:pStyle w:val="BodyText"/>
      </w:pPr>
      <w:r>
        <w:rPr>
          <w:bCs/>
          <w:b/>
        </w:rPr>
        <w:t xml:space="preserve">Contexto operativo.</w:t>
      </w:r>
      <w:r>
        <w:t xml:space="preserve"> </w:t>
      </w:r>
      <w:r>
        <w:t xml:space="preserve">La operación se organiza en la estructura Temporada → Categoría → Grupo → Equipos → Partidos. Las programaciones observadas incluyen Primera Especial, Primera Fuerza, Reserva, Intermedia, Segunda, Tercera, Juvenil, Cuarta y Veteranos. Una categoría puede tener uno o varios grupos y un equipo pertenece a una categoría y grupo durante una temporada. El orden y la jerarquía de las categorías son configurables (DEC-16). La Liga de referencia tiene cerca de 200 clubes, más de 600 equipos, 40 canchas en su unidad deportiva y recibe de 5,000 a 6,000 asistentes por fin de semana (R2).</w:t>
      </w:r>
    </w:p>
    <w:p>
      <w:pPr>
        <w:pStyle w:val="BodyText"/>
      </w:pPr>
      <w:r>
        <w:rPr>
          <w:bCs/>
          <w:b/>
        </w:rPr>
        <w:t xml:space="preserve">Beneficios esperados.</w:t>
      </w:r>
      <w:r>
        <w:t xml:space="preserve"> </w:t>
      </w:r>
      <w:r>
        <w:t xml:space="preserve">Centralizar la información que hoy está dispersa y en papel; detectar jugadores registrados en dos clubes («cachirules») mediante la CURP; oficializar resultados con una cédula validada; aplicar las sanciones según el reglamento con trazabilidad; y publicar solo información autorizada.</w:t>
      </w:r>
    </w:p>
    <w:p>
      <w:pPr>
        <w:pStyle w:val="BodyText"/>
      </w:pPr>
      <w:r>
        <w:rPr>
          <w:bCs/>
          <w:b/>
        </w:rPr>
        <w:t xml:space="preserve">Alcance de esta entrega.</w:t>
      </w:r>
      <w:r>
        <w:t xml:space="preserve"> </w:t>
      </w:r>
      <w:r>
        <w:t xml:space="preserve">Comprende los 14 módulos de la sección 2.2. Cada requisito indica si pertenece al núcleo comprometido (N), al backlog priorizado (B) o si queda fuera (F). No incluye programación automática ni las integraciones que se listan en 2.6.</w:t>
      </w:r>
    </w:p>
    <w:bookmarkEnd w:id="25"/>
    <w:bookmarkStart w:id="29" w:name="Xb1591a05b3c1b38396b97265c62cc7776ee30fc"/>
    <w:p>
      <w:pPr>
        <w:pStyle w:val="Heading2"/>
      </w:pPr>
      <w:r>
        <w:t xml:space="preserve">1.2 Personal involucrado</w:t>
      </w:r>
    </w:p>
    <w:tbl>
      <w:tblPr>
        <w:tblStyle w:val="Table"/>
        <w:jc w:val="center"/>
        <w:tblLook w:firstRow="1" w:lastRow="0" w:firstColumn="0" w:lastColumn="0" w:noHBand="0" w:noVBand="0" w:val="0020"/>
        <w:tblW w:w="9405" w:type="dxa"/>
        <w:tblLayout w:type="fixed"/>
      </w:tblPr>
      <w:tblGrid>
        <w:gridCol w:w="2896"/>
        <w:gridCol w:w="6508"/>
      </w:tblGrid>
      <w:tr>
        <w:trPr>
          <w:tblHeader w:val="true"/>
          <w:tblHeader/>
        </w:trPr>
        <w:tc>
          <w:tcPr>
            <w:tcW w:type="dxa" w:w="28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5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Desarrollador responsable de arquitectura y datos</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Coordinar la arquitectura y el diseño lógico de datos; preparar el repositorio y el entorno de desarrollo; documentar decisiones técnicas; colaborar en desarrollo, integración y revisión.</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hyperlink r:id="rId26">
              <w:r>
                <w:rPr>
                  <w:rStyle w:val="Hyperlink"/>
                </w:rPr>
                <w:t xml:space="preserve">l24120356@morelia.tecnm.mx</w:t>
              </w:r>
            </w:hyperlink>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López Meza Leonardo, Scrum Master.</w:t>
            </w:r>
          </w:p>
        </w:tc>
      </w:tr>
    </w:tbl>
    <w:p/>
    <w:tbl>
      <w:tblPr>
        <w:tblStyle w:val="Table"/>
        <w:jc w:val="center"/>
        <w:tblLook w:firstRow="1" w:lastRow="0" w:firstColumn="0" w:lastColumn="0" w:noHBand="0" w:noVBand="0" w:val="0020"/>
        <w:tblW w:w="9405" w:type="dxa"/>
        <w:tblLayout w:type="fixed"/>
      </w:tblPr>
      <w:tblGrid>
        <w:gridCol w:w="2847"/>
        <w:gridCol w:w="6557"/>
      </w:tblGrid>
      <w:tr>
        <w:trPr>
          <w:tblHeader w:val="true"/>
          <w:tblHeader/>
        </w:trPr>
        <w:tc>
          <w:tcPr>
            <w:tcW w:type="dxa" w:w="2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5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Lobato David Geovani</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Product Owner y analista de requisitos</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y priorizar el Product Backlog; elaborar historias de usuario y criterios de aceptación; coordinar el ERS y el análisis de procesos; consultar y validar requisitos con la Liga o el asesor.</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hyperlink r:id="rId27">
              <w:r>
                <w:rPr>
                  <w:rStyle w:val="Hyperlink"/>
                </w:rPr>
                <w:t xml:space="preserve">l24120339@morelia.tecnm.mx</w:t>
              </w:r>
            </w:hyperlink>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Claudio Ernesto Florian Arenas, Representante del Cliente.</w:t>
            </w:r>
          </w:p>
        </w:tc>
      </w:tr>
    </w:tbl>
    <w:p/>
    <w:tbl>
      <w:tblPr>
        <w:tblStyle w:val="Table"/>
        <w:jc w:val="center"/>
        <w:tblLook w:firstRow="1" w:lastRow="0" w:firstColumn="0" w:lastColumn="0" w:noHBand="0" w:noVBand="0" w:val="0020"/>
        <w:tblW w:w="9405" w:type="dxa"/>
        <w:tblLayout w:type="fixed"/>
      </w:tblPr>
      <w:tblGrid>
        <w:gridCol w:w="2908"/>
        <w:gridCol w:w="6496"/>
      </w:tblGrid>
      <w:tr>
        <w:trPr>
          <w:tblHeader w:val="true"/>
          <w:tblHeader/>
        </w:trPr>
        <w:tc>
          <w:tcPr>
            <w:tcW w:type="dxa" w:w="29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49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Scrum Master y responsable de calidad</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Facilitar Sprint Planning, Daily Scrum, Sprint Review y Sprint Retrospective; mantener actualizado el tablero; dar seguimiento a impedimentos; coordinar pruebas y verificar los entregables.</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hyperlink r:id="rId28">
              <w:r>
                <w:rPr>
                  <w:rStyle w:val="Hyperlink"/>
                </w:rPr>
                <w:t xml:space="preserve">l24120362@morelia.tecnm.mx</w:t>
              </w:r>
            </w:hyperlink>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Olvera Lobato David Geovani, Product Owner.</w:t>
            </w:r>
          </w:p>
        </w:tc>
      </w:tr>
    </w:tbl>
    <w:p>
      <w:pPr>
        <w:pStyle w:val="BodyText"/>
      </w:pPr>
      <w:r>
        <w:rPr>
          <w:bCs/>
          <w:b/>
        </w:rPr>
        <w:t xml:space="preserve">Otras partes interesadas</w:t>
      </w:r>
    </w:p>
    <w:tbl>
      <w:tblPr>
        <w:tblStyle w:val="Table"/>
        <w:jc w:val="center"/>
        <w:tblLook w:firstRow="1" w:lastRow="0" w:firstColumn="0" w:lastColumn="0" w:noHBand="0" w:noVBand="0" w:val="0020"/>
        <w:tblW w:w="9405" w:type="dxa"/>
        <w:tblLayout w:type="fixed"/>
      </w:tblPr>
      <w:tblGrid>
        <w:gridCol w:w="2877"/>
        <w:gridCol w:w="2078"/>
        <w:gridCol w:w="4448"/>
      </w:tblGrid>
      <w:tr>
        <w:trPr>
          <w:tblHeader w:val="true"/>
          <w:tblHeader/>
        </w:trPr>
        <w:tc>
          <w:tcPr>
            <w:tcW w:type="dxa" w:w="2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Parte</w:t>
            </w:r>
          </w:p>
        </w:tc>
        <w:tc>
          <w:tcPr>
            <w:tcW w:type="dxa" w:w="207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44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Participación</w:t>
            </w:r>
          </w:p>
        </w:tc>
      </w:tr>
      <w:tr>
        <w:tc>
          <w:tcPr>
            <w:tcW w:type="dxa" w:w="2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Municipal de Futbol Amateur Morelia</w:t>
            </w:r>
          </w:p>
        </w:tc>
        <w:tc>
          <w:tcPr>
            <w:tcW w:type="dxa" w:w="2079"/>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44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Cliente y fuente de los procesos y reglas. Valida requisitos, procesos y reglas.</w:t>
            </w:r>
          </w:p>
        </w:tc>
      </w:tr>
      <w:tr>
        <w:tc>
          <w:tcPr>
            <w:tcW w:type="dxa" w:w="2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07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44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Seguimiento académico del proyecto; en el levantamiento actuó como representante del cliente (R2).</w:t>
            </w:r>
          </w:p>
        </w:tc>
      </w:tr>
    </w:tbl>
    <w:bookmarkEnd w:id="29"/>
    <w:bookmarkStart w:id="30" w:name="X35ee9fa7d94a1da71cde1444185384b54b69b32"/>
    <w:p>
      <w:pPr>
        <w:pStyle w:val="Heading2"/>
      </w:pPr>
      <w:r>
        <w:t xml:space="preserve">1.3 Definiciones, acrónimos y abreviaturas</w:t>
      </w:r>
    </w:p>
    <w:tbl>
      <w:tblPr>
        <w:tblStyle w:val="Table"/>
        <w:jc w:val="center"/>
        <w:tblLook w:firstRow="1" w:lastRow="0" w:firstColumn="0" w:lastColumn="0" w:noHBand="0" w:noVBand="0" w:val="0020"/>
        <w:tblW w:w="9405" w:type="dxa"/>
        <w:tblLayout w:type="fixed"/>
      </w:tblPr>
      <w:tblGrid>
        <w:gridCol w:w="2197"/>
        <w:gridCol w:w="7207"/>
      </w:tblGrid>
      <w:tr>
        <w:trPr>
          <w:tblHeader w:val="true"/>
          <w:tblHeader/>
        </w:trPr>
        <w:tc>
          <w:tcPr>
            <w:tcW w:type="dxa" w:w="21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Término</w:t>
            </w:r>
          </w:p>
        </w:tc>
        <w:tc>
          <w:tcPr>
            <w:tcW w:type="dxa" w:w="72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Definición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ERS / SRS</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Especificación de requisitos de software.</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 / RNF</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 funcional / requisito no funcional.</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 de negocio.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de uso.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RBAC</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Control de acceso basado en roles. En SIGLIM se combina con un</w:t>
            </w:r>
            <w:r>
              <w:rPr>
                <w:rFonts w:ascii="Arial" w:hAnsi="Arial"/>
                <w:sz w:val="17"/>
              </w:rPr>
              <w:t xml:space="preserve"> </w:t>
            </w:r>
            <w:r>
              <w:rPr>
                <w:bCs/>
                <w:rFonts w:ascii="Arial" w:hAnsi="Arial"/>
                <w:b/>
                <w:sz w:val="17"/>
              </w:rPr>
              <w:t xml:space="preserve">ámbito</w:t>
            </w:r>
            <w:r>
              <w:rPr>
                <w:rFonts w:ascii="Arial" w:hAnsi="Arial"/>
                <w:sz w:val="17"/>
              </w:rPr>
              <w:t xml:space="preserve"> </w:t>
            </w:r>
            <w:r>
              <w:rPr>
                <w:rFonts w:ascii="Arial" w:hAnsi="Arial"/>
                <w:sz w:val="17"/>
              </w:rPr>
              <w:t xml:space="preserve">(liga, club o propio).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un permiso:</w:t>
            </w:r>
            <w:r>
              <w:rPr>
                <w:rFonts w:ascii="Arial" w:hAnsi="Arial"/>
                <w:sz w:val="17"/>
              </w:rPr>
              <w:t xml:space="preserve"> </w:t>
            </w:r>
            <w:r>
              <w:rPr>
                <w:bCs/>
                <w:rFonts w:ascii="Arial" w:hAnsi="Arial"/>
                <w:b/>
                <w:sz w:val="17"/>
              </w:rPr>
              <w:t xml:space="preserve">liga</w:t>
            </w:r>
            <w:r>
              <w:rPr>
                <w:rFonts w:ascii="Arial" w:hAnsi="Arial"/>
                <w:sz w:val="17"/>
              </w:rPr>
              <w:t xml:space="preserve"> </w:t>
            </w:r>
            <w:r>
              <w:rPr>
                <w:rFonts w:ascii="Arial" w:hAnsi="Arial"/>
                <w:sz w:val="17"/>
              </w:rPr>
              <w:t xml:space="preserve">(toda la información),</w:t>
            </w:r>
            <w:r>
              <w:rPr>
                <w:rFonts w:ascii="Arial" w:hAnsi="Arial"/>
                <w:sz w:val="17"/>
              </w:rPr>
              <w:t xml:space="preserve"> </w:t>
            </w:r>
            <w:r>
              <w:rPr>
                <w:bCs/>
                <w:rFonts w:ascii="Arial" w:hAnsi="Arial"/>
                <w:b/>
                <w:sz w:val="17"/>
              </w:rPr>
              <w:t xml:space="preserve">club</w:t>
            </w:r>
            <w:r>
              <w:rPr>
                <w:rFonts w:ascii="Arial" w:hAnsi="Arial"/>
                <w:sz w:val="17"/>
              </w:rPr>
              <w:t xml:space="preserve"> </w:t>
            </w:r>
            <w:r>
              <w:rPr>
                <w:rFonts w:ascii="Arial" w:hAnsi="Arial"/>
                <w:sz w:val="17"/>
              </w:rPr>
              <w:t xml:space="preserve">(solo el club al que pertenece el usuario) o</w:t>
            </w:r>
            <w:r>
              <w:rPr>
                <w:rFonts w:ascii="Arial" w:hAnsi="Arial"/>
                <w:sz w:val="17"/>
              </w:rPr>
              <w:t xml:space="preserve"> </w:t>
            </w:r>
            <w:r>
              <w:rPr>
                <w:bCs/>
                <w:rFonts w:ascii="Arial" w:hAnsi="Arial"/>
                <w:b/>
                <w:sz w:val="17"/>
              </w:rPr>
              <w:t xml:space="preserve">propio</w:t>
            </w:r>
            <w:r>
              <w:rPr>
                <w:rFonts w:ascii="Arial" w:hAnsi="Arial"/>
                <w:sz w:val="17"/>
              </w:rPr>
              <w:t xml:space="preserve"> </w:t>
            </w:r>
            <w:r>
              <w:rPr>
                <w:rFonts w:ascii="Arial" w:hAnsi="Arial"/>
                <w:sz w:val="17"/>
              </w:rPr>
              <w:t xml:space="preserve">(solo los datos o partidos de la persona).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BPMN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Notación para el modelado de procesos de negocio (OMG).</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Clave Única de Registro de Población. Identificador único de toda persona en SIGLIM (DEC-10).</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Derechos de acceso, rectificación, cancelación y oposición sobre datos personales.</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Municipal de Futbol Amateur Morelia.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deportivo en que se desarrolla una competencia. Tiene una convocatoria asociada.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 normativo de una temporada, del cual se derivan sus reglas de operación.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 Grupo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Nivel deportivo / agrupación de equipos dentro de una categoría. Las categorías tienen orden y una categoría superior inmediata configurable.</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(tarjetón)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del club al inicio de cada temporada con su directiva, colores, categorías y firmas; lleva un folio (R2).</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secretario, tesorero y delegado de un club. Es un solo tipo de usuario con cuatro cargos y ámbito de club.</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 / Fase</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Estructura de competencia de una temporada y su fase (fase regular, liguilla). El formato lo define el programador de partidos con los parámetros de la temporada.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 Jornada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de partidos con fecha, hora, cancha y árbitros asignados.</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 de cancha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Intervalo que ocupa un partido en una cancha para detectar choques de horario. Es configurable por categoría (DEC-25).</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oficial del partido: alineación, marcador, goles, tarjetas, incidencias, sustituciones y observaciones. La captura el Capturista y la valida el árbitro (DEC-19).</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Hecho registrado en la cédula. Según su tipo puede abrir un expediente disciplinario.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disciplinario abierto a partir de una o más incidencias; termina en una resolución.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Consecuencia disciplinaria con vigencia, definida por un artículo del reglamento.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Cachirul</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registrado indebidamente en más de un club o categoría (R2).</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Elegibilidad</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Condición que determina si una persona o un equipo puede participar.</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Restricción dura / blanda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Condición que no puede violarse / que se advierte pero puede aceptarse con motivo.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 a un club o a un equipo con concepto, monto y periodo de pago.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 simulado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un pago en línea con referencia ficticia; no hay pasarela de pago real (DEC-37).</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Parte del sistema, sin privilegios de edición, que muestra solo la información publicada.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Paso de la información interna al portal. La programación y los comunicados requieren aprobación; los resultados oficiales se publican automáticamente (DEC-21).</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 / AMB / RSK</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Pendiente / ambigüedad / riesgo identificados en la fuente (Apéndices A y B).</w:t>
            </w:r>
          </w:p>
        </w:tc>
      </w:tr>
    </w:tbl>
    <w:bookmarkEnd w:id="30"/>
    <w:bookmarkStart w:id="35" w:name="X32d9f4fcb432e31c099a2070517e1886170214a"/>
    <w:p>
      <w:pPr>
        <w:pStyle w:val="Heading2"/>
      </w:pPr>
      <w:r>
        <w:t xml:space="preserve">1.4 Referencias</w:t>
      </w:r>
    </w:p>
    <w:tbl>
      <w:tblPr>
        <w:tblStyle w:val="Table"/>
        <w:jc w:val="center"/>
        <w:tblLook w:firstRow="1" w:lastRow="0" w:firstColumn="0" w:lastColumn="0" w:noHBand="0" w:noVBand="0" w:val="0020"/>
        <w:tblW w:w="9405" w:type="dxa"/>
        <w:tblLayout w:type="fixed"/>
      </w:tblPr>
      <w:tblGrid>
        <w:gridCol w:w="941"/>
        <w:gridCol w:w="8463"/>
      </w:tblGrid>
      <w:tr>
        <w:trPr>
          <w:tblHeader w:val="true"/>
          <w:tblHeader/>
        </w:trPr>
        <w:tc>
          <w:tcPr>
            <w:tcW w:type="dxa" w:w="9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Código</w:t>
            </w:r>
          </w:p>
        </w:tc>
        <w:tc>
          <w:tcPr>
            <w:tcW w:type="dxa" w:w="84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Referencia</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Presentación «Sistema_Gestion_Liga_Municipal_Morelia_Base_Ingenieria_Software(2).pptx»: visión, alcance y requerimientos preliminares. Documento base del proyecto.</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Levantamiento con el cliente, audio «PREGUNTAS - PROY LIGAS DEPORTIVAS (2).m4a», y su transcripción (</w:t>
            </w:r>
            <w:hyperlink r:id="rId31">
              <w:r>
                <w:rPr>
                  <w:rStyle w:val="VerbatimChar"/>
                </w:rPr>
                <w:t xml:space="preserve">fuentes/levantamiento-audio-r2-transcripcion.md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Documentación técnica base para ERS/SRS (</w:t>
            </w:r>
            <w:hyperlink r:id="rId32">
              <w:r>
                <w:rPr>
                  <w:rStyle w:val="VerbatimChar"/>
                </w:rPr>
                <w:t xml:space="preserve">fuentes/documentacion-tecnica-base-ers.md</w:t>
              </w:r>
            </w:hyperlink>
            <w:r>
              <w:rPr>
                <w:rFonts w:ascii="Arial" w:hAnsi="Arial"/>
                <w:sz w:val="17"/>
              </w:rPr>
              <w:t xml:space="preserve">), derivada de R1. Las citas «R3 §n» remiten a sus secciones.</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R4</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Fuentes de fondo citadas por R1, no consultadas directamente: Reglamento de la Liga, Convocatoria 2025–2026 y programaciones oficiales de las Fechas 32 y 33.</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R5</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IEEE Std 830-1998, Recommended Practice for Software Requirements Specifications.</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R6</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Plantilla «ERS_simplificado» proporcionada para el curso.</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R7</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OMG, Business Process Model and Notation (BPMN) 2.0 (ISO/IEC 19510:2013).</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de carta de préstamo y de oferta de cancha entregados por el cliente (</w:t>
            </w:r>
            <w:hyperlink r:id="rId33">
              <w:r>
                <w:rPr>
                  <w:rStyle w:val="VerbatimChar"/>
                </w:rPr>
                <w:t xml:space="preserve">fuentes/formatos-carta-cancha.md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R9</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decisiones del equipo, DEC-01 a DEC-44 (</w:t>
            </w:r>
            <w:hyperlink r:id="rId34">
              <w:r>
                <w:rPr>
                  <w:rStyle w:val="VerbatimChar"/>
                </w:rPr>
                <w:t xml:space="preserve">decisiones/registro-de-decisiones.md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R10</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Ley Federal de Protección de Datos Personales en Posesión de los Particulares (DOF 20-mar-2025).</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R11</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Ley General de Protección de Datos Personales en Posesión de Sujetos Obligados (aplicable solo si la Liga resulta ser un organismo público; véase PEN-039).</w:t>
            </w:r>
          </w:p>
        </w:tc>
      </w:tr>
    </w:tbl>
    <w:bookmarkEnd w:id="35"/>
    <w:bookmarkStart w:id="36" w:name="X8ec4889279c481b0f04745bd2c057df66d5f229"/>
    <w:p>
      <w:pPr>
        <w:pStyle w:val="Heading2"/>
      </w:pPr>
      <w:r>
        <w:t xml:space="preserve">1.5 Visión general del documento</w:t>
      </w:r>
    </w:p>
    <w:p>
      <w:pPr>
        <w:pStyle w:val="FirstParagraph"/>
      </w:pPr>
      <w:r>
        <w:t xml:space="preserve">El capítulo 2 describe el producto, sus módulos, usuarios, restricciones y dependencias; la sección 2.6 lista lo que queda fuera de la entrega. El capítulo 3 contiene los requisitos específicos: interfaces, requisitos funcionales, no funcionales, reglas de negocio, validaciones, reportes, datos, criterios de aceptación y requisitos legales. El capítulo 4 reúne el modelado: casos de uso, procesos, máquinas de estado, modelo de datos conceptual, arquitectura conceptual y trazabilidad. El Apéndice A concentra los pendientes; el B, ambigüedades y riesgos; el C, las preguntas y su estado; el D, los supuestos; y el E, la matriz de permisos inicial.</w:t>
      </w:r>
    </w:p>
    <w:bookmarkEnd w:id="36"/>
    <w:bookmarkEnd w:id="37"/>
    <w:bookmarkStart w:id="52" w:name="X272b38cfc2ff6ab53ecdbfe24b7ba0e5f181bd6"/>
    <w:p>
      <w:pPr>
        <w:pStyle w:val="Heading1"/>
      </w:pPr>
      <w:r>
        <w:t xml:space="preserve">2 Descripción general</w:t>
      </w:r>
    </w:p>
    <w:bookmarkStart w:id="43" w:name="X530c4174996bbc2c9398cdddea6478430b49400"/>
    <w:p>
      <w:pPr>
        <w:pStyle w:val="Heading2"/>
      </w:pPr>
      <w:r>
        <w:t xml:space="preserve">2.1 Perspectiva del producto</w:t>
      </w:r>
    </w:p>
    <w:p>
      <w:pPr>
        <w:pStyle w:val="FirstParagraph"/>
      </w:pPr>
      <w:r>
        <w:t xml:space="preserve">SIGLIM es una plataforma web independiente con dos caras: una</w:t>
      </w:r>
      <w:r>
        <w:t xml:space="preserve"> </w:t>
      </w:r>
      <w:r>
        <w:rPr>
          <w:bCs/>
          <w:b/>
        </w:rPr>
        <w:t xml:space="preserve">aplicación interna</w:t>
      </w:r>
      <w:r>
        <w:t xml:space="preserve">, a la que cada usuario accede según su rol y su ámbito, y un</w:t>
      </w:r>
      <w:r>
        <w:t xml:space="preserve"> </w:t>
      </w:r>
      <w:r>
        <w:rPr>
          <w:bCs/>
          <w:b/>
        </w:rPr>
        <w:t xml:space="preserve">portal público</w:t>
      </w:r>
      <w:r>
        <w:t xml:space="preserve"> </w:t>
      </w:r>
      <w:r>
        <w:t xml:space="preserve">de solo consulta. Ambas comparten un backend modular y una base de datos relacional dentro de una sola aplicación. La información interna solo llega al portal por un flujo autorizado y no existe flujo inverso desde el portal para editar datos.</w:t>
      </w:r>
    </w:p>
    <w:p>
      <w:pPr>
        <w:pStyle w:val="BodyText"/>
      </w:pPr>
      <w:r>
        <w:t xml:space="preserve">El sistema se relaciona con tres servicios externos: el servicio de identidad que emite las sesiones, un servicio de almacenamiento privado para documentos y fotos (DEC-10) y un servicio de correo para las notificaciones (DEC-38). Los proveedores concretos se justifican en las decisiones de arquitectura.</w:t>
      </w:r>
    </w:p>
    <w:p>
      <w:pPr>
        <w:pStyle w:val="BodyText"/>
        <w:jc w:val="center"/>
      </w:pPr>
      <w:r>
        <w:drawing>
          <wp:inline>
            <wp:extent cx="5334000" cy="966107"/>
            <wp:effectExtent b="0" l="0" r="0" t="0"/>
            <wp:docPr descr="" title="" id="39" name="Picture"/>
            <a:graphic>
              <a:graphicData uri="http://schemas.openxmlformats.org/drawingml/2006/picture">
                <pic:pic>
                  <pic:nvPicPr>
                    <pic:cNvPr descr="/tmp/claude-0/-home-claude/eebdd6ec-6534-54e0-875b-f2e2895ea31f/scratchpad/ers/mmd/d01.png" id="40" name="Picture"/>
                    <pic:cNvPicPr>
                      <a:picLocks noChangeArrowheads="1" noChangeAspect="1"/>
                    </pic:cNvPicPr>
                  </pic:nvPicPr>
                  <pic:blipFill>
                    <a:blip r:embed="rId38"/>
                    <a:stretch>
                      <a:fillRect/>
                    </a:stretch>
                  </pic:blipFill>
                  <pic:spPr bwMode="auto">
                    <a:xfrm>
                      <a:off x="0" y="0"/>
                      <a:ext cx="5334000" cy="966107"/>
                    </a:xfrm>
                    <a:prstGeom prst="rect">
                      <a:avLst/>
                    </a:prstGeom>
                    <a:noFill/>
                    <a:ln w="9525">
                      <a:noFill/>
                      <a:headEnd/>
                      <a:tailEnd/>
                    </a:ln>
                  </pic:spPr>
                </pic:pic>
              </a:graphicData>
            </a:graphic>
          </wp:inline>
        </w:drawing>
      </w:r>
    </w:p>
    <w:p>
      <w:pPr>
        <w:pStyle w:val="BodyText"/>
        <w:jc w:val="center"/>
      </w:pPr>
      <w:r>
        <w:rPr>
          <w:iCs/>
          <w:i/>
          <w:sz w:val="18"/>
        </w:rPr>
        <w:t xml:space="preserve">Figura 1. Contexto del sistema.</w:t>
      </w:r>
    </w:p>
    <w:p>
      <w:pPr>
        <w:pStyle w:val="BodyText"/>
      </w:pPr>
      <w:r>
        <w:t xml:space="preserve">La arquitectura y el diseño jerárquico detallados están en</w:t>
      </w:r>
      <w:r>
        <w:t xml:space="preserve"> </w:t>
      </w:r>
      <w:hyperlink r:id="rId41">
        <w:r>
          <w:rPr>
            <w:rStyle w:val="VerbatimChar"/>
          </w:rPr>
          <w:t xml:space="preserve">../arquitectura/arquitectura-y-diseno-jerarquico.md</w:t>
        </w:r>
      </w:hyperlink>
      <w:r>
        <w:t xml:space="preserve">; su copia en PDF se encuentra en</w:t>
      </w:r>
      <w:r>
        <w:t xml:space="preserve"> </w:t>
      </w:r>
      <w:hyperlink r:id="rId42">
        <w:r>
          <w:rPr>
            <w:rStyle w:val="Hyperlink"/>
          </w:rPr>
          <w:t xml:space="preserve">OneDrive</w:t>
        </w:r>
      </w:hyperlink>
      <w:r>
        <w:t xml:space="preserve">. Ambos deberán actualizarse a esta revisión.</w:t>
      </w:r>
    </w:p>
    <w:bookmarkEnd w:id="43"/>
    <w:bookmarkStart w:id="47" w:name="X7ce5fdf717f2a4f1ebe063d0e3837802bc71e68"/>
    <w:p>
      <w:pPr>
        <w:pStyle w:val="Heading2"/>
      </w:pPr>
      <w:r>
        <w:t xml:space="preserve">2.2 Funcionalidad del producto</w:t>
      </w:r>
    </w:p>
    <w:p>
      <w:pPr>
        <w:pStyle w:val="FirstParagraph"/>
      </w:pPr>
      <w:r>
        <w:t xml:space="preserve">El sistema se organiza en 14 módulos funcionales. No se exige una interfaz o un servicio independiente por módulo.</w:t>
      </w:r>
    </w:p>
    <w:tbl>
      <w:tblPr>
        <w:tblStyle w:val="Table"/>
        <w:jc w:val="center"/>
        <w:tblLook w:firstRow="1" w:lastRow="0" w:firstColumn="0" w:lastColumn="0" w:noHBand="0" w:noVBand="0" w:val="0020"/>
        <w:tblW w:w="9405" w:type="dxa"/>
        <w:tblLayout w:type="fixed"/>
      </w:tblPr>
      <w:tblGrid>
        <w:gridCol w:w="903"/>
        <w:gridCol w:w="2179"/>
        <w:gridCol w:w="3728"/>
        <w:gridCol w:w="2593"/>
      </w:tblGrid>
      <w:tr>
        <w:trPr>
          <w:tblHeader w:val="true"/>
          <w:tblHeader/>
        </w:trPr>
        <w:tc>
          <w:tcPr>
            <w:tcW w:type="dxa" w:w="9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Módulo</w:t>
            </w:r>
          </w:p>
        </w:tc>
        <w:tc>
          <w:tcPr>
            <w:tcW w:type="dxa" w:w="21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37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5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Usuarios principales</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Administración y seguridad</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roles, permisos con ámbito y control dual, consentimiento y aviso de privacidad, auditoría.</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Temporadas y normativa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Temporadas, convocatoria, catálogo y jerarquía de categorías, grupos y parámetros deportivos configurables.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 Secretario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deportiva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afiliación por temporada, directiva, equipos, venta de equipo y plaza, personas y tutores.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Registros y elegibilidad</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y transferencia entre temporadas; documentos; unicidad por CURP; elegibilidad y alineación en categoría superior.</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Jugador</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y designaciones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presentados por los clubes, validación, disponibilidad y designación a partidos.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Directiva de club, Árbitro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M-06</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 y recursos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 de la liga y de clubes, comodatos, ofertas, préstamos, horarios, disponibilidad y bloqueos.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Secretario, Presidente, Directiva de club</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manual</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Jornadas y partidos con validación de conflictos y localía, aprobación y publicación.</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Partidos, cédula y resultados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Ciclo de vida del partido, cédula con validación arbitral, resultado oficial, tabla y estadísticas.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 Árbitro, Comisión de Arbitraje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Catálogos de incidencias y artículos, expedientes, resoluciones, sanciones, bajas y recursos.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M-10</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Competencias y fases finales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Liguilla, llaves, campeón, ascensos y descensos.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 y publicación</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resultados, tablas, calendario, comunicados, sanciones autorizadas, equipos y buscador.</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 Secretario,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M-12</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y documentos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operativos y exportación a PDF y Excel.</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Todos los internos según permiso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Tesorería y cobros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cobros automáticos y manuales, pago simulado, adeudos y vencimientos.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M-14</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Avisos dentro del sistema y por correo ante eventos del flujo.</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Todos los usuarios internos</w:t>
            </w:r>
          </w:p>
        </w:tc>
      </w:tr>
    </w:tbl>
    <w:p>
      <w:pPr>
        <w:pStyle w:val="BodyText"/>
        <w:jc w:val="center"/>
      </w:pPr>
      <w:r>
        <w:drawing>
          <wp:inline>
            <wp:extent cx="1967286" cy="7200000"/>
            <wp:effectExtent b="0" l="0" r="0" t="0"/>
            <wp:docPr descr="" title="" id="45" name="Picture"/>
            <a:graphic>
              <a:graphicData uri="http://schemas.openxmlformats.org/drawingml/2006/picture">
                <pic:pic>
                  <pic:nvPicPr>
                    <pic:cNvPr descr="/tmp/claude-0/-home-claude/eebdd6ec-6534-54e0-875b-f2e2895ea31f/scratchpad/ers/mmd/d02.png" id="46" name="Picture"/>
                    <pic:cNvPicPr>
                      <a:picLocks noChangeArrowheads="1" noChangeAspect="1"/>
                    </pic:cNvPicPr>
                  </pic:nvPicPr>
                  <pic:blipFill>
                    <a:blip r:embed="rId44"/>
                    <a:stretch>
                      <a:fillRect/>
                    </a:stretch>
                  </pic:blipFill>
                  <pic:spPr bwMode="auto">
                    <a:xfrm>
                      <a:off x="0" y="0"/>
                      <a:ext cx="1967286" cy="7200000"/>
                    </a:xfrm>
                    <a:prstGeom prst="rect">
                      <a:avLst/>
                    </a:prstGeom>
                    <a:noFill/>
                    <a:ln w="9525">
                      <a:noFill/>
                      <a:headEnd/>
                      <a:tailEnd/>
                    </a:ln>
                  </pic:spPr>
                </pic:pic>
              </a:graphicData>
            </a:graphic>
          </wp:inline>
        </w:drawing>
      </w:r>
    </w:p>
    <w:p>
      <w:pPr>
        <w:pStyle w:val="BodyText"/>
        <w:jc w:val="center"/>
      </w:pPr>
      <w:r>
        <w:rPr>
          <w:iCs/>
          <w:i/>
          <w:sz w:val="18"/>
        </w:rPr>
        <w:t xml:space="preserve">Figura 2. Módulos funcionales.</w:t>
      </w:r>
    </w:p>
    <w:p>
      <w:pPr>
        <w:pStyle w:val="BodyText"/>
      </w:pPr>
      <w:r>
        <w:rPr>
          <w:bCs/>
          <w:b/>
        </w:rPr>
        <w:t xml:space="preserve">Cadena de trazabilidad del dominio.</w:t>
      </w:r>
      <w:r>
        <w:t xml:space="preserve"> </w:t>
      </w:r>
      <w:r>
        <w:t xml:space="preserve">Convocatoria → reglas de temporada → afiliación y registros → jornada y designación → partido → cédula → resultado oficial → tabla → clasificación, liguilla, ascenso y descenso; y, en paralelo, cédula → incidencia → expediente → resolución → sanción → elegibilidad y programación; jornada publicada → cobros → pagos. Cada cambio crítico conserva usuario, fecha y motivo.</w:t>
      </w:r>
    </w:p>
    <w:bookmarkEnd w:id="47"/>
    <w:bookmarkStart w:id="48" w:name="X0f650175f96f2f005fdb483fd810bfd0c242d4c"/>
    <w:p>
      <w:pPr>
        <w:pStyle w:val="Heading2"/>
      </w:pPr>
      <w:r>
        <w:t xml:space="preserve">2.3 Características de los usuarios</w:t>
      </w:r>
    </w:p>
    <w:p>
      <w:pPr>
        <w:pStyle w:val="FirstParagraph"/>
      </w:pPr>
      <w:r>
        <w:t xml:space="preserve">Existen 12 tipos de usuario (DEC-01, DEC-02). Cada uno tiene permisos por módulo y acción con un ámbito; el Administrador general puede modificar esos permisos con los límites de RN-053. La matriz inicial está en el Apéndice E. El portal público no tiene privilegios de edición.</w:t>
      </w:r>
    </w:p>
    <w:tbl>
      <w:tblPr>
        <w:tblStyle w:val="Table"/>
        <w:jc w:val="center"/>
        <w:tblLook w:firstRow="1" w:lastRow="0" w:firstColumn="0" w:lastColumn="0" w:noHBand="0" w:noVBand="0" w:val="0020"/>
        <w:tblW w:w="9405" w:type="dxa"/>
        <w:tblLayout w:type="fixed"/>
      </w:tblPr>
      <w:tblGrid>
        <w:gridCol w:w="434"/>
        <w:gridCol w:w="1643"/>
        <w:gridCol w:w="847"/>
        <w:gridCol w:w="1969"/>
        <w:gridCol w:w="2561"/>
        <w:gridCol w:w="1949"/>
      </w:tblGrid>
      <w:tr>
        <w:trPr>
          <w:tblHeader w:val="true"/>
          <w:tblHeader/>
        </w:trPr>
        <w:tc>
          <w:tcPr>
            <w:tcW w:type="dxa" w:w="43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w:t>
            </w:r>
          </w:p>
        </w:tc>
        <w:tc>
          <w:tcPr>
            <w:tcW w:type="dxa" w:w="16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Tipo de usuario</w:t>
            </w:r>
          </w:p>
        </w:tc>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Ámbito</w:t>
            </w:r>
          </w:p>
        </w:tc>
        <w:tc>
          <w:tcPr>
            <w:tcW w:type="dxa" w:w="19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Formación y habilidades</w:t>
            </w:r>
          </w:p>
        </w:tc>
        <w:tc>
          <w:tcPr>
            <w:tcW w:type="dxa" w:w="25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 y responsabilidades</w:t>
            </w:r>
          </w:p>
        </w:tc>
        <w:tc>
          <w:tcPr>
            <w:tcW w:type="dxa" w:w="19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Núcleo comprometido (N)</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Presente ante problemáticas que surjan en campo.</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 usuarios, roles, permisos, catálogos y temporadas. No aprueba decisiones del negocio.</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y permisos, temporada y categorías, catálogos, auditoría.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del Comité Ejecutivo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reglamento y de la convocatoria</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Autoridad de la Liga: aprueba afiliaciones, programación, cambios de permisos incompatibles, cartas de cancha, ventas de equipo, recursos y ascensos.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afiliaciones, programación y permisos incompatibles.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3</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(liga)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administrativo y documental</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y revisa tarjetones, valida documentos e identidad de jugadores, genera oficios y redacta comunicados.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Tarjetones y validación de documentos e identidad.</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(liga)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de cobros y pagos</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 tarifas, genera cobros, registra pagos y da seguimiento a adeudos.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Cobros manuales, registro de pagos y adeudos.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5</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Dominio de las reglas a seguir y de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 expedientes, aplica artículos del reglamento y resuelve sanciones y bajas.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Expedientes, resoluciones y sanciones con vigencia.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6</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cuerpo arbitral</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 árbitros, administra su disponibilidad, los designa y aprueba cédulas cuando vence el plazo del árbitro.</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y designación de árbitros; aprobación por vencimiento.</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7</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Disponer de horarios y dominar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Arma las jornadas, asigna canchas y horarios, ajusta la programación y configura fases finales.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manual con conflictos y estados del partido.</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 su club y de la convocatoria</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Cargos presidente, secretario, tesorero y delegado. Solicita la afiliación, registra jugadores y árbitros, solicita canchas, interpone recursos y paga adeudos de su club.</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registro de jugadores y árbitros, pago de adeudos.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Propio</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reglamento de juego</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sus designaciones y aprueba o devuelve la cédula de sus partidos.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de la cédula.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10</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Noción del entorno de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la cédula del partido (alineación, marcador, goles, tarjetas, incidencias, sustituciones y observaciones) y la envía a validación.</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de la cédula.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11</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su tutor)</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Propio</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básico de teléfono móvil u ordenador.</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su registro, documentos, elegibilidad, partidos, estadísticas y sanciones. El de un menor lo consulta su tutor (DEC-11).</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de información propia.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12</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y manejo básico de ordenador y/o teléfono móvil.</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la información publicada.</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r>
    </w:tbl>
    <w:p>
      <w:pPr>
        <w:pStyle w:val="BodyText"/>
      </w:pPr>
      <w:r>
        <w:rPr>
          <w:bCs/>
          <w:b/>
        </w:rPr>
        <w:t xml:space="preserve">Separación de funciones.</w:t>
      </w:r>
      <w:r>
        <w:t xml:space="preserve"> </w:t>
      </w:r>
      <w:r>
        <w:t xml:space="preserve">Captura de la cédula (Capturista) ≠ validación (Árbitro o Comisión de Arbitraje); programación (Programador) ≠ aprobación (Presidente); resolución disciplinaria (Comisión Disciplinaria) ≠ recurso (Presidente); redacción de comunicados (Secretario) ≠ aprobación (Presidente); cambio de permisos (Administrador) ≠ aprobación de pares incompatibles (Presidente) (DD-010, RN-044, RN-053).</w:t>
      </w:r>
    </w:p>
    <w:bookmarkEnd w:id="48"/>
    <w:bookmarkStart w:id="49" w:name="X11fda6f447d6f2a37cc502977dae18f9e3ad8b3"/>
    <w:p>
      <w:pPr>
        <w:pStyle w:val="Heading2"/>
      </w:pPr>
      <w:r>
        <w:t xml:space="preserve">2.4 Restricciones</w:t>
      </w:r>
    </w:p>
    <w:p>
      <w:pPr>
        <w:pStyle w:val="FirstParagraph"/>
      </w:pPr>
      <w:r>
        <w:t xml:space="preserve">Decisiones de diseño que el equipo debe respetar (R3 §18.1 y R9):</w:t>
      </w:r>
    </w:p>
    <w:tbl>
      <w:tblPr>
        <w:tblStyle w:val="Table"/>
        <w:jc w:val="center"/>
        <w:tblLook w:firstRow="1" w:lastRow="0" w:firstColumn="0" w:lastColumn="0" w:noHBand="0" w:noVBand="0" w:val="0020"/>
        <w:tblW w:w="9405" w:type="dxa"/>
        <w:tblLayout w:type="fixed"/>
      </w:tblPr>
      <w:tblGrid>
        <w:gridCol w:w="1335"/>
        <w:gridCol w:w="7102"/>
        <w:gridCol w:w="967"/>
      </w:tblGrid>
      <w:tr>
        <w:trPr>
          <w:tblHeader w:val="true"/>
          <w:tblHeader/>
        </w:trPr>
        <w:tc>
          <w:tcPr>
            <w:tcW w:type="dxa" w:w="133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71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Restricción</w:t>
            </w:r>
          </w:p>
        </w:tc>
        <w:tc>
          <w:tcPr>
            <w:tcW w:type="dxa" w:w="96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DD-001</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será una aplicación web responsive.</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DD-002</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existir un backend modular dentro de una sola aplicación.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DD-003</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utilizará una base de datos relacional.</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DD-004</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deportivas y disciplinarias se parametrizan por temporada en catálogos y configuración, no en código (motor de reglas por configuración).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DD-005</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trike/>
                <w:sz w:val="17"/>
              </w:rPr>
              <w:t xml:space="preserve">Servicio específico de programación automática</w:t>
            </w:r>
            <w:r>
              <w:rPr>
                <w:rFonts w:ascii="Arial" w:hAnsi="Arial"/>
                <w:sz w:val="17"/>
              </w:rPr>
              <w:t xml:space="preserve">. Descartada: no hay programación automática (DEC-06).</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DD-006</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existir trazabilidad de cambios y decisiones críticas.</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DD-007</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temporadas históricas no deben sobrescribirse.</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DD-008</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publicación requiere control: la programación y los comunicados se aprueban; los resultados oficiales se publican al validarse la cédula.</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DD-009</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permisos se basan en roles, acciones y ámbito, y son configurables.</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DD-010</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captura y la resolución se separan (cédula y disciplina).</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DD-011</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administra una sola liga, pero su diseño no debe impedir varias (DEC-07).</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DD-012</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almacenan contraseñas propias; la identidad se delega en un servicio de autenticación.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t xml:space="preserve">Otras restricciones:</w:t>
      </w:r>
    </w:p>
    <w:p>
      <w:pPr>
        <w:numPr>
          <w:ilvl w:val="0"/>
          <w:numId w:val="1001"/>
        </w:numPr>
        <w:pStyle w:val="Compact"/>
      </w:pPr>
      <w:r>
        <w:t xml:space="preserve">Proyecto académico de</w:t>
      </w:r>
      <w:r>
        <w:t xml:space="preserve"> </w:t>
      </w:r>
      <w:r>
        <w:rPr>
          <w:bCs/>
          <w:b/>
        </w:rPr>
        <w:t xml:space="preserve">8 semanas</w:t>
      </w:r>
      <w:r>
        <w:t xml:space="preserve"> </w:t>
      </w:r>
      <w:r>
        <w:t xml:space="preserve">(4 Sprints de 2 semanas) con un equipo de tres personas (DEC-08).</w:t>
      </w:r>
    </w:p>
    <w:p>
      <w:pPr>
        <w:numPr>
          <w:ilvl w:val="0"/>
          <w:numId w:val="1001"/>
        </w:numPr>
        <w:pStyle w:val="Compact"/>
      </w:pPr>
      <w:r>
        <w:t xml:space="preserve">El stack elegido por el equipo es React con TypeScript, Spring Boot con Java y Spring JDBC, PostgreSQL en Supabase y Supabase Auth (DEC-43). Su justificación está en la arquitectura y en los ADR.</w:t>
      </w:r>
    </w:p>
    <w:p>
      <w:pPr>
        <w:numPr>
          <w:ilvl w:val="0"/>
          <w:numId w:val="1001"/>
        </w:numPr>
        <w:pStyle w:val="Compact"/>
      </w:pPr>
      <w:r>
        <w:t xml:space="preserve">No existe flujo inverso desde el portal público para editar información.</w:t>
      </w:r>
    </w:p>
    <w:p>
      <w:pPr>
        <w:numPr>
          <w:ilvl w:val="0"/>
          <w:numId w:val="1001"/>
        </w:numPr>
        <w:pStyle w:val="Compact"/>
      </w:pPr>
      <w:r>
        <w:t xml:space="preserve">Los datos personales se tratan conforme a la sección 3.4.4.</w:t>
      </w:r>
    </w:p>
    <w:p>
      <w:pPr>
        <w:numPr>
          <w:ilvl w:val="0"/>
          <w:numId w:val="1001"/>
        </w:numPr>
        <w:pStyle w:val="Compact"/>
      </w:pPr>
      <w:r>
        <w:t xml:space="preserve">El sistema refleja los procesos reales de la Liga; lo que no esté respaldado por las fuentes debe validarse antes de convertirse en requisito definitivo.</w:t>
      </w:r>
    </w:p>
    <w:bookmarkEnd w:id="49"/>
    <w:bookmarkStart w:id="50" w:name="X26d80a1bad7ec0339e80ed2e634398510a6938c"/>
    <w:p>
      <w:pPr>
        <w:pStyle w:val="Heading2"/>
      </w:pPr>
      <w:r>
        <w:t xml:space="preserve">2.5 Suposiciones y dependencias</w:t>
      </w:r>
    </w:p>
    <w:p>
      <w:pPr>
        <w:pStyle w:val="FirstParagraph"/>
      </w:pPr>
      <w:r>
        <w:t xml:space="preserve">Este documento no asume reglas de negocio sin respaldo. Cuando una regla no la ha fijado el cliente, se implementa como parámetro configurable con un valor</w:t>
      </w:r>
      <w:r>
        <w:t xml:space="preserve"> </w:t>
      </w:r>
      <w:r>
        <w:rPr>
          <w:bCs/>
          <w:b/>
        </w:rPr>
        <w:t xml:space="preserve">[DEMO]</w:t>
      </w:r>
      <w:r>
        <w:t xml:space="preserve"> </w:t>
      </w:r>
      <w:r>
        <w:t xml:space="preserve">(RN-006, RN-035).</w:t>
      </w:r>
    </w:p>
    <w:p>
      <w:pPr>
        <w:pStyle w:val="BodyText"/>
      </w:pPr>
      <w:r>
        <w:t xml:space="preserve">Dependencias:</w:t>
      </w:r>
    </w:p>
    <w:p>
      <w:pPr>
        <w:numPr>
          <w:ilvl w:val="0"/>
          <w:numId w:val="1002"/>
        </w:numPr>
        <w:pStyle w:val="Compact"/>
      </w:pPr>
      <w:r>
        <w:t xml:space="preserve">Validación de requisitos, procesos, interfaces, modelo de datos y reglas con la Liga y el profesor.</w:t>
      </w:r>
    </w:p>
    <w:p>
      <w:pPr>
        <w:numPr>
          <w:ilvl w:val="0"/>
          <w:numId w:val="1002"/>
        </w:numPr>
        <w:pStyle w:val="Compact"/>
      </w:pPr>
      <w:r>
        <w:t xml:space="preserve">Reglamento y Convocatoria 2025–2026 de la Liga para sustituir los valores [DEMO] (R4, PEN-021).</w:t>
      </w:r>
    </w:p>
    <w:p>
      <w:pPr>
        <w:numPr>
          <w:ilvl w:val="0"/>
          <w:numId w:val="1002"/>
        </w:numPr>
        <w:pStyle w:val="Compact"/>
      </w:pPr>
      <w:r>
        <w:t xml:space="preserve">Servicio de identidad, almacenamiento privado de documentos y servicio de correo, con los proveedores que se justifiquen en los ADR.</w:t>
      </w:r>
    </w:p>
    <w:p>
      <w:pPr>
        <w:numPr>
          <w:ilvl w:val="0"/>
          <w:numId w:val="1002"/>
        </w:numPr>
        <w:pStyle w:val="Compact"/>
      </w:pPr>
      <w:r>
        <w:t xml:space="preserve">Naturaleza jurídica de la Liga, que determina la ley de datos personales aplicable (PEN-039).</w:t>
      </w:r>
    </w:p>
    <w:bookmarkEnd w:id="50"/>
    <w:bookmarkStart w:id="51" w:name="X1cba97316e8fd4454c990de8e872db04d331b92"/>
    <w:p>
      <w:pPr>
        <w:pStyle w:val="Heading2"/>
      </w:pPr>
      <w:r>
        <w:t xml:space="preserve">2.6 Fuera del alcance de esta entrega</w:t>
      </w:r>
    </w:p>
    <w:p>
      <w:pPr>
        <w:pStyle w:val="FirstParagraph"/>
      </w:pPr>
      <w:r>
        <w:t xml:space="preserve">Los siguientes elementos se conservan solo por su identificador, para trazabilidad.</w:t>
      </w:r>
    </w:p>
    <w:tbl>
      <w:tblPr>
        <w:tblStyle w:val="Table"/>
        <w:jc w:val="center"/>
        <w:tblLook w:firstRow="1" w:lastRow="0" w:firstColumn="0" w:lastColumn="0" w:noHBand="0" w:noVBand="0" w:val="0020"/>
        <w:tblW w:w="9405" w:type="dxa"/>
        <w:tblLayout w:type="fixed"/>
      </w:tblPr>
      <w:tblGrid>
        <w:gridCol w:w="3660"/>
        <w:gridCol w:w="2302"/>
        <w:gridCol w:w="3441"/>
      </w:tblGrid>
      <w:tr>
        <w:trPr>
          <w:tblHeader w:val="true"/>
          <w:tblHeader/>
        </w:trPr>
        <w:tc>
          <w:tcPr>
            <w:tcW w:type="dxa" w:w="36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Capacidad</w:t>
            </w:r>
          </w:p>
        </w:tc>
        <w:tc>
          <w:tcPr>
            <w:tcW w:type="dxa" w:w="23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Identificadores</w:t>
            </w:r>
          </w:p>
        </w:tc>
        <w:tc>
          <w:tcPr>
            <w:tcW w:type="dxa" w:w="34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Motivo</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 (generación de enfrentamientos, fechas, horarios y descansos; restricciones blandas; explicación de inviabilidad)</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RF-034, RF-035, RF-037, RF-038, RF-041, RF-042; RN-016, RN-017; VAL-007; DD-005; PEN-027, PEN-028</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 La reprogramación de un partido se hace manualmente con RF-040 y RF-043.</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Pasarela de pago real</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 el pago en línea es simulado.</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Reconocimiento facial de jugadores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Mencionado como idea en R2; el nivel de validación acordado es el 2 (DEC-10).</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no aprobadas: WhatsApp/SMS, mapas, API pública, autenticación con proveedores externos, importación masiva CSV/Excel de históricos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PEN-003, PEN-033 a PEN-035</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justificación de costo y necesidad. La exportación a PDF/Excel sí está incluida (RF-092).</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Operación simultánea de varias ligas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 una sola liga; el diseño no lo impide.</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CI/CD y contenedores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PEN-038</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Opcionales según R3; no forman parte de esta entrega.</w:t>
            </w:r>
          </w:p>
        </w:tc>
      </w:tr>
    </w:tbl>
    <w:p>
      <w:pPr>
        <w:pStyle w:val="BodyText"/>
      </w:pPr>
      <w:r>
        <w:t xml:space="preserve">La reducción de alcance de la Rev. 0.3 queda sin efecto (DEC-01).</w:t>
      </w:r>
    </w:p>
    <w:bookmarkEnd w:id="51"/>
    <w:bookmarkEnd w:id="52"/>
    <w:bookmarkStart w:id="91" w:name="Xe16cbc17efb9516401e41690962f9175e4cde1d"/>
    <w:p>
      <w:pPr>
        <w:pStyle w:val="Heading1"/>
      </w:pPr>
      <w:r>
        <w:t xml:space="preserve">3 Requisitos específicos</w:t>
      </w:r>
    </w:p>
    <w:p>
      <w:pPr>
        <w:pStyle w:val="FirstParagraph"/>
      </w:pPr>
      <w:r>
        <w:t xml:space="preserve">Este capítulo contiene los requisitos con el detalle necesario para diseñar y probar el sistema. Cada requisito tiene identificador, nombre, descripción, actor, fuente, prioridad de producto y entrega (N, B o F).</w:t>
      </w:r>
    </w:p>
    <w:bookmarkStart w:id="60" w:name="X72556432ad9c8c320e6c2071a766a18689510b6"/>
    <w:p>
      <w:pPr>
        <w:pStyle w:val="Heading2"/>
      </w:pPr>
      <w:r>
        <w:t xml:space="preserve">3.1 Requisitos comunes de las interfaces</w:t>
      </w:r>
    </w:p>
    <w:bookmarkStart w:id="54" w:name="Xe367f136d4f0cd433eae29989f5a15f536f19cb"/>
    <w:p>
      <w:pPr>
        <w:pStyle w:val="Heading3"/>
      </w:pPr>
      <w:r>
        <w:t xml:space="preserve">3.1.1 Interfaces de usuario</w:t>
      </w:r>
    </w:p>
    <w:p>
      <w:pPr>
        <w:pStyle w:val="FirstParagraph"/>
      </w:pPr>
      <w:r>
        <w:t xml:space="preserve">El sistema es una aplicación web responsive (RNF-007) con una aplicación interna de acceso autenticado y un portal público. Las pantallas son una</w:t>
      </w:r>
      <w:r>
        <w:t xml:space="preserve"> </w:t>
      </w:r>
      <w:r>
        <w:rPr>
          <w:bCs/>
          <w:b/>
        </w:rPr>
        <w:t xml:space="preserve">[PROPUESTA]</w:t>
      </w:r>
      <w:r>
        <w:t xml:space="preserve"> </w:t>
      </w:r>
      <w:r>
        <w:t xml:space="preserve">derivada de las funcionalidades; su composición y nomenclatura se validan en el prototipo de</w:t>
      </w:r>
      <w:r>
        <w:t xml:space="preserve"> </w:t>
      </w:r>
      <w:hyperlink r:id="rId53">
        <w:r>
          <w:rPr>
            <w:rStyle w:val="Hyperlink"/>
          </w:rPr>
          <w:t xml:space="preserve">Figma</w:t>
        </w:r>
      </w:hyperlink>
      <w:r>
        <w:t xml:space="preserve"> </w:t>
      </w:r>
      <w:r>
        <w:t xml:space="preserve">(PEN-014). Una vista puede cubrir varios identificadores.</w:t>
      </w:r>
    </w:p>
    <w:tbl>
      <w:tblPr>
        <w:tblStyle w:val="Table"/>
        <w:jc w:val="center"/>
        <w:tblLook w:firstRow="1" w:lastRow="0" w:firstColumn="0" w:lastColumn="0" w:noHBand="0" w:noVBand="0" w:val="0020"/>
        <w:tblW w:w="9405" w:type="dxa"/>
        <w:tblLayout w:type="fixed"/>
      </w:tblPr>
      <w:tblGrid>
        <w:gridCol w:w="1028"/>
        <w:gridCol w:w="2206"/>
        <w:gridCol w:w="2375"/>
        <w:gridCol w:w="2888"/>
        <w:gridCol w:w="906"/>
      </w:tblGrid>
      <w:tr>
        <w:trPr>
          <w:tblHeader w:val="true"/>
          <w:tblHeader/>
        </w:trPr>
        <w:tc>
          <w:tcPr>
            <w:tcW w:type="dxa" w:w="10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2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Pantalla</w:t>
            </w:r>
          </w:p>
        </w:tc>
        <w:tc>
          <w:tcPr>
            <w:tcW w:type="dxa" w:w="23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28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Objetivo</w:t>
            </w:r>
          </w:p>
        </w:tc>
        <w:tc>
          <w:tcPr>
            <w:tcW w:type="dxa" w:w="9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Inicio de sesión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 jugador o tutor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Autenticarse</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Panel de inicio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Acceder a las funciones permitidas y a las notificaciones pendientes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de temporadas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configurar, activar y cerrar temporadas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Categorías, jerarquía, grupos y parámetros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la estructura y los parámetros deportivos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y equipos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Administrar clubes, directiva y equipos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y transferencia; estado de elegibilidad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validación y disponibilidad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propietario, comodato, horarios, disponibilidad y bloqueos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de jornada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ajustar, validar conflictos, aprobar y publicar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Detalle de partido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historial, árbitros, cédula y acciones permitidas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de cédula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 marcador, goles, tarjetas, incidencias, sustituciones y observaciones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Tabla de posiciones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Interno y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la clasificación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Estadísticas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Interno y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Estadísticas de equipo y de jugador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de cédula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 con observaciones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disciplinario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aplicar artículo y resolver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Sanciones y castigados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y publicar sanciones vigentes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Recursos de inconformidad</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Interponer y resolver recursos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y validar la propuesta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Liguilla y fases finales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la fase y consultar llaves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resultados, tablas, calendario, comunicados, sanciones y equipos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y exportar reportes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la trazabilidad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(tarjetón)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revisar y aprobar la afiliación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e identidad</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Cargar y validar documentos y fotos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Designación de árbitros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Designar árbitros a los partidos de una jornada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Catálogos disciplinarios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Comisión Disciplinaria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Tipos de incidencia y artículos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Tesorería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cobros, pagos y adeudos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Solicitudes y ofertas de cancha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1 y 2 y su aprobación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Roles y permisos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Editar permisos y aprobar pares incompatibles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y marcar avisos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Comunicados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Redactar, aprobar y publicar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Mi información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documentos, partidos y sanciones propios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 de privacidad y consentimiento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Tutor, jugador,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Mostrar el aviso y registrar el consentimiento</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Venta de equipo y plaza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y autorizar el cambio de propietario y la plaza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t xml:space="preserve">Comportamientos que la interfaz debe reflejar:</w:t>
      </w:r>
    </w:p>
    <w:p>
      <w:pPr>
        <w:numPr>
          <w:ilvl w:val="0"/>
          <w:numId w:val="1003"/>
        </w:numPr>
        <w:pStyle w:val="Compact"/>
      </w:pPr>
      <w:r>
        <w:t xml:space="preserve">Mostrar la causa del bloqueo cuando una persona o un equipo no puede participar.</w:t>
      </w:r>
    </w:p>
    <w:p>
      <w:pPr>
        <w:numPr>
          <w:ilvl w:val="0"/>
          <w:numId w:val="1003"/>
        </w:numPr>
        <w:pStyle w:val="Compact"/>
      </w:pPr>
      <w:r>
        <w:t xml:space="preserve">Mostrar los conflictos de programación y su motivo, y las advertencias de localía.</w:t>
      </w:r>
    </w:p>
    <w:p>
      <w:pPr>
        <w:numPr>
          <w:ilvl w:val="0"/>
          <w:numId w:val="1003"/>
        </w:numPr>
        <w:pStyle w:val="Compact"/>
      </w:pPr>
      <w:r>
        <w:t xml:space="preserve">Mostrar el estado del partido, de la cédula y de cada trámite, con las acciones permitidas en ese estado.</w:t>
      </w:r>
    </w:p>
    <w:p>
      <w:pPr>
        <w:numPr>
          <w:ilvl w:val="0"/>
          <w:numId w:val="1003"/>
        </w:numPr>
        <w:pStyle w:val="Compact"/>
      </w:pPr>
      <w:r>
        <w:t xml:space="preserve">Diferenciar los datos oficiales de los indicadores calculados y rotular los valores [DEMO] como «no oficiales».</w:t>
      </w:r>
    </w:p>
    <w:p>
      <w:pPr>
        <w:numPr>
          <w:ilvl w:val="0"/>
          <w:numId w:val="1003"/>
        </w:numPr>
        <w:pStyle w:val="Compact"/>
      </w:pPr>
      <w:r>
        <w:t xml:space="preserve">Mostrar a cada usuario solo la información de su ámbito.</w:t>
      </w:r>
    </w:p>
    <w:p>
      <w:pPr>
        <w:numPr>
          <w:ilvl w:val="0"/>
          <w:numId w:val="1003"/>
        </w:numPr>
        <w:pStyle w:val="Compact"/>
      </w:pPr>
      <w:r>
        <w:t xml:space="preserve">Evitar que usuarios sin autorización vean o ejecuten acciones.</w:t>
      </w:r>
    </w:p>
    <w:p>
      <w:pPr>
        <w:pStyle w:val="FirstParagraph"/>
      </w:pPr>
      <w:r>
        <w:rPr>
          <w:bCs/>
          <w:b/>
        </w:rPr>
        <w:t xml:space="preserve">Navegación.</w:t>
      </w:r>
      <w:r>
        <w:t xml:space="preserve"> </w:t>
      </w:r>
      <w:r>
        <w:t xml:space="preserve">Aplicación interna: inicio de sesión → panel con los módulos permitidos y las notificaciones. Portal público: Programación, Resultados, Tablas, Calendario, Comunicados, Sanciones, Equipos y buscador por fecha, categoría/grupo y equipo. La navegación final se valida en el prototipo</w:t>
      </w:r>
      <w:r>
        <w:t xml:space="preserve"> </w:t>
      </w:r>
      <w:r>
        <w:rPr>
          <w:bCs/>
          <w:b/>
        </w:rPr>
        <w:t xml:space="preserve">[PENDIENTE]</w:t>
      </w:r>
      <w:r>
        <w:t xml:space="preserve"> </w:t>
      </w:r>
      <w:r>
        <w:t xml:space="preserve">(PEN-014).</w:t>
      </w:r>
    </w:p>
    <w:bookmarkEnd w:id="54"/>
    <w:bookmarkStart w:id="55" w:name="Xdddaa05e59aee1893e27c3b288551e6cf544157"/>
    <w:p>
      <w:pPr>
        <w:pStyle w:val="Heading3"/>
      </w:pPr>
      <w:r>
        <w:t xml:space="preserve">3.1.2 Interfaces de hardware</w:t>
      </w:r>
    </w:p>
    <w:p>
      <w:pPr>
        <w:pStyle w:val="FirstParagraph"/>
      </w:pPr>
      <w:r>
        <w:t xml:space="preserve">No aplica. El acceso es mediante navegador web desde equipos de escritorio y móviles (RNF-007). La captura de fotos de documentos usa la cámara o los archivos del dispositivo a través del navegador.</w:t>
      </w:r>
    </w:p>
    <w:bookmarkEnd w:id="55"/>
    <w:bookmarkStart w:id="58" w:name="Xbc3580d6f80be3e9c55dacd2355d5f3603588e7"/>
    <w:p>
      <w:pPr>
        <w:pStyle w:val="Heading3"/>
      </w:pPr>
      <w:r>
        <w:t xml:space="preserve">3.1.3 Interfaces de software</w:t>
      </w:r>
    </w:p>
    <w:tbl>
      <w:tblPr>
        <w:tblStyle w:val="Table"/>
        <w:jc w:val="center"/>
        <w:tblLook w:firstRow="1" w:lastRow="0" w:firstColumn="0" w:lastColumn="0" w:noHBand="0" w:noVBand="0" w:val="0020"/>
        <w:tblW w:w="9405" w:type="dxa"/>
        <w:tblLayout w:type="fixed"/>
      </w:tblPr>
      <w:tblGrid>
        <w:gridCol w:w="2602"/>
        <w:gridCol w:w="3090"/>
        <w:gridCol w:w="2803"/>
        <w:gridCol w:w="908"/>
      </w:tblGrid>
      <w:tr>
        <w:trPr>
          <w:tblHeader w:val="true"/>
          <w:tblHeader/>
        </w:trPr>
        <w:tc>
          <w:tcPr>
            <w:tcW w:type="dxa" w:w="26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Interfaz</w:t>
            </w:r>
          </w:p>
        </w:tc>
        <w:tc>
          <w:tcPr>
            <w:tcW w:type="dxa" w:w="30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8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Datos</w:t>
            </w:r>
          </w:p>
        </w:tc>
        <w:tc>
          <w:tcPr>
            <w:tcW w:type="dxa" w:w="9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26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Servicio de identidad (Supabase Auth)</w:t>
            </w:r>
          </w:p>
        </w:tc>
        <w:tc>
          <w:tcPr>
            <w:tcW w:type="dxa" w:w="30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Autenticación y emisión de sesiones; el sistema no guarda contraseñas</w:t>
            </w:r>
          </w:p>
        </w:tc>
        <w:tc>
          <w:tcPr>
            <w:tcW w:type="dxa" w:w="28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Credenciales, token de sesión</w:t>
            </w:r>
          </w:p>
        </w:tc>
        <w:tc>
          <w:tcPr>
            <w:tcW w:type="dxa" w:w="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6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Almacenamiento privado de archivos</w:t>
            </w:r>
          </w:p>
        </w:tc>
        <w:tc>
          <w:tcPr>
            <w:tcW w:type="dxa" w:w="30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de identidad y fotos de jugadores; evidencias disciplinarias</w:t>
            </w:r>
          </w:p>
        </w:tc>
        <w:tc>
          <w:tcPr>
            <w:tcW w:type="dxa" w:w="28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Archivos, identificadores, URL firmadas temporales</w:t>
            </w:r>
          </w:p>
        </w:tc>
        <w:tc>
          <w:tcPr>
            <w:tcW w:type="dxa" w:w="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6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Servicio de correo transaccional</w:t>
            </w:r>
          </w:p>
        </w:tc>
        <w:tc>
          <w:tcPr>
            <w:tcW w:type="dxa" w:w="30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 por correo (RF-143)</w:t>
            </w:r>
          </w:p>
        </w:tc>
        <w:tc>
          <w:tcPr>
            <w:tcW w:type="dxa" w:w="28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Destinatario, asunto, contenido</w:t>
            </w:r>
          </w:p>
        </w:tc>
        <w:tc>
          <w:tcPr>
            <w:tcW w:type="dxa" w:w="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6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Exportación PDF/Excel</w:t>
            </w:r>
          </w:p>
        </w:tc>
        <w:tc>
          <w:tcPr>
            <w:tcW w:type="dxa" w:w="30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(RF-092)</w:t>
            </w:r>
          </w:p>
        </w:tc>
        <w:tc>
          <w:tcPr>
            <w:tcW w:type="dxa" w:w="28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tabulares</w:t>
            </w:r>
          </w:p>
        </w:tc>
        <w:tc>
          <w:tcPr>
            <w:tcW w:type="dxa" w:w="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t xml:space="preserve">Cada integración se justifica por costo, seguridad y necesidad en una decisión de arquitectura (PEN-033, PEN-034). El diccionario de datos y el script SQL vigentes se enlazan desde la documentación técnica del repositorio; su copia previa está en OneDrive (</w:t>
      </w:r>
      <w:hyperlink r:id="rId56">
        <w:r>
          <w:rPr>
            <w:rStyle w:val="Hyperlink"/>
          </w:rPr>
          <w:t xml:space="preserve">diccionario</w:t>
        </w:r>
      </w:hyperlink>
      <w:r>
        <w:t xml:space="preserve">,</w:t>
      </w:r>
      <w:r>
        <w:t xml:space="preserve"> </w:t>
      </w:r>
      <w:hyperlink r:id="rId57">
        <w:r>
          <w:rPr>
            <w:rStyle w:val="Hyperlink"/>
          </w:rPr>
          <w:t xml:space="preserve">script SQL</w:t>
        </w:r>
      </w:hyperlink>
      <w:r>
        <w:t xml:space="preserve">) y debe actualizarse a esta revisión.</w:t>
      </w:r>
    </w:p>
    <w:bookmarkEnd w:id="58"/>
    <w:bookmarkStart w:id="59" w:name="X6e16f1fb1db645ac34aebecbe2c32d822e690cf"/>
    <w:p>
      <w:pPr>
        <w:pStyle w:val="Heading3"/>
      </w:pPr>
      <w:r>
        <w:t xml:space="preserve">3.1.4 Interfaces de comunicación</w:t>
      </w:r>
    </w:p>
    <w:p>
      <w:pPr>
        <w:pStyle w:val="FirstParagraph"/>
      </w:pPr>
      <w:r>
        <w:t xml:space="preserve">El acceso del navegador al sistema es por HTTPS con datos en JSON. La comunicación del backend con la base de datos usa TLS. El contrato detallado de la API está en las convenciones de API del repositorio.</w:t>
      </w:r>
    </w:p>
    <w:bookmarkEnd w:id="59"/>
    <w:bookmarkEnd w:id="60"/>
    <w:bookmarkStart w:id="77" w:name="X965d05d004114bc2ee0e90669218ec0da0e554f"/>
    <w:p>
      <w:pPr>
        <w:pStyle w:val="Heading2"/>
      </w:pPr>
      <w:r>
        <w:t xml:space="preserve">3.2 Requisitos funcionales</w:t>
      </w:r>
    </w:p>
    <w:p>
      <w:pPr>
        <w:pStyle w:val="FirstParagraph"/>
      </w:pPr>
      <w:r>
        <w:t xml:space="preserve">Los requisitos funcionales (RF) describen comportamientos verificables; no definen la implementación. Conservan el identificador de la fuente (RF-001 a RF-093) y los nuevos continúan desde RF-094. La columna</w:t>
      </w:r>
      <w:r>
        <w:t xml:space="preserve"> </w:t>
      </w:r>
      <w:r>
        <w:rPr>
          <w:bCs/>
          <w:b/>
        </w:rPr>
        <w:t xml:space="preserve">Fuente</w:t>
      </w:r>
      <w:r>
        <w:t xml:space="preserve"> </w:t>
      </w:r>
      <w:r>
        <w:t xml:space="preserve">cita R3 (formalización de R1), R2 (levantamiento) o la decisión DEC-xx (R9).</w:t>
      </w:r>
    </w:p>
    <w:bookmarkStart w:id="61" w:name="X3d7ca63f415e116c50cdeb14f23212dcb0b5695"/>
    <w:p>
      <w:pPr>
        <w:pStyle w:val="Heading3"/>
      </w:pPr>
      <w:r>
        <w:t xml:space="preserve">3.2.1 M-01 Administración y seguridad</w:t>
      </w:r>
    </w:p>
    <w:tbl>
      <w:tblPr>
        <w:tblStyle w:val="Table"/>
        <w:jc w:val="center"/>
        <w:tblLook w:firstRow="1" w:lastRow="0" w:firstColumn="0" w:lastColumn="0" w:noHBand="0" w:noVBand="0" w:val="0020"/>
        <w:tblW w:w="9405" w:type="dxa"/>
        <w:tblLayout w:type="fixed"/>
      </w:tblPr>
      <w:tblGrid>
        <w:gridCol w:w="840"/>
        <w:gridCol w:w="1726"/>
        <w:gridCol w:w="2159"/>
        <w:gridCol w:w="1587"/>
        <w:gridCol w:w="1154"/>
        <w:gridCol w:w="1069"/>
        <w:gridCol w:w="868"/>
      </w:tblGrid>
      <w:tr>
        <w:trPr>
          <w:tblHeader w:val="true"/>
          <w:tblHeader/>
        </w:trPr>
        <w:tc>
          <w:tcPr>
            <w:tcW w:type="dxa" w:w="8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1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15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RF-094</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usuarios y roles con ámbito</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crear cuentas internas, activarlas o desactivarlas y asignarles uno o más roles con su ámbito (liga, club o propio).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DEC-03</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RF-095</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Modificar permisos de los roles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modificar los permisos por módulo y acción de cada rol, excepto los del rol del propio usuario, y auditar cada cambio con motivo.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RF-096</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permisos incompatibles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Cuando un cambio asigne a un mismo rol un par de permisos declarados incompatibles, el sistema debe dejarlo pendiente hasta que lo apruebe el Presidente del Comité Ejecutivo.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RF-097</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consentimiento y aviso de privacidad</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mostrar el aviso de privacidad y registrar el consentimiento expreso del titular o, si es menor, de su tutor, con fecha, versión del aviso y finalidades.</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tutor, jugador</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 DEC-40</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RF-098</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Atender solicitudes ARCO</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solicitudes de acceso, rectificación, cancelación y oposición y su seguimiento.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RF-093</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Auditar acciones críticas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acciones críticas con usuario, fecha, módulo, acción, registro afectado y motivo.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RF-134</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auditoría</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consultar y filtrar la auditoría por usuario, operación, módulo y fecha.</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§10 (UI-022), DEC-05</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1"/>
    <w:bookmarkStart w:id="62" w:name="Xfa093e9b452a8a7dcb6246df2e3d16dd32e65f1"/>
    <w:p>
      <w:pPr>
        <w:pStyle w:val="Heading3"/>
      </w:pPr>
      <w:r>
        <w:t xml:space="preserve">3.2.2 M-02 Temporadas y normativa</w:t>
      </w:r>
    </w:p>
    <w:tbl>
      <w:tblPr>
        <w:tblStyle w:val="Table"/>
        <w:jc w:val="center"/>
        <w:tblLook w:firstRow="1" w:lastRow="0" w:firstColumn="0" w:lastColumn="0" w:noHBand="0" w:noVBand="0" w:val="0020"/>
        <w:tblW w:w="9405" w:type="dxa"/>
        <w:tblLayout w:type="fixed"/>
      </w:tblPr>
      <w:tblGrid>
        <w:gridCol w:w="849"/>
        <w:gridCol w:w="1677"/>
        <w:gridCol w:w="2363"/>
        <w:gridCol w:w="1600"/>
        <w:gridCol w:w="968"/>
        <w:gridCol w:w="1075"/>
        <w:gridCol w:w="870"/>
      </w:tblGrid>
      <w:tr>
        <w:trPr>
          <w:tblHeader w:val="true"/>
          <w:tblHeader/>
        </w:trPr>
        <w:tc>
          <w:tcPr>
            <w:tcW w:type="dxa" w:w="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6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temporadas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y administrar temporadas como periodos deportivos, con una sola temporada activa a la vez.</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 RN-058</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RF-002</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Asociar convocatoria a temporada</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asociar a cada temporada la referencia de su convocatoria.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RF-003</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Conservar histórico de temporadas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la información de temporadas cerradas sin sobrescribirla.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RF-004</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categorías por temporada</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definir qué categorías del catálogo participan en cada temporada.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RF-005</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grupos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uno o varios grupos por categoría de una temporada.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RF-099</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orden y jerarquía de categorías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 catálogo de categorías con orden y categoría superior inmediata configurables, sin cambios de código ni de esquema.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DEC-16</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RF-006</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reglas versionables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asociar a cada temporada la versión de las reglas usadas, de modo que los cálculos se puedan rastrear a la configuración que los produjo.</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RF-100</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parámetros deportivos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por temporada: puntos por resultado, orden de criterios de desempate, duración de juego y bloque de cancha por categoría, marcador por default, plazo de validación de la cédula y parámetros de liguilla y de ascenso y descenso.</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DEC-20, DEC-23 a DEC-29</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RF-007</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reglas interpretadas como pendientes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no debe convertir una interpretación administrativa en regla permanente; debe registrarla como pendiente de autorización del Presidente.</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2"/>
    <w:bookmarkStart w:id="63" w:name="Xed5a9a304590e7518bd28dc5d8c2ea688fb611c"/>
    <w:p>
      <w:pPr>
        <w:pStyle w:val="Heading3"/>
      </w:pPr>
      <w:r>
        <w:t xml:space="preserve">3.2.3 M-03 Organización deportiva</w:t>
      </w:r>
    </w:p>
    <w:tbl>
      <w:tblPr>
        <w:tblStyle w:val="Table"/>
        <w:jc w:val="center"/>
        <w:tblLook w:firstRow="1" w:lastRow="0" w:firstColumn="0" w:lastColumn="0" w:noHBand="0" w:noVBand="0" w:val="0020"/>
        <w:tblW w:w="9405" w:type="dxa"/>
        <w:tblLayout w:type="fixed"/>
      </w:tblPr>
      <w:tblGrid>
        <w:gridCol w:w="871"/>
        <w:gridCol w:w="1666"/>
        <w:gridCol w:w="2523"/>
        <w:gridCol w:w="1470"/>
        <w:gridCol w:w="904"/>
        <w:gridCol w:w="1093"/>
        <w:gridCol w:w="875"/>
      </w:tblGrid>
      <w:tr>
        <w:trPr>
          <w:tblHeader w:val="true"/>
          <w:tblHeader/>
        </w:trPr>
        <w:tc>
          <w:tcPr>
            <w:tcW w:type="dxa" w:w="8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6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5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4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clubes</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y administrar los clubes afiliados.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RF-101</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afiliación por temporada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tarjetón del club en cada temporada (nombre, presidente, secretario y tesorero del club, colores del uniforme, categorías y firmas) con folio, y someterlo a la aprobación del Presidente.</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DEC-09</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RF-102</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directiva del club</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cargos de la directiva del club (presidente, secretario, tesorero y delegado) y sus cambios con fecha y autorización.</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RF-009</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equipos</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equipos de un club en una categoría y grupo de la temporada.</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RF-103</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venta de un equipo</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cambio de propietario de un equipo con la autorización del Presidente; surte efecto al cierre de la temporada y conserva el historial de propietarios.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DEC-14</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RF-104</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conservación de plaza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como operación independiente de la venta, la conservación de la categoría y de la plaza deportiva, con autorización del Presidente.</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DEC-14</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RF-105</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cambio de nombre de un club</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cambio de nombre como un club nuevo sin historial y cerrar el anterior.</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DEC-15</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RF-010</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Reutilizar identidad de persona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una sola identidad por persona, identificada por su CURP, reutilizable en diferentes roles.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 DEC-10</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RF-011</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roles de la identidad</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que una persona sea jugador, árbitro, directivo o tutor sin duplicar su identidad.</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RF-012</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 pertenencia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historial de clubes y equipos de cada jugador por temporada.</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 DEC-13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RF-106</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Vincular menores con su tutor</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vincular a cada menor con su tutor, cuya cuenta gestiona la información del menor; el menor no tiene credenciales propias.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tutor</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3"/>
    <w:bookmarkStart w:id="64" w:name="Xf83ed10b0ffbc23dd21717ba17a2792cd8ea478"/>
    <w:p>
      <w:pPr>
        <w:pStyle w:val="Heading3"/>
      </w:pPr>
      <w:r>
        <w:t xml:space="preserve">3.2.4 M-04 Registros y elegibilidad</w:t>
      </w:r>
    </w:p>
    <w:tbl>
      <w:tblPr>
        <w:tblStyle w:val="Table"/>
        <w:jc w:val="center"/>
        <w:tblLook w:firstRow="1" w:lastRow="0" w:firstColumn="0" w:lastColumn="0" w:noHBand="0" w:noVBand="0" w:val="0020"/>
        <w:tblW w:w="9405" w:type="dxa"/>
        <w:tblLayout w:type="fixed"/>
      </w:tblPr>
      <w:tblGrid>
        <w:gridCol w:w="848"/>
        <w:gridCol w:w="1674"/>
        <w:gridCol w:w="2294"/>
        <w:gridCol w:w="1572"/>
        <w:gridCol w:w="1069"/>
        <w:gridCol w:w="1075"/>
        <w:gridCol w:w="870"/>
      </w:tblGrid>
      <w:tr>
        <w:trPr>
          <w:tblHeader w:val="true"/>
          <w:tblHeader/>
        </w:trPr>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0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RF-013</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Dar de alta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alta de un jugador en un equipo de su club con los datos y documentos requeridos por su categoría; el registro queda pendiente de validación.</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RF-107</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unicidad por CURP</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impedir que una misma CURP tenga más de un registro activo en la misma temporada, en cualquier club o categoría, e informar dónde está registrada.</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DEC-10, DEC-12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RF-108</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Resguardar documentos y fotos</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almacenar en forma privada los documentos y fotos requeridos por tipo de categoría (infantil, libre, veteranos) y el INE del tutor cuando el jugador sea menor.</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DEC-10</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RF-109</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documentos e identidad</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revisar los documentos y aprobar o rechazar el registro con observaciones.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RF-014</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Dar de baja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baja de un jugador con fecha y motivo, conservando su historial.</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RF-015</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Renovar registro de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renovar el registro de un jugador en una temporada nueva reutilizando sus datos y documentos vigentes.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Transferir jugador entre temporadas</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a un jugador en otro club en una temporada nueva, si la configuración de la Liga lo permite. Dentro de una temporada no hay cambio de equipo.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R2, DEC-13</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RF-111</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restricción de cambio de club</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por temporada si se aceptan cambios de club entre temporadas y con qué condiciones.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DEC-13</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RF-017</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estado de elegibilidad</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manejar los estados del registro (pendiente de validación, activo, suspendido, baja, rechazado) y la causa de cada cambio.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RF-018</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 cambios de registro</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cada cambio de estado del registro con usuario, fecha y motivo.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elegibilidad antes de participar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comprobar, al capturar la alineación, que cada jugador tenga registro activo, esté validado y no tenga sanción vigente.</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RF-110</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alineación en categoría superior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aceptar a un jugador en la alineación de otro equipo de su club solo si ese equipo está en la categoría inmediata superior; se permite el mismo día.</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RF-020</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participación por sanción vigente</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Cuando una sanción vigente impida participar, el sistema debe impedir la alineación y explicar el motivo.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RN-057</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RF-144</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información propia</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jugador, o al tutor del menor, consultar su registro, documentos, estado de elegibilidad, partidos, estadísticas y sanciones.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tutor</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Apéndice E</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4"/>
    <w:bookmarkStart w:id="65" w:name="X3300a61811437719e00f6a64ed7b2e3e96ffcf7"/>
    <w:p>
      <w:pPr>
        <w:pStyle w:val="Heading3"/>
      </w:pPr>
      <w:r>
        <w:t xml:space="preserve">3.2.5 M-05 Árbitros y designaciones</w:t>
      </w:r>
    </w:p>
    <w:tbl>
      <w:tblPr>
        <w:tblStyle w:val="Table"/>
        <w:jc w:val="center"/>
        <w:tblLook w:firstRow="1" w:lastRow="0" w:firstColumn="0" w:lastColumn="0" w:noHBand="0" w:noVBand="0" w:val="0020"/>
        <w:tblW w:w="9405" w:type="dxa"/>
        <w:tblLayout w:type="fixed"/>
      </w:tblPr>
      <w:tblGrid>
        <w:gridCol w:w="877"/>
        <w:gridCol w:w="1876"/>
        <w:gridCol w:w="2374"/>
        <w:gridCol w:w="1397"/>
        <w:gridCol w:w="904"/>
        <w:gridCol w:w="1097"/>
        <w:gridCol w:w="876"/>
      </w:tblGrid>
      <w:tr>
        <w:trPr>
          <w:tblHeader w:val="true"/>
          <w:tblHeader/>
        </w:trPr>
        <w:tc>
          <w:tcPr>
            <w:tcW w:type="dxa" w:w="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RF-112</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árbitros del club</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 cada club registrar a los árbitros que presenta.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RF-113</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aprobar o rechazar a los árbitros presentados.</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catálogo de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el catálogo de árbitros validados con el club que los presenta y su estado.</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RF-114</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Verificar la cuota de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indicar si un club presenta al menos un árbitro por cada cuatro equipos (redondeo hacia arriba).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RF-022</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disponibilidad arbitral</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disponibilidad de los árbitros por fecha y horario.</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árbitro</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Designar árbitros a partido</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asignar árbitros a los partidos de una jornada.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DEC-18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RF-115</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Impedir designación al propio club</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rechazar la designación de un árbitro a un partido en que juegue un equipo de su club.</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RF-024</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historial de designaciones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y permitir consultar el historial de designaciones.</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árbitro</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5"/>
    <w:bookmarkStart w:id="66" w:name="Xcd6f717956aa1f3b0a19920db6d17c3e041f8f1"/>
    <w:p>
      <w:pPr>
        <w:pStyle w:val="Heading3"/>
      </w:pPr>
      <w:r>
        <w:t xml:space="preserve">3.2.6 M-06 Canchas y recursos</w:t>
      </w:r>
    </w:p>
    <w:tbl>
      <w:tblPr>
        <w:tblStyle w:val="Table"/>
        <w:jc w:val="center"/>
        <w:tblLook w:firstRow="1" w:lastRow="0" w:firstColumn="0" w:lastColumn="0" w:noHBand="0" w:noVBand="0" w:val="0020"/>
        <w:tblW w:w="9405" w:type="dxa"/>
        <w:tblLayout w:type="fixed"/>
      </w:tblPr>
      <w:tblGrid>
        <w:gridCol w:w="848"/>
        <w:gridCol w:w="1746"/>
        <w:gridCol w:w="2383"/>
        <w:gridCol w:w="1608"/>
        <w:gridCol w:w="870"/>
        <w:gridCol w:w="1077"/>
        <w:gridCol w:w="870"/>
      </w:tblGrid>
      <w:tr>
        <w:trPr>
          <w:tblHeader w:val="true"/>
          <w:tblHeader/>
        </w:trPr>
        <w:tc>
          <w:tcPr>
            <w:tcW w:type="dxa" w:w="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6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catálogo de canchas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canchas con sus características, ubicación (unidad deportiva o externa) y propietario (liga, club o externo).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 R2</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RF-028</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sedes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agrupar canchas por sede o unidad deportiva.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RF-029</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disponibilidad temporal</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administrar la disponibilidad de cada cancha por fecha y hora.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RF-030</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cancha</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bloquear una cancha por intervalo con motivo.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RF-031</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mantenimiento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periodos de mantenimiento como bloqueos tipificados.</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RF-032</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Considerar partidos consecutivos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validar que los partidos consecutivos en una cancha respeten el bloque de cancha de cada categoría.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 DEC-25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RF-119</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horarios de cancha de club</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horarios por categoría de la cancha que ofrece un club y la cancha asignada en comodato por temporada.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DEC-33</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oferta de cancha</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oferta de una cancha conforme al Formato 2 con los estados Pendiente de negociación, Aceptada y Rechazada; si el oferente es externo, la captura el Secretario.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 DEC-35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RF-117</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préstamo y comodato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solicitud de préstamo o comodato conforme al Formato 1, dirigida a la Liga o a un dueño externo, con los estados Pendiente, Aprobada y No aprobada.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R8, DEC-35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RF-118</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cartas con número de oficio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carta de los Formatos 1 y 2 con número de oficio y datos del trámite.</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R8</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6"/>
    <w:bookmarkStart w:id="67" w:name="X1cf2351cc15098e403d1c1a1378655ad79fa5a5"/>
    <w:p>
      <w:pPr>
        <w:pStyle w:val="Heading3"/>
      </w:pPr>
      <w:r>
        <w:t xml:space="preserve">3.2.7 M-07 Programación manual</w:t>
      </w:r>
    </w:p>
    <w:tbl>
      <w:tblPr>
        <w:tblStyle w:val="Table"/>
        <w:jc w:val="center"/>
        <w:tblLook w:firstRow="1" w:lastRow="0" w:firstColumn="0" w:lastColumn="0" w:noHBand="0" w:noVBand="0" w:val="0020"/>
        <w:tblW w:w="9405" w:type="dxa"/>
        <w:tblLayout w:type="fixed"/>
      </w:tblPr>
      <w:tblGrid>
        <w:gridCol w:w="986"/>
        <w:gridCol w:w="1553"/>
        <w:gridCol w:w="2583"/>
        <w:gridCol w:w="1349"/>
        <w:gridCol w:w="987"/>
        <w:gridCol w:w="1073"/>
        <w:gridCol w:w="871"/>
      </w:tblGrid>
      <w:tr>
        <w:trPr>
          <w:tblHeader w:val="true"/>
          <w:tblHeader/>
        </w:trPr>
        <w:tc>
          <w:tcPr>
            <w:tcW w:type="dxa" w:w="9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5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58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manualmente jornadas y partidos por categoría, grupo, equipos, cancha, fecha y hora.</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 DEC-06</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RF-036</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Asignar canchas</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asignar manualmente una cancha disponible a un partido y rechazar la asignación si genera un conflicto duro.</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RF-039</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Detectar conflictos de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detectar equipo duplicado, cancha ocupada, cancha no disponible, equipo con baja o sanción que impida jugar, y árbitro con conflicto, usando el bloque de cancha de cada categoría.</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 RN-050, RN-057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RF-120</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Advertir reglas de localía</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advertir cuando un partido no respete las reglas de localía o use una cancha externa en las últimas diez fechas; el programador puede aceptar con motivo.</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DEC-34</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RF-040</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Permitir ajuste manual autorizado</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modificar la programación, incluida la reprogramación de partidos, con motivo y traza (RN-018).</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RF-121</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la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someter cada jornada a la aprobación del Presidente antes de publicarla; el Presidente puede aprobarla o devolverla con observaciones.</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 DEC-21</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RF-034, RF-035, RF-037, RF-038, RF-041, RF-042</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Generación de enfrentamientos, fechas, horarios y descansos; registro de causa de generación; explicación de inviabilidad.</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bl>
    <w:bookmarkEnd w:id="67"/>
    <w:bookmarkStart w:id="68" w:name="X1f3339fd00c6202db4617e5d1306bd75ddcd81e"/>
    <w:p>
      <w:pPr>
        <w:pStyle w:val="Heading3"/>
      </w:pPr>
      <w:r>
        <w:t xml:space="preserve">3.2.8 M-08 Partidos, cédula y resultados</w:t>
      </w:r>
    </w:p>
    <w:tbl>
      <w:tblPr>
        <w:tblStyle w:val="Table"/>
        <w:jc w:val="center"/>
        <w:tblLook w:firstRow="1" w:lastRow="0" w:firstColumn="0" w:lastColumn="0" w:noHBand="0" w:noVBand="0" w:val="0020"/>
        <w:tblW w:w="9405" w:type="dxa"/>
        <w:tblLayout w:type="fixed"/>
      </w:tblPr>
      <w:tblGrid>
        <w:gridCol w:w="848"/>
        <w:gridCol w:w="1849"/>
        <w:gridCol w:w="2341"/>
        <w:gridCol w:w="1451"/>
        <w:gridCol w:w="970"/>
        <w:gridCol w:w="1073"/>
        <w:gridCol w:w="870"/>
      </w:tblGrid>
      <w:tr>
        <w:trPr>
          <w:tblHeader w:val="true"/>
          <w:tblHeader/>
        </w:trPr>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4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4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estado del partido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manejar los estados Programado, En curso, Finalizado, Suspendido, Reprogramado y Cancelado con las transiciones de 4.3.1.</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 DEC-23</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RF-127</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Cambiar automáticamente el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pasar el partido a En curso al llegar su fecha y hora, y a Finalizado al aprobarse su cédula.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del partido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no debe eliminar partidos con historial.</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Auditar transiciones de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transición debe conservar usuario, fecha y motivo.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Restringir acciones por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del partido debe determinar las acciones permitidas.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cédula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capturar la cédula del partido: alineación de ambos equipos, marcador, goles, tarjetas, sustituciones y observaciones.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R2, 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incidencias</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incidencias de la cédula por tipo y relacionarlas con las personas o equipos involucrados.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RF-122</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Enviar la cédula a validación</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completar los campos obligatorios, el sistema debe pasar la cédula a Pendiente de validación y notificar al árbitro designado.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árbitro designado aprobar la cédula o devolverla con observaciones al capturista.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la cédula al vencer el plazo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 el árbitro no responde en el plazo configurado (48 h [DEMO]), el sistema debe habilitar la aprobación de la cédula a la Comisión de Arbitraje y notificarla.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DEC-20</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RF-047</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marcador</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marcador como parte de la cédula.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RF-048</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resultado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resultado queda oficial cuando se aprueba la cédula; ninguna otra vía lo oficializa, salvo una resolución disciplinaria.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DEC-21</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Oficializar y publicar el resultado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aprobarse la cédula, el sistema debe registrar el resultado oficial, recalcular la tabla, publicar el resultado en el portal y abrir los expedientes que correspondan.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 DEC-22</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no presentación</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en la cédula la no presentación de un equipo y asignar el marcador por default configurado (3-0 [DEMO]).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DEC-24</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RF-049</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tabla automáticamente</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PJ, PG, PE, PP, GF, GC, DG y puntos con los parámetros de la temporada (3, 1 y 0).</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DEC-26</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RF-050</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Parametrizar desempates</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los criterios de desempate en el orden configurado para la temporada; el nombre del equipo nunca decide una posición.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DEC-27</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RF-051</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histórico de tabla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estado de la tabla por jornada.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RF-052</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Recalcular tras corrección autorizada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recalcular la tabla cuando un resultado cambie por resolución disciplinaria, conservando la versión anterior.</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DEC-24</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estadísticas de equipo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producir PJ, PG, PE, PP, GF, GC, DG, puntos y posición.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estadísticas de jugador</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participaciones, goles, tarjetas y sanciones de cada jugador a partir de las cédulas.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DEC-05</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dato oficial de indicador calculado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distinguir la información oficial de las métricas derivadas.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solo información validada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solo debe mostrar resultados de cédulas aprobadas y programación aprobada.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8"/>
    <w:bookmarkStart w:id="69" w:name="X36828a8544d0fd72a1232e54826b93d3c0d2d98"/>
    <w:p>
      <w:pPr>
        <w:pStyle w:val="Heading3"/>
      </w:pPr>
      <w:r>
        <w:t xml:space="preserve">3.2.9 M-09 Disciplina</w:t>
      </w:r>
    </w:p>
    <w:tbl>
      <w:tblPr>
        <w:tblStyle w:val="Table"/>
        <w:jc w:val="center"/>
        <w:tblLook w:firstRow="1" w:lastRow="0" w:firstColumn="0" w:lastColumn="0" w:noHBand="0" w:noVBand="0" w:val="0020"/>
        <w:tblW w:w="9405" w:type="dxa"/>
        <w:tblLayout w:type="fixed"/>
      </w:tblPr>
      <w:tblGrid>
        <w:gridCol w:w="855"/>
        <w:gridCol w:w="1699"/>
        <w:gridCol w:w="2332"/>
        <w:gridCol w:w="1590"/>
        <w:gridCol w:w="974"/>
        <w:gridCol w:w="1082"/>
        <w:gridCol w:w="871"/>
      </w:tblGrid>
      <w:tr>
        <w:trPr>
          <w:tblHeader w:val="true"/>
          <w:tblHeader/>
        </w:trPr>
        <w:tc>
          <w:tcPr>
            <w:tcW w:type="dxa" w:w="85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9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3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tipos de incidencia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 catálogo de tipos de incidencia que indique cuáles abren expediente.</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RF-129</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artículos y sanciones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el catálogo de artículos del reglamento con tipo de sanción, sujeto (jugador, equipo o club), efecto (hacia adelante o retroactivo) y marca de aplicación automática.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expediente disciplinario</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abrir automáticamente un expediente por cada incidencia cuyo tipo lo requiera al aprobarse la cédula.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 DEC-22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Relacionar incidentes con personas y equipos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incidencia debe quedar relacionada con las personas y equipos involucrados.</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RF-059</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evidencias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adjuntar evidencias al expediente en el almacenamiento privado.</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RF-060</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artículos e infracciones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consultar el catálogo de artículos al resolver.</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RF-061</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propuesta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proponer la sanción según el artículo seleccionado, sujeta a validación humana.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RF-062</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y resolver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 la Comisión Disciplinaria resolver el expediente y establecer la sanción.</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RF-063</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vigencia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y conservar la vigencia de la sanción (por partidos o por fechas).</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RF-064</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bloqueo derivado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sanción vigente debe afectar la elegibilidad del jugador o la programación del equipo según RN-057.</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RF-065</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resolución inmutable</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historial de resoluciones debe conservarse sin alteración destructiva.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RF-066</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lista de castigados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lista de personas y equipos con sanción vigente.</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RF-067</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recursos de inconformidad</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club interponer un recurso sobre una resolución y al Presidente resolverlo como segunda instancia.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 DEC-31</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sanciones autorizadas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publicar las sanciones vigentes autorizadas para difusión.</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RF-130</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baja automática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la baja del equipo cuando se cumpla un artículo marcado como automático (5 partidos perdidos por default, falta de pago) y auditarla.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DEC-31</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RF-131</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sanción retroactiva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declarar perdidos por el equipo los partidos en que participó una persona sancionada con efecto retroactivo y recalcular la tabla.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DEC-24, DEC-32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RF-132</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partidos restantes de un equipo dado de baja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otorgar por default al rival los partidos pendientes de un equipo dado de baja, según la configuración del artículo.</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RF-133</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 por multa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de multa debe generar el cobro correspondiente en tesorería.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9"/>
    <w:bookmarkStart w:id="70" w:name="Xcc1ccb86bc957a08f421265453b283f8bcc20a5"/>
    <w:p>
      <w:pPr>
        <w:pStyle w:val="Heading3"/>
      </w:pPr>
      <w:r>
        <w:t xml:space="preserve">3.2.10 M-10 Competencias y fases finales</w:t>
      </w:r>
    </w:p>
    <w:tbl>
      <w:tblPr>
        <w:tblStyle w:val="Table"/>
        <w:jc w:val="center"/>
        <w:tblLook w:firstRow="1" w:lastRow="0" w:firstColumn="0" w:lastColumn="0" w:noHBand="0" w:noVBand="0" w:val="0020"/>
        <w:tblW w:w="9405" w:type="dxa"/>
        <w:tblLayout w:type="fixed"/>
      </w:tblPr>
      <w:tblGrid>
        <w:gridCol w:w="873"/>
        <w:gridCol w:w="1783"/>
        <w:gridCol w:w="2259"/>
        <w:gridCol w:w="1584"/>
        <w:gridCol w:w="930"/>
        <w:gridCol w:w="1098"/>
        <w:gridCol w:w="875"/>
      </w:tblGrid>
      <w:tr>
        <w:trPr>
          <w:tblHeader w:val="true"/>
          <w:tblHeader/>
        </w:trPr>
        <w:tc>
          <w:tcPr>
            <w:tcW w:type="dxa" w:w="8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3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reglas de ascenso y descenso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configurar por temporada cuántos equipos suben y bajan entre categorías adyacentes (2 y 2 [DEMO]).</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DEC-29</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RF-070</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Determinar posiciones finales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determinar las posiciones finales con los resultados y reglas de la temporada.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RF-071</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Evaluar elegibilidad para ascenso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excluir a equipos con adeudos, con sanción de baja o cuyo club ya tenga equipo en la categoría superior (RN-052).</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DEC-29</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RF-072</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restricciones documentadas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las restricciones de la convocatoria configuradas para la temporada.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RF-073</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propuesta de ascenso y descenso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propuesta de ascensos y descensos.</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RF-074</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validación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propuesta de ascenso y descenso requiere la validación del Presidente.</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RN-035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RF-075</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Guardar versión de reglas utilizada</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versión de la configuración que produjo la propuesta.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RF-076</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fases finales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definir la fase final: número de clasificados (8 [DEMO]), formato (partido único o ida y vuelta) y criterio de empate.</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RF-077</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Clasificar equipos a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clasificar a los equipos según la tabla.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RF-078</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llaves de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las llaves; la programación de sus partidos es manual.</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 Programador</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DEC-06</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RF-079</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empates de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resolver empates según el criterio configurado (penales registrados en la cédula).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RF-080</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avances y eliminaciones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avance de los equipos en la fase final.</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RF-081</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Determinar campeón y subcampeón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resultados finales de la competencia.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0"/>
    <w:bookmarkStart w:id="71" w:name="Xfa339675fc15c234ceec79fec23d669f8159410"/>
    <w:p>
      <w:pPr>
        <w:pStyle w:val="Heading3"/>
      </w:pPr>
      <w:r>
        <w:t xml:space="preserve">3.2.11 M-11 Portal público y publicación</w:t>
      </w:r>
    </w:p>
    <w:tbl>
      <w:tblPr>
        <w:tblStyle w:val="Table"/>
        <w:jc w:val="center"/>
        <w:tblLook w:firstRow="1" w:lastRow="0" w:firstColumn="0" w:lastColumn="0" w:noHBand="0" w:noVBand="0" w:val="0020"/>
        <w:tblW w:w="9405" w:type="dxa"/>
        <w:tblLayout w:type="fixed"/>
      </w:tblPr>
      <w:tblGrid>
        <w:gridCol w:w="863"/>
        <w:gridCol w:w="1816"/>
        <w:gridCol w:w="2247"/>
        <w:gridCol w:w="1526"/>
        <w:gridCol w:w="989"/>
        <w:gridCol w:w="1088"/>
        <w:gridCol w:w="873"/>
      </w:tblGrid>
      <w:tr>
        <w:trPr>
          <w:tblHeader w:val="true"/>
          <w:tblHeader/>
        </w:trPr>
        <w:tc>
          <w:tcPr>
            <w:tcW w:type="dxa" w:w="8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1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programación semanal</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 programación aprobada de la semana.</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RF-083</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resultados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los resultados oficiales.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RF-084</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tablas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tablas de posiciones.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RF-085</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calendario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el calendario de la competencia.</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RF-086</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comunicados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noticias y comunicados aprobados.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RF-087</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sanciones autorizadas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sanciones publicadas.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RF-088</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equipos y competencias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permitir consultar equipos y fases publicadas.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RF-089</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Buscar por fecha, categoría y equipo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permitir filtrar por fecha, categoría/grupo y equipo.</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RF-090</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flujo de publicación</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y los comunicados siguen el flujo Borrador → Revisión → Publicado con aprobación del Presidente; los resultados oficiales se publican automáticamente (DEC-21).</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Programador, Presidente</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DEC-21</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RF-145</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estadísticas de jugador con consentimiento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solo debe mostrar estadísticas con nombre de jugador cuando exista consentimiento para la finalidad de difusión</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 DEC-40</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1"/>
    <w:bookmarkStart w:id="72" w:name="X6406f3d30082480ac71e9aee62e9493a6b6a4f1"/>
    <w:p>
      <w:pPr>
        <w:pStyle w:val="Heading3"/>
      </w:pPr>
      <w:r>
        <w:t xml:space="preserve">3.2.12 M-12 Reportes y documentos</w:t>
      </w:r>
    </w:p>
    <w:tbl>
      <w:tblPr>
        <w:tblStyle w:val="Table"/>
        <w:jc w:val="center"/>
        <w:tblLook w:firstRow="1" w:lastRow="0" w:firstColumn="0" w:lastColumn="0" w:noHBand="0" w:noVBand="0" w:val="0020"/>
        <w:tblW w:w="9405" w:type="dxa"/>
        <w:tblLayout w:type="fixed"/>
      </w:tblPr>
      <w:tblGrid>
        <w:gridCol w:w="929"/>
        <w:gridCol w:w="1590"/>
        <w:gridCol w:w="2438"/>
        <w:gridCol w:w="1315"/>
        <w:gridCol w:w="1105"/>
        <w:gridCol w:w="1139"/>
        <w:gridCol w:w="886"/>
      </w:tblGrid>
      <w:tr>
        <w:trPr>
          <w:tblHeader w:val="true"/>
          <w:tblHeader/>
        </w:trPr>
        <w:tc>
          <w:tcPr>
            <w:tcW w:type="dxa" w:w="9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5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43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1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3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w:t>
            </w:r>
          </w:p>
        </w:tc>
        <w:tc>
          <w:tcPr>
            <w:tcW w:type="dxa" w:w="1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reportes operativos</w:t>
            </w:r>
          </w:p>
        </w:tc>
        <w:tc>
          <w:tcPr>
            <w:tcW w:type="dxa" w:w="24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producir los reportes REP-001 a REP-014 según el permiso y el ámbito del usuario.</w:t>
            </w:r>
          </w:p>
        </w:tc>
        <w:tc>
          <w:tcPr>
            <w:tcW w:type="dxa" w:w="13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1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DEC-05</w:t>
            </w:r>
          </w:p>
        </w:tc>
        <w:tc>
          <w:tcPr>
            <w:tcW w:type="dxa" w:w="11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RF-092</w:t>
            </w:r>
          </w:p>
        </w:tc>
        <w:tc>
          <w:tcPr>
            <w:tcW w:type="dxa" w:w="1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Exportar reportes</w:t>
            </w:r>
          </w:p>
        </w:tc>
        <w:tc>
          <w:tcPr>
            <w:tcW w:type="dxa" w:w="24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exportar los reportes a PDF y a Excel.</w:t>
            </w:r>
          </w:p>
        </w:tc>
        <w:tc>
          <w:tcPr>
            <w:tcW w:type="dxa" w:w="13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1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DEC-05</w:t>
            </w:r>
          </w:p>
        </w:tc>
        <w:tc>
          <w:tcPr>
            <w:tcW w:type="dxa" w:w="11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2"/>
    <w:bookmarkStart w:id="73" w:name="Xc4986265bf6bbf5ee3593a305f520be180e2e75"/>
    <w:p>
      <w:pPr>
        <w:pStyle w:val="Heading3"/>
      </w:pPr>
      <w:r>
        <w:t xml:space="preserve">3.2.13 M-13 Tesorería y cobros</w:t>
      </w:r>
    </w:p>
    <w:tbl>
      <w:tblPr>
        <w:tblStyle w:val="Table"/>
        <w:jc w:val="center"/>
        <w:tblLook w:firstRow="1" w:lastRow="0" w:firstColumn="0" w:lastColumn="0" w:noHBand="0" w:noVBand="0" w:val="0020"/>
        <w:tblW w:w="9405" w:type="dxa"/>
        <w:tblLayout w:type="fixed"/>
      </w:tblPr>
      <w:tblGrid>
        <w:gridCol w:w="894"/>
        <w:gridCol w:w="1625"/>
        <w:gridCol w:w="2720"/>
        <w:gridCol w:w="1257"/>
        <w:gridCol w:w="916"/>
        <w:gridCol w:w="1111"/>
        <w:gridCol w:w="879"/>
      </w:tblGrid>
      <w:tr>
        <w:trPr>
          <w:tblHeader w:val="true"/>
          <w:tblHeader/>
        </w:trPr>
        <w:tc>
          <w:tcPr>
            <w:tcW w:type="dxa" w:w="8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2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72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25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1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tarifas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las tarifas de arbitraje y de cancha por temporada y categoría.</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RF-136</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cobros automáticos por partido</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publicarse una jornada, el sistema debe generar a cada equipo los cobros de arbitraje y de cancha de sus partidos, sin cobro de cancha si juega en la propia.</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RF-137</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cobros manuales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crear un cobro a un club o a un equipo con concepto, monto y periodo de pago.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RF-138</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Pagar un cobro en línea (simulado)</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club pagar un cobro mediante un pago simulado con referencia ficticia y los estados Pendiente, Pagado, Rechazado y Vencido.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RF-139</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pagos fuera del sistema</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pagos recibidos por otros medios con su comprobante.</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RF-140</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adeudos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mostrar los adeudos por club y por equipo según el ámbito del usuario.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RF-141</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Vencer cobros no pagados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marcar como vencidos los cobros no pagados al terminar su periodo y notificar al club; el vencimiento alimenta el artículo de baja por falta de pago.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DEC-31</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3"/>
    <w:bookmarkStart w:id="74" w:name="Xd34de9839c93f3e55c1ebbaada5445b79e19d78"/>
    <w:p>
      <w:pPr>
        <w:pStyle w:val="Heading3"/>
      </w:pPr>
      <w:r>
        <w:t xml:space="preserve">3.2.14 M-14 Notificaciones</w:t>
      </w:r>
    </w:p>
    <w:tbl>
      <w:tblPr>
        <w:tblStyle w:val="Table"/>
        <w:jc w:val="center"/>
        <w:tblLook w:firstRow="1" w:lastRow="0" w:firstColumn="0" w:lastColumn="0" w:noHBand="0" w:noVBand="0" w:val="0020"/>
        <w:tblW w:w="9405" w:type="dxa"/>
        <w:tblLayout w:type="fixed"/>
      </w:tblPr>
      <w:tblGrid>
        <w:gridCol w:w="902"/>
        <w:gridCol w:w="1433"/>
        <w:gridCol w:w="3154"/>
        <w:gridCol w:w="1013"/>
        <w:gridCol w:w="902"/>
        <w:gridCol w:w="1118"/>
        <w:gridCol w:w="881"/>
      </w:tblGrid>
      <w:tr>
        <w:trPr>
          <w:tblHeader w:val="true"/>
          <w:tblHeader/>
        </w:trPr>
        <w:tc>
          <w:tcPr>
            <w:tcW w:type="dxa" w:w="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4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1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01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1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RF-142</w:t>
            </w:r>
          </w:p>
        </w:tc>
        <w:tc>
          <w:tcPr>
            <w:tcW w:type="dxa" w:w="14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Notificar dentro del sistema</w:t>
            </w:r>
          </w:p>
        </w:tc>
        <w:tc>
          <w:tcPr>
            <w:tcW w:type="dxa" w:w="3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avisar dentro de la aplicación los eventos del flujo: cédula pendiente, devuelta o vencida; expediente abierto; trámite por aprobar; cobro generado o vencido; programación publicada.</w:t>
            </w:r>
          </w:p>
        </w:tc>
        <w:tc>
          <w:tcPr>
            <w:tcW w:type="dxa" w:w="101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11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RF-143</w:t>
            </w:r>
          </w:p>
        </w:tc>
        <w:tc>
          <w:tcPr>
            <w:tcW w:type="dxa" w:w="14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Notificar por correo</w:t>
            </w:r>
          </w:p>
        </w:tc>
        <w:tc>
          <w:tcPr>
            <w:tcW w:type="dxa" w:w="3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enviar por correo los mismos eventos a los usuarios que correspondan.</w:t>
            </w:r>
          </w:p>
        </w:tc>
        <w:tc>
          <w:tcPr>
            <w:tcW w:type="dxa" w:w="101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11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4"/>
    <w:bookmarkStart w:id="75" w:name="X151a30df13925de647ed3cb0e96f23343ec4b72"/>
    <w:p>
      <w:pPr>
        <w:pStyle w:val="Heading3"/>
      </w:pPr>
      <w:r>
        <w:t xml:space="preserve">3.2.15 Validaciones y manejo de errores</w:t>
      </w:r>
    </w:p>
    <w:p>
      <w:pPr>
        <w:pStyle w:val="FirstParagraph"/>
      </w:pPr>
      <w:r>
        <w:t xml:space="preserve">Validaciones que el sistema debe aplicar y su comportamiento ante el fallo. Los mensajes exactos se definen en el prototipo (PEN-016).</w:t>
      </w:r>
    </w:p>
    <w:tbl>
      <w:tblPr>
        <w:tblStyle w:val="Table"/>
        <w:jc w:val="center"/>
        <w:tblLook w:firstRow="1" w:lastRow="0" w:firstColumn="0" w:lastColumn="0" w:noHBand="0" w:noVBand="0" w:val="0020"/>
        <w:tblW w:w="9405" w:type="dxa"/>
        <w:tblLayout w:type="fixed"/>
      </w:tblPr>
      <w:tblGrid>
        <w:gridCol w:w="1174"/>
        <w:gridCol w:w="1891"/>
        <w:gridCol w:w="2811"/>
        <w:gridCol w:w="2618"/>
        <w:gridCol w:w="909"/>
      </w:tblGrid>
      <w:tr>
        <w:trPr>
          <w:tblHeader w:val="true"/>
          <w:tblHeader/>
        </w:trPr>
        <w:tc>
          <w:tcPr>
            <w:tcW w:type="dxa" w:w="11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281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Validación</w:t>
            </w:r>
          </w:p>
        </w:tc>
        <w:tc>
          <w:tcPr>
            <w:tcW w:type="dxa" w:w="261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si falla</w:t>
            </w:r>
          </w:p>
        </w:tc>
        <w:tc>
          <w:tcPr>
            <w:tcW w:type="dxa" w:w="9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y documentos completos según la categoría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la operación; indicar lo faltante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Elegibilidad</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activo, validado y sin sanción vigente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la alineación y explicar el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con otro partido en el mismo bloque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ocupada en el bloque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bloqueada, en mantenimiento, inactiva o fuera de disponibilidad</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dado de baja o con sanción que impide jugar</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existe solución</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del partido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Acción no permitida por el estado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acción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VAL-009</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no aprobada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oficializar ni publicar</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VAL-010</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Corrección de resultado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Corrección sin resolución disciplinaria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conservar el dato oficial</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Desempate</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Igualdad en la tabla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los criterios configurados</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no identificado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Dejar el expediente en revisión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Excepción no definida en el catálogo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automatizarla; requerir resolución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no aprobada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mostrarla en el portal</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Acceso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sin permiso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la acción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Operación crítica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usuario, fecha, acción y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con registro activo en la temporada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mostrar el club y equipo donde está registrada</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de otro equipo que no está en la categoría inmediata superior de su club</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alineación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VAL-019</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del mismo club que uno de los equipos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designación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VAL-020</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Campos obligatorios incompletos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permitir el envío a validación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 por quien la capturó</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la aprobación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permisos del propio rol</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el cambio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 de permisos incompatibles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Dejar el cambio pendiente de aprobación del Presidente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o cambio fuera del ámbito del usuario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sin revelar si el recurso existe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menor</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Falta el consentimiento o el INE del tutor</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el registro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Transferencia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club dentro de la temporada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fuera de la regla de localía o externa en las últimas diez fechas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Advertir; aceptar solo con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 de un cobro vencido o ya pagado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e indicar el estado del cobro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75"/>
    <w:bookmarkStart w:id="76" w:name="X826ccfe082f673e8cdde23ecbd7be6505e08bbf"/>
    <w:p>
      <w:pPr>
        <w:pStyle w:val="Heading3"/>
      </w:pPr>
      <w:r>
        <w:t xml:space="preserve">3.2.16 Reportes</w:t>
      </w:r>
    </w:p>
    <w:tbl>
      <w:tblPr>
        <w:tblStyle w:val="Table"/>
        <w:jc w:val="center"/>
        <w:tblLook w:firstRow="1" w:lastRow="0" w:firstColumn="0" w:lastColumn="0" w:noHBand="0" w:noVBand="0" w:val="0020"/>
        <w:tblW w:w="9405" w:type="dxa"/>
        <w:tblLayout w:type="fixed"/>
      </w:tblPr>
      <w:tblGrid>
        <w:gridCol w:w="1460"/>
        <w:gridCol w:w="2721"/>
        <w:gridCol w:w="2880"/>
        <w:gridCol w:w="2343"/>
      </w:tblGrid>
      <w:tr>
        <w:trPr>
          <w:tblHeader w:val="true"/>
          <w:tblHeader/>
        </w:trPr>
        <w:tc>
          <w:tcPr>
            <w:tcW w:type="dxa" w:w="14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72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Reporte</w:t>
            </w:r>
          </w:p>
        </w:tc>
        <w:tc>
          <w:tcPr>
            <w:tcW w:type="dxa" w:w="28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Filtros</w:t>
            </w:r>
          </w:p>
        </w:tc>
        <w:tc>
          <w:tcPr>
            <w:tcW w:type="dxa" w:w="23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REP-001</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 categoría, cancha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REP-002</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categoría, grupo, jornada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REP-003</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Tabla de posiciones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grupo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REP-004</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Castigados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Vigencia, categoría, club</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REP-005</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vigencia, artículo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REP-006</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árbitro, fecha, estado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REP-007</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equipo o jugador</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club</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REP-008</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 propuestos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REP-009</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Uso de canchas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 cancha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REP-010</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operación, módulo, fecha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REP-011</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Exportación PDF/Excel</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compatibles</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REP-012</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Adeudos y pagos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equipo, estado, periodo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REP-013</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y designaciones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club, fecha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REP-014</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Afiliaciones de la temporada</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categoría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6"/>
    <w:bookmarkEnd w:id="77"/>
    <w:bookmarkStart w:id="85" w:name="X91faa842a79df0e34112c2e349ad0681a2800df"/>
    <w:p>
      <w:pPr>
        <w:pStyle w:val="Heading2"/>
      </w:pPr>
      <w:r>
        <w:t xml:space="preserve">3.3 Requisitos no funcionales</w:t>
      </w:r>
    </w:p>
    <w:p>
      <w:pPr>
        <w:pStyle w:val="FirstParagraph"/>
      </w:pPr>
      <w:r>
        <w:t xml:space="preserve">Las metas se dimensionaron con el volumen de R2 (cerca de 200 clubes, más de 600 equipos, 40 canchas y 5,000 a 6,000 asistentes por fin de semana) y son</w:t>
      </w:r>
      <w:r>
        <w:t xml:space="preserve"> </w:t>
      </w:r>
      <w:r>
        <w:rPr>
          <w:bCs/>
          <w:b/>
        </w:rPr>
        <w:t xml:space="preserve">[PROPUESTA]</w:t>
      </w:r>
      <w:r>
        <w:t xml:space="preserve"> </w:t>
      </w:r>
      <w:r>
        <w:t xml:space="preserve">del equipo (DEC-39). Se verifican en el entorno de pruebas del proyecto.</w:t>
      </w:r>
    </w:p>
    <w:bookmarkStart w:id="78" w:name="X5a17972a13ed24c82bde5cdd876d7533111c833"/>
    <w:p>
      <w:pPr>
        <w:pStyle w:val="Heading3"/>
      </w:pPr>
      <w:r>
        <w:t xml:space="preserve">3.3.1 Requisitos de rendimiento</w:t>
      </w:r>
    </w:p>
    <w:tbl>
      <w:tblPr>
        <w:tblStyle w:val="Table"/>
        <w:jc w:val="center"/>
        <w:tblLook w:firstRow="1" w:lastRow="0" w:firstColumn="0" w:lastColumn="0" w:noHBand="0" w:noVBand="0" w:val="0020"/>
        <w:tblW w:w="9405" w:type="dxa"/>
        <w:tblLayout w:type="fixed"/>
      </w:tblPr>
      <w:tblGrid>
        <w:gridCol w:w="1077"/>
        <w:gridCol w:w="1901"/>
        <w:gridCol w:w="3318"/>
        <w:gridCol w:w="1041"/>
        <w:gridCol w:w="1173"/>
        <w:gridCol w:w="892"/>
      </w:tblGrid>
      <w:tr>
        <w:trPr>
          <w:tblHeader w:val="true"/>
          <w:tblHeader/>
        </w:trPr>
        <w:tc>
          <w:tcPr>
            <w:tcW w:type="dxa" w:w="10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31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4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RNF-002</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Rendimiento de consultas públicas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p95 del tiempo de respuesta menor a 2 s con 300 usuarios simultáneos en el portal.</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RNF-016</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Rendimiento de operaciones internas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p95 menor a 3 s en operaciones internas; generación o exportación de un reporte en menos de 10 s.</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RNF-017</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Volumen de datos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operar con al menos 250 clubes, 800 equipos, 15,000 personas y 50 canchas por temporada sin degradar las metas anteriores.</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78"/>
    <w:bookmarkStart w:id="79" w:name="Xdf30c3727a00b8eb253f23ed7a05d74b81b34ca"/>
    <w:p>
      <w:pPr>
        <w:pStyle w:val="Heading3"/>
      </w:pPr>
      <w:r>
        <w:t xml:space="preserve">3.3.2 Seguridad</w:t>
      </w:r>
    </w:p>
    <w:tbl>
      <w:tblPr>
        <w:tblStyle w:val="Table"/>
        <w:jc w:val="center"/>
        <w:tblLook w:firstRow="1" w:lastRow="0" w:firstColumn="0" w:lastColumn="0" w:noHBand="0" w:noVBand="0" w:val="0020"/>
        <w:tblW w:w="9405" w:type="dxa"/>
        <w:tblLayout w:type="fixed"/>
      </w:tblPr>
      <w:tblGrid>
        <w:gridCol w:w="1069"/>
        <w:gridCol w:w="1770"/>
        <w:gridCol w:w="3515"/>
        <w:gridCol w:w="1015"/>
        <w:gridCol w:w="1144"/>
        <w:gridCol w:w="890"/>
      </w:tblGrid>
      <w:tr>
        <w:trPr>
          <w:tblHeader w:val="true"/>
          <w:tblHeader/>
        </w:trPr>
        <w:tc>
          <w:tcPr>
            <w:tcW w:type="dxa" w:w="10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5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RNF-003</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Seguridad y mínimo privilegio</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operación se autoriza por permiso y ámbito con denegación por defecto; las pruebas cubren 401, 403 y acceso fuera de ámbito por endpoint.</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DEC-04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RNF-012</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Protección de datos personales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no expone datos personales salvo los consentidos para difusión; los usuarios solo ven datos personales de su ámbito.</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DEC-40</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RNF-013</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contraseñas propias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contraseñas no se almacenan en el sistema; la identidad se delega al servicio de autenticación.</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DD-012</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RNF-014</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segura de sesiones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Sesiones con expiración y límite de intentos según la política de PEN-030.</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RNF-015</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acciones críticas son trazables y la auditoría no puede modificarse por los usuarios.</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RNF-018</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Resguardo de documentos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documentos y fotos se almacenan en un repositorio privado; solo se acceden con URL firmadas de vigencia corta y por usuarios con permiso y ámbito.</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RNF-019</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Cifrado en tránsito</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comunicación con el sistema y con la base de datos usa TLS.</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§15.2</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t xml:space="preserve">Controles por definir</w:t>
      </w:r>
      <w:r>
        <w:t xml:space="preserve"> </w:t>
      </w:r>
      <w:r>
        <w:rPr>
          <w:bCs/>
          <w:b/>
        </w:rPr>
        <w:t xml:space="preserve">[PENDIENTE]</w:t>
      </w:r>
      <w:r>
        <w:t xml:space="preserve">: política de contraseñas, duración y renovación de la sesión, recuperación de acceso y límite de intentos (PEN-030); retención de auditoría y de documentos (PEN-040).</w:t>
      </w:r>
    </w:p>
    <w:bookmarkEnd w:id="79"/>
    <w:bookmarkStart w:id="80" w:name="X5adf16b900a1ac109a9c38ccdd02cb0ae3a3058"/>
    <w:p>
      <w:pPr>
        <w:pStyle w:val="Heading3"/>
      </w:pPr>
      <w:r>
        <w:t xml:space="preserve">3.3.3 Fiabilidad</w:t>
      </w:r>
    </w:p>
    <w:tbl>
      <w:tblPr>
        <w:tblStyle w:val="Table"/>
        <w:jc w:val="center"/>
        <w:tblLook w:firstRow="1" w:lastRow="0" w:firstColumn="0" w:lastColumn="0" w:noHBand="0" w:noVBand="0" w:val="0020"/>
        <w:tblW w:w="9405" w:type="dxa"/>
        <w:tblLayout w:type="fixed"/>
      </w:tblPr>
      <w:tblGrid>
        <w:gridCol w:w="1065"/>
        <w:gridCol w:w="1977"/>
        <w:gridCol w:w="3437"/>
        <w:gridCol w:w="892"/>
        <w:gridCol w:w="1142"/>
        <w:gridCol w:w="890"/>
      </w:tblGrid>
      <w:tr>
        <w:trPr>
          <w:tblHeader w:val="true"/>
          <w:tblHeader/>
        </w:trPr>
        <w:tc>
          <w:tcPr>
            <w:tcW w:type="dxa" w:w="106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RNF-004</w:t>
            </w:r>
          </w:p>
        </w:tc>
        <w:tc>
          <w:tcPr>
            <w:tcW w:type="dxa" w:w="19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Integridad transaccional</w:t>
            </w:r>
          </w:p>
        </w:tc>
        <w:tc>
          <w:tcPr>
            <w:tcW w:type="dxa" w:w="3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operaciones críticas (cédula, resultado, sanción, pago) son atómicas: si falla un paso no queda ningún cambio parcial.</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0"/>
    <w:bookmarkStart w:id="81" w:name="X4d1f9638074e5eb2339bea1961627fd612510ef"/>
    <w:p>
      <w:pPr>
        <w:pStyle w:val="Heading3"/>
      </w:pPr>
      <w:r>
        <w:t xml:space="preserve">3.3.4 Disponibilidad</w:t>
      </w:r>
    </w:p>
    <w:tbl>
      <w:tblPr>
        <w:tblStyle w:val="Table"/>
        <w:jc w:val="center"/>
        <w:tblLook w:firstRow="1" w:lastRow="0" w:firstColumn="0" w:lastColumn="0" w:noHBand="0" w:noVBand="0" w:val="0020"/>
        <w:tblW w:w="9405" w:type="dxa"/>
        <w:tblLayout w:type="fixed"/>
      </w:tblPr>
      <w:tblGrid>
        <w:gridCol w:w="1061"/>
        <w:gridCol w:w="2117"/>
        <w:gridCol w:w="3111"/>
        <w:gridCol w:w="1085"/>
        <w:gridCol w:w="1140"/>
        <w:gridCol w:w="889"/>
      </w:tblGrid>
      <w:tr>
        <w:trPr>
          <w:tblHeader w:val="true"/>
          <w:tblHeader/>
        </w:trPr>
        <w:tc>
          <w:tcPr>
            <w:tcW w:type="dxa" w:w="106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1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11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RNF-001</w:t>
            </w:r>
          </w:p>
        </w:tc>
        <w:tc>
          <w:tcPr>
            <w:tcW w:type="dxa" w:w="21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durante jornadas</w:t>
            </w:r>
          </w:p>
        </w:tc>
        <w:tc>
          <w:tcPr>
            <w:tcW w:type="dxa" w:w="3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99 % de disponibilidad los sábados y domingos de 7:00 a 21:00.</w:t>
            </w:r>
          </w:p>
        </w:tc>
        <w:tc>
          <w:tcPr>
            <w:tcW w:type="dxa" w:w="10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RNF-010</w:t>
            </w:r>
          </w:p>
        </w:tc>
        <w:tc>
          <w:tcPr>
            <w:tcW w:type="dxa" w:w="21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Respaldo y recuperación</w:t>
            </w:r>
          </w:p>
        </w:tc>
        <w:tc>
          <w:tcPr>
            <w:tcW w:type="dxa" w:w="3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Respaldo diario con 7 días de retención; RPO de 24 h y RTO de 4 h, comprobados con una restauración de prueba.</w:t>
            </w:r>
          </w:p>
        </w:tc>
        <w:tc>
          <w:tcPr>
            <w:tcW w:type="dxa" w:w="10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1"/>
    <w:bookmarkStart w:id="82" w:name="Xc3abb3ac24e534ec1987c27bde51765d5144a14"/>
    <w:p>
      <w:pPr>
        <w:pStyle w:val="Heading3"/>
      </w:pPr>
      <w:r>
        <w:t xml:space="preserve">3.3.5 Mantenibilidad</w:t>
      </w:r>
    </w:p>
    <w:tbl>
      <w:tblPr>
        <w:tblStyle w:val="Table"/>
        <w:jc w:val="center"/>
        <w:tblLook w:firstRow="1" w:lastRow="0" w:firstColumn="0" w:lastColumn="0" w:noHBand="0" w:noVBand="0" w:val="0020"/>
        <w:tblW w:w="9405" w:type="dxa"/>
        <w:tblLayout w:type="fixed"/>
      </w:tblPr>
      <w:tblGrid>
        <w:gridCol w:w="1064"/>
        <w:gridCol w:w="1937"/>
        <w:gridCol w:w="3261"/>
        <w:gridCol w:w="1089"/>
        <w:gridCol w:w="1163"/>
        <w:gridCol w:w="889"/>
      </w:tblGrid>
      <w:tr>
        <w:trPr>
          <w:tblHeader w:val="true"/>
          <w:tblHeader/>
        </w:trPr>
        <w:tc>
          <w:tcPr>
            <w:tcW w:type="dxa" w:w="10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3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2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RNF-005</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Escalabilidad funcional</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pueden agregar temporadas, categorías, artículos, tipos de incidencia y criterios de desempate sin cambios de código ni de esquema.</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DD-004</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RNF-009</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Mantenibilidad</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módulos no tienen dependencias cíclicas, verificado con una prueba de arquitectura.</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RNF-011</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Observabilidad</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Bitácora estructurada sin datos personales y un punto de verificación de salud.</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2"/>
    <w:bookmarkStart w:id="83" w:name="X5a7fe4d1f0481b5d3eb73522cae8866519f2131"/>
    <w:p>
      <w:pPr>
        <w:pStyle w:val="Heading3"/>
      </w:pPr>
      <w:r>
        <w:t xml:space="preserve">3.3.6 Portabilidad</w:t>
      </w:r>
    </w:p>
    <w:p>
      <w:pPr>
        <w:pStyle w:val="FirstParagraph"/>
      </w:pPr>
      <w:r>
        <w:t xml:space="preserve">El acceso es desde cualquier navegador moderno de escritorio o móvil (RNF-007). El diseño del modelo de datos no debe impedir operar varias ligas (DD-011).</w:t>
      </w:r>
    </w:p>
    <w:bookmarkEnd w:id="83"/>
    <w:bookmarkStart w:id="84" w:name="X0815ab501fd5538c03048dbca34225320754803"/>
    <w:p>
      <w:pPr>
        <w:pStyle w:val="Heading3"/>
      </w:pPr>
      <w:r>
        <w:t xml:space="preserve">3.3.7 Usabilidad y accesibilidad</w:t>
      </w:r>
    </w:p>
    <w:tbl>
      <w:tblPr>
        <w:tblStyle w:val="Table"/>
        <w:jc w:val="center"/>
        <w:tblLook w:firstRow="1" w:lastRow="0" w:firstColumn="0" w:lastColumn="0" w:noHBand="0" w:noVBand="0" w:val="0020"/>
        <w:tblW w:w="9405" w:type="dxa"/>
        <w:tblLayout w:type="fixed"/>
      </w:tblPr>
      <w:tblGrid>
        <w:gridCol w:w="1076"/>
        <w:gridCol w:w="1743"/>
        <w:gridCol w:w="3474"/>
        <w:gridCol w:w="1054"/>
        <w:gridCol w:w="1164"/>
        <w:gridCol w:w="892"/>
      </w:tblGrid>
      <w:tr>
        <w:trPr>
          <w:tblHeader w:val="true"/>
          <w:tblHeader/>
        </w:trPr>
        <w:tc>
          <w:tcPr>
            <w:tcW w:type="dxa" w:w="10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4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6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RNF-006</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Usabilidad</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tareas clave (capturar la cédula, aprobarla, registrar un jugador, pagar un cobro) se completan en tres pasos o menos desde el panel.</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RNF-007</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Responsive</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Todas las pantallas son legibles y operables sin desplazamiento horizontal desde 360 px de ancho.</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RNF-008</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Accesibilidad</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Cumplimiento de WCAG 2.1 nivel AA en las pantallas del núcleo.</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4"/>
    <w:bookmarkEnd w:id="85"/>
    <w:bookmarkStart w:id="90" w:name="X0059ab8e8a14f29bb9b8c5e898ea93a4110ded6"/>
    <w:p>
      <w:pPr>
        <w:pStyle w:val="Heading2"/>
      </w:pPr>
      <w:r>
        <w:t xml:space="preserve">3.4 Otros requisitos</w:t>
      </w:r>
    </w:p>
    <w:bookmarkStart w:id="86" w:name="Xe58ff9fe76514ea913cf45cce8f992d457a1082"/>
    <w:p>
      <w:pPr>
        <w:pStyle w:val="Heading3"/>
      </w:pPr>
      <w:r>
        <w:t xml:space="preserve">3.4.1 Reglas de negocio</w:t>
      </w:r>
    </w:p>
    <w:p>
      <w:pPr>
        <w:pStyle w:val="FirstParagraph"/>
      </w:pPr>
      <w:r>
        <w:t xml:space="preserve">Las reglas deportivas y disciplinarias provienen de la convocatoria de cada temporada y se versionan. Si una regla no es explícita, su interpretación requiere autorización (RN-006, RN-035).</w:t>
      </w:r>
    </w:p>
    <w:p>
      <w:pPr>
        <w:pStyle w:val="BodyText"/>
      </w:pPr>
      <w:r>
        <w:rPr>
          <w:bCs/>
          <w:b/>
        </w:rPr>
        <w:t xml:space="preserve">Reglas de temporada y configuración</w:t>
      </w:r>
    </w:p>
    <w:tbl>
      <w:tblPr>
        <w:tblStyle w:val="Table"/>
        <w:jc w:val="center"/>
        <w:tblLook w:firstRow="1" w:lastRow="0" w:firstColumn="0" w:lastColumn="0" w:noHBand="0" w:noVBand="0" w:val="0020"/>
        <w:tblW w:w="9405" w:type="dxa"/>
        <w:tblLayout w:type="fixed"/>
      </w:tblPr>
      <w:tblGrid>
        <w:gridCol w:w="997"/>
        <w:gridCol w:w="2806"/>
        <w:gridCol w:w="2057"/>
        <w:gridCol w:w="2643"/>
        <w:gridCol w:w="900"/>
      </w:tblGrid>
      <w:tr>
        <w:trPr>
          <w:tblHeader w:val="true"/>
          <w:tblHeader/>
        </w:trPr>
        <w:tc>
          <w:tcPr>
            <w:tcW w:type="dxa" w:w="9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80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05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6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RN-001</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temporada representa un periodo deportivo</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gestiona una competencia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información queda asociada a su temporada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RN-002</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convocatoria es normativa</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temporada tiene convocatoria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 operación se vinculan a su documento normativo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RN-003</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categorías y grupos pueden variar por temporada</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abre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hereda una estructura fija sin configuración</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RN-004</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 ascenso y descenso se versionan</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Cambia una regla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la versión utilizada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RN-005</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histórico no se sobrescribe</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modifica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datos históricos se conservan (excepción: RN-041)</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RN-006</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interpretaciones requieren validación</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regla no es explícita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Pasa por autorización del Presidente</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RN-058</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sola temporada activa a la vez</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activa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anterior debe estar cerrada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deportivas, de registro y de clubes</w:t>
      </w:r>
    </w:p>
    <w:tbl>
      <w:tblPr>
        <w:tblStyle w:val="Table"/>
        <w:jc w:val="center"/>
        <w:tblLook w:firstRow="1" w:lastRow="0" w:firstColumn="0" w:lastColumn="0" w:noHBand="0" w:noVBand="0" w:val="0020"/>
        <w:tblW w:w="9405" w:type="dxa"/>
        <w:tblLayout w:type="fixed"/>
      </w:tblPr>
      <w:tblGrid>
        <w:gridCol w:w="959"/>
        <w:gridCol w:w="2556"/>
        <w:gridCol w:w="2104"/>
        <w:gridCol w:w="2892"/>
        <w:gridCol w:w="892"/>
      </w:tblGrid>
      <w:tr>
        <w:trPr>
          <w:tblHeader w:val="true"/>
          <w:tblHeader/>
        </w:trPr>
        <w:tc>
          <w:tcPr>
            <w:tcW w:type="dxa" w:w="9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5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1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RN-007</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pertenece a una categoría y grupo durante una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Durante su participación</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relación se identifica por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RN-008</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persona es una identidad reutilizable</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Tiene uno o más roles</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duplica su identidad; la clave es la CURP</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RN-009</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registro del jugador está sujeto a reglas</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o transferencia</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valida conforme a la configuración de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RN-010</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elegibilidad se comprueba antes de participar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captura la alineación</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bloquea si existe impedimento</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RN-011</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sanción vigente puede impedir participación</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norma lo establece</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impide la participación correspondiente (RN-057)</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RN-037</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pertenece a un solo equipo por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 jugador</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CURP no puede tener dos registros activos en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RN-038</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 solo en la categoría inmediata superior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se alinea con otro equipo de su club</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si ese equipo está en la categoría inmediata superior; se permite el mismo día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RN-039</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cambio de club dentro de la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solicita un cambio</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rechaza; entre temporadas se aplica la configuración de la Liga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RN-040</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venta de un equipo surte efecto al cierre</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una venta o una conservación de plaza</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Requiere autorización del Presidente y se aplica al cerrar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RN-041</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cambio de nombre crea un club nuevo</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club cambia de nombre</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club nuevo empieza sin historial; el anterior se cierra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RN-055</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menores con consentimiento del tutor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 menor</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exige el consentimiento expreso y el INE del tutor; el menor no tiene credenciales propias</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árbitros</w:t>
      </w:r>
    </w:p>
    <w:tbl>
      <w:tblPr>
        <w:tblStyle w:val="Table"/>
        <w:jc w:val="center"/>
        <w:tblLook w:firstRow="1" w:lastRow="0" w:firstColumn="0" w:lastColumn="0" w:noHBand="0" w:noVBand="0" w:val="0020"/>
        <w:tblW w:w="9405" w:type="dxa"/>
        <w:tblLayout w:type="fixed"/>
      </w:tblPr>
      <w:tblGrid>
        <w:gridCol w:w="1069"/>
        <w:gridCol w:w="2022"/>
        <w:gridCol w:w="1878"/>
        <w:gridCol w:w="3520"/>
        <w:gridCol w:w="914"/>
      </w:tblGrid>
      <w:tr>
        <w:trPr>
          <w:tblHeader w:val="true"/>
          <w:tblHeader/>
        </w:trPr>
        <w:tc>
          <w:tcPr>
            <w:tcW w:type="dxa" w:w="10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02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1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52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RN-042</w:t>
            </w:r>
          </w:p>
        </w:tc>
        <w:tc>
          <w:tcPr>
            <w:tcW w:type="dxa" w:w="20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 de árbitros por club</w:t>
            </w:r>
          </w:p>
        </w:tc>
        <w:tc>
          <w:tcPr>
            <w:tcW w:type="dxa" w:w="1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club afilia equipos</w:t>
            </w:r>
          </w:p>
        </w:tc>
        <w:tc>
          <w:tcPr>
            <w:tcW w:type="dxa" w:w="35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presentar un árbitro por cada cuatro equipos, redondeando hacia arriba</w:t>
            </w:r>
          </w:p>
        </w:tc>
        <w:tc>
          <w:tcPr>
            <w:tcW w:type="dxa" w:w="9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RN-043</w:t>
            </w:r>
          </w:p>
        </w:tc>
        <w:tc>
          <w:tcPr>
            <w:tcW w:type="dxa" w:w="20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árbitro no pita a su club</w:t>
            </w:r>
          </w:p>
        </w:tc>
        <w:tc>
          <w:tcPr>
            <w:tcW w:type="dxa" w:w="1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designa un árbitro</w:t>
            </w:r>
          </w:p>
        </w:tc>
        <w:tc>
          <w:tcPr>
            <w:tcW w:type="dxa" w:w="35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rechaza si juega un equipo de su club</w:t>
            </w:r>
          </w:p>
        </w:tc>
        <w:tc>
          <w:tcPr>
            <w:tcW w:type="dxa" w:w="9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canchas y programación</w:t>
      </w:r>
    </w:p>
    <w:tbl>
      <w:tblPr>
        <w:tblStyle w:val="Table"/>
        <w:jc w:val="center"/>
        <w:tblLook w:firstRow="1" w:lastRow="0" w:firstColumn="0" w:lastColumn="0" w:noHBand="0" w:noVBand="0" w:val="0020"/>
        <w:tblW w:w="9405" w:type="dxa"/>
        <w:tblLayout w:type="fixed"/>
      </w:tblPr>
      <w:tblGrid>
        <w:gridCol w:w="990"/>
        <w:gridCol w:w="2444"/>
        <w:gridCol w:w="2272"/>
        <w:gridCol w:w="2800"/>
        <w:gridCol w:w="898"/>
      </w:tblGrid>
      <w:tr>
        <w:trPr>
          <w:tblHeader w:val="true"/>
          <w:tblHeader/>
        </w:trPr>
        <w:tc>
          <w:tcPr>
            <w:tcW w:type="dxa" w:w="9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4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2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RN-012</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no puede aparecer duplicado</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edita una jornada</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Conflicto duro</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RN-013</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cancha ocupada no se reutiliza en el mismo bloque</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asigna cancha</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bloquea la asignación</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RN-014</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cancha no disponible no se asigna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Bloqueo, mantenimiento, inactividad o fuera de disponibilidad</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impide la asignación</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RN-015</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puede afectar la programación</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dado de baja o con pérdida de partidos</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lo considera (RN-057)</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RN-016</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preferencias son restricciones blandas del algoritmo</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 (programación automática)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RN-017</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Explicación de conflictos sin solución</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 (programación automática)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RN-018</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cambios manuales quedan trazados</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modifica la programación</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usuario, fecha y motivo</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RN-048</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es local</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usa su cancha; si el rival no tiene cancha, se juega en la del que sí tiene; la cancha de un club solo se usa cuando ese club es local</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RN-049</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Últimas diez fechas en la unidad deportiva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en las últimas diez fechas de la fase regular</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advierte el uso de canchas externas (restricción blanda)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RN-050</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Choques por bloque de cancha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detectan choques</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usa el bloque de cancha de la categoría (120 min [DEMO]); la duración de juego es de 90 min sin tiempo extra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partidos, cédula y resultados</w:t>
      </w:r>
    </w:p>
    <w:tbl>
      <w:tblPr>
        <w:tblStyle w:val="Table"/>
        <w:jc w:val="center"/>
        <w:tblLook w:firstRow="1" w:lastRow="0" w:firstColumn="0" w:lastColumn="0" w:noHBand="0" w:noVBand="0" w:val="0020"/>
        <w:tblW w:w="9405" w:type="dxa"/>
        <w:tblLayout w:type="fixed"/>
      </w:tblPr>
      <w:tblGrid>
        <w:gridCol w:w="995"/>
        <w:gridCol w:w="2286"/>
        <w:gridCol w:w="2156"/>
        <w:gridCol w:w="3067"/>
        <w:gridCol w:w="899"/>
      </w:tblGrid>
      <w:tr>
        <w:trPr>
          <w:tblHeader w:val="true"/>
          <w:tblHeader/>
        </w:trPr>
        <w:tc>
          <w:tcPr>
            <w:tcW w:type="dxa" w:w="99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2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06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RN-019</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del partido controla acciones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Cualquier momento del ciclo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se permiten las acciones válidas para el estado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RN-020</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partidos históricos no se eliminan</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partido tiene historial</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RN-021</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transición es auditable</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estado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usuario, fecha y motivo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RN-044</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Separación en la cédula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valida una cédula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capturista no la aprueba; la aprueba o devuelve el árbitro designado y, al vencer el plazo, la Comisión de Arbitraje</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RN-045</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cédula aprobada oficializa y publica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la cédula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resultado queda oficial, actualiza la tabla y se publica sin revisión adicional</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RN-047</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presentación</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no se presenta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asigna el marcador por default configurado (3-0 [DEMO])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RN-022</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tabla se deriva de resultados oficiales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oficializa un resultado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recalcula la tabla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RN-023</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desempates dependen de reglas configuradas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Igualdad de puntos</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aplica el orden configurado: puntos, diferencia de goles, goles a favor, resultado entre los empatados, menos expulsiones, sorteo registrado por el Presidente [DEMO]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RN-024</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corrección requiere recálculo</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resultado cambia por resolución disciplinaria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recalcula la tabla y se conserva la versión anterior</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RN-025</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información validada se publica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dato no es oficial</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muestra en el portal</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disciplinarias</w:t>
      </w:r>
    </w:p>
    <w:tbl>
      <w:tblPr>
        <w:tblStyle w:val="Table"/>
        <w:jc w:val="center"/>
        <w:tblLook w:firstRow="1" w:lastRow="0" w:firstColumn="0" w:lastColumn="0" w:noHBand="0" w:noVBand="0" w:val="0020"/>
        <w:tblW w:w="9405" w:type="dxa"/>
        <w:tblLayout w:type="fixed"/>
      </w:tblPr>
      <w:tblGrid>
        <w:gridCol w:w="982"/>
        <w:gridCol w:w="2388"/>
        <w:gridCol w:w="1924"/>
        <w:gridCol w:w="3213"/>
        <w:gridCol w:w="897"/>
      </w:tblGrid>
      <w:tr>
        <w:trPr>
          <w:tblHeader w:val="true"/>
          <w:tblHeader/>
        </w:trPr>
        <w:tc>
          <w:tcPr>
            <w:tcW w:type="dxa" w:w="9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3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19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21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cédula origina incidencias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captura una cédula</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incidencias se registran vinculadas al partido</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incidencias abren expediente según su tipo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una cédula con incidencias</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abre expediente si el tipo lo indica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RN-027</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incidentes se relacionan con artículos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Existe presunta infracción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el artículo aplicable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RN-028</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propuesta automática requiere validación</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 una propuesta de sanción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Comisión la acepta, modifica o rechaza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RN-029</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resolución genera vigencia verificable</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una sanción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el periodo de vigencia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RN-030</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historial de resolución es inmutable</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emite una resolución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altera destructivamente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RN-031</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recurso abre un nuevo estado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presenta un recurso</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expediente pasa a En recurso y lo resuelve el Presidente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RN-032</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publicación disciplinaria es controlada</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 autorizada</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se publica lo autorizado</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Efectos de la baja de un equipo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da de baja un equipo</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Sus partidos pendientes se otorgan por default al rival (configurable por artículo); con efecto retroactivo pierde además los partidos en que participó la persona sancionada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RN-057</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las sanciones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Hay una sanción vigente</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suspensión de un jugador impide su alineación; la baja de un equipo o la pérdida de partidos afecta su programación y resultados</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competencias</w:t>
      </w:r>
    </w:p>
    <w:tbl>
      <w:tblPr>
        <w:tblStyle w:val="Table"/>
        <w:jc w:val="center"/>
        <w:tblLook w:firstRow="1" w:lastRow="0" w:firstColumn="0" w:lastColumn="0" w:noHBand="0" w:noVBand="0" w:val="0020"/>
        <w:tblW w:w="9405" w:type="dxa"/>
        <w:tblLayout w:type="fixed"/>
      </w:tblPr>
      <w:tblGrid>
        <w:gridCol w:w="988"/>
        <w:gridCol w:w="2444"/>
        <w:gridCol w:w="2259"/>
        <w:gridCol w:w="2815"/>
        <w:gridCol w:w="898"/>
      </w:tblGrid>
      <w:tr>
        <w:trPr>
          <w:tblHeader w:val="true"/>
          <w:tblHeader/>
        </w:trPr>
        <w:tc>
          <w:tcPr>
            <w:tcW w:type="dxa" w:w="9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4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2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RN-033</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 dependen de la temporada</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calcula la clasificación final</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aplica la versión de reglas de la temporada</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RN-034</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elegibilidad forma parte del cálculo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determina ascenso o descenso</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basta la posición deportiva (RN-052)</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RN-035</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casos no automáticos requieren validación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 ambigua o propuesta</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 propuesta y se solicita autorización del Presidente</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RN-036</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fases finales conservan historial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Avanza o se elimina un equipo</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el historial</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RN-052</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de ascenso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califica para ascender</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asciende si tiene adeudos, sanción de baja o si su club ya tiene equipo en la categoría superior</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rPr>
          <w:bCs/>
          <w:b/>
        </w:rPr>
        <w:t xml:space="preserve">Reglas de seguridad y tesorería</w:t>
      </w:r>
    </w:p>
    <w:tbl>
      <w:tblPr>
        <w:tblStyle w:val="Table"/>
        <w:jc w:val="center"/>
        <w:tblLook w:firstRow="1" w:lastRow="0" w:firstColumn="0" w:lastColumn="0" w:noHBand="0" w:noVBand="0" w:val="0020"/>
        <w:tblW w:w="9405" w:type="dxa"/>
        <w:tblLayout w:type="fixed"/>
      </w:tblPr>
      <w:tblGrid>
        <w:gridCol w:w="1009"/>
        <w:gridCol w:w="1709"/>
        <w:gridCol w:w="2436"/>
        <w:gridCol w:w="3346"/>
        <w:gridCol w:w="902"/>
      </w:tblGrid>
      <w:tr>
        <w:trPr>
          <w:tblHeader w:val="true"/>
          <w:tblHeader/>
        </w:trPr>
        <w:tc>
          <w:tcPr>
            <w:tcW w:type="dxa" w:w="10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3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RN-053</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Límites a la edición de permisos</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administrador modifica permisos</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puede modificar su propio rol; los pares incompatibles requieren aprobación del Presidente; todo cambio se audita</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RN-054</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 de club</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usuario con ámbito de club opera</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ve y modifica información de su club</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RN-051</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cobro de cancha propia</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generan cobros de un partido</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cobra cancha al equipo que juega en su cancha</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6"/>
    <w:bookmarkStart w:id="87" w:name="X7e54d73cb21ef71f1a4f71722943e590abb76c5"/>
    <w:p>
      <w:pPr>
        <w:pStyle w:val="Heading3"/>
      </w:pPr>
      <w:r>
        <w:t xml:space="preserve">3.4.2 Requisitos de datos</w:t>
      </w:r>
    </w:p>
    <w:p>
      <w:pPr>
        <w:pStyle w:val="FirstParagraph"/>
      </w:pPr>
      <w:r>
        <w:t xml:space="preserve">Principios de diseño de datos respaldados por la fuente y las decisiones:</w:t>
      </w:r>
    </w:p>
    <w:p>
      <w:pPr>
        <w:numPr>
          <w:ilvl w:val="0"/>
          <w:numId w:val="1004"/>
        </w:numPr>
        <w:pStyle w:val="Compact"/>
      </w:pPr>
      <w:r>
        <w:t xml:space="preserve">Usar catálogos e identificadores para resolver abreviaturas, nombres variables y formatos no uniformes.</w:t>
      </w:r>
    </w:p>
    <w:p>
      <w:pPr>
        <w:numPr>
          <w:ilvl w:val="0"/>
          <w:numId w:val="1004"/>
        </w:numPr>
        <w:pStyle w:val="Compact"/>
      </w:pPr>
      <w:r>
        <w:t xml:space="preserve">La CURP es la clave natural de la persona; el folio identifica la afiliación (R2).</w:t>
      </w:r>
    </w:p>
    <w:p>
      <w:pPr>
        <w:numPr>
          <w:ilvl w:val="0"/>
          <w:numId w:val="1004"/>
        </w:numPr>
        <w:pStyle w:val="Compact"/>
      </w:pPr>
      <w:r>
        <w:t xml:space="preserve">No sobrescribir históricos: registros, propietarios de equipos, directivas, designaciones, resultados y resoluciones conservan sus versiones.</w:t>
      </w:r>
    </w:p>
    <w:p>
      <w:pPr>
        <w:numPr>
          <w:ilvl w:val="0"/>
          <w:numId w:val="1004"/>
        </w:numPr>
        <w:pStyle w:val="Compact"/>
      </w:pPr>
      <w:r>
        <w:t xml:space="preserve">Separar la identidad de la persona de sus roles y la cuenta de usuario de la persona.</w:t>
      </w:r>
    </w:p>
    <w:p>
      <w:pPr>
        <w:numPr>
          <w:ilvl w:val="0"/>
          <w:numId w:val="1004"/>
        </w:numPr>
        <w:pStyle w:val="Compact"/>
      </w:pPr>
      <w:r>
        <w:t xml:space="preserve">Separar datos oficiales de indicadores calculados.</w:t>
      </w:r>
    </w:p>
    <w:p>
      <w:pPr>
        <w:numPr>
          <w:ilvl w:val="0"/>
          <w:numId w:val="1004"/>
        </w:numPr>
        <w:pStyle w:val="Compact"/>
      </w:pPr>
      <w:r>
        <w:t xml:space="preserve">Mantener la trazabilidad de la configuración y las reglas utilizadas en cada cálculo.</w:t>
      </w:r>
    </w:p>
    <w:p>
      <w:pPr>
        <w:numPr>
          <w:ilvl w:val="0"/>
          <w:numId w:val="1004"/>
        </w:numPr>
        <w:pStyle w:val="Compact"/>
      </w:pPr>
      <w:r>
        <w:t xml:space="preserve">Identificar la liga en las entidades raíz para no impedir varias ligas (DD-011).</w:t>
      </w:r>
    </w:p>
    <w:p>
      <w:pPr>
        <w:pStyle w:val="FirstParagraph"/>
      </w:pPr>
      <w:r>
        <w:t xml:space="preserve">Atributos que requieren definición</w:t>
      </w:r>
      <w:r>
        <w:t xml:space="preserve"> </w:t>
      </w:r>
      <w:r>
        <w:rPr>
          <w:bCs/>
          <w:b/>
        </w:rPr>
        <w:t xml:space="preserve">[PENDIENTE]</w:t>
      </w:r>
      <w:r>
        <w:t xml:space="preserve">: campos obligatorios por formulario (PEN-015) y política de retención de datos (PEN-040).</w:t>
      </w:r>
    </w:p>
    <w:bookmarkEnd w:id="87"/>
    <w:bookmarkStart w:id="88" w:name="Xe77a7271c5b39c5816e3e661f94e01522630e92"/>
    <w:p>
      <w:pPr>
        <w:pStyle w:val="Heading3"/>
      </w:pPr>
      <w:r>
        <w:t xml:space="preserve">3.4.3 Criterios de aceptación</w:t>
      </w:r>
    </w:p>
    <w:tbl>
      <w:tblPr>
        <w:tblStyle w:val="Table"/>
        <w:jc w:val="center"/>
        <w:tblLook w:firstRow="1" w:lastRow="0" w:firstColumn="0" w:lastColumn="0" w:noHBand="0" w:noVBand="0" w:val="0020"/>
        <w:tblW w:w="9405" w:type="dxa"/>
        <w:tblLayout w:type="fixed"/>
      </w:tblPr>
      <w:tblGrid>
        <w:gridCol w:w="1424"/>
        <w:gridCol w:w="6995"/>
        <w:gridCol w:w="985"/>
      </w:tblGrid>
      <w:tr>
        <w:trPr>
          <w:tblHeader w:val="true"/>
          <w:tblHeader/>
        </w:trPr>
        <w:tc>
          <w:tcPr>
            <w:tcW w:type="dxa" w:w="14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69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w:t>
            </w:r>
          </w:p>
        </w:tc>
        <w:tc>
          <w:tcPr>
            <w:tcW w:type="dxa" w:w="9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CA-001</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temporadas históricas no se alteran.</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CA-002</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manual no acepta asignaciones con conflicto duro detectable.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CA-003</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cédula aprobada actualiza la tabla y el portal.</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CA-004</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vigente impide la alineación o la programación según su alcance.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CA-005</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resolución genera una vigencia verificable.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CA-006</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explica por qué un equipo o una persona no puede participar.</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CA-007</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muestra solo información autorizada y sin datos personales no consentidos.</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CA-008</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cambios críticos quedan auditados.</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CA-009</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Ningún resultado se vuelve oficial sin la aprobación del árbitro o, vencido el plazo, de la Comisión de Arbitraje.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CA-010</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CURP con registro activo en la temporada no puede registrarse en otro club o categoría.</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CA-011</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usuario con ámbito de club no puede consultar ni modificar información de otro club.</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CA-012</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administrador no puede ampliar los permisos de su propio rol.</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CA-013</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pago registrado actualiza el adeudo del club o equipo.</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CA-014</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árbitro no puede ser designado a un partido de su club.</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8"/>
    <w:bookmarkStart w:id="89" w:name="X38ca744294bdd0c868dc5cf84f0eb7bf2a7949d"/>
    <w:p>
      <w:pPr>
        <w:pStyle w:val="Heading3"/>
      </w:pPr>
      <w:r>
        <w:t xml:space="preserve">3.4.4 Requisitos legales y normativos</w:t>
      </w:r>
    </w:p>
    <w:p>
      <w:pPr>
        <w:numPr>
          <w:ilvl w:val="0"/>
          <w:numId w:val="1005"/>
        </w:numPr>
        <w:pStyle w:val="Compact"/>
      </w:pPr>
      <w:r>
        <w:t xml:space="preserve">El tratamiento de datos personales se diseña conforme a la Ley Federal de Protección de Datos Personales en Posesión de los Particulares (R10): aviso de privacidad integral y simplificado, consentimiento expreso para datos sensibles y de menores (otorgado por el tutor), finalidades separadas y atención de derechos ARCO (DEC-40). Si la Liga resultara un organismo público, aplicaría la ley general para sujetos obligados (R11)</w:t>
      </w:r>
      <w:r>
        <w:t xml:space="preserve"> </w:t>
      </w:r>
      <w:r>
        <w:rPr>
          <w:bCs/>
          <w:b/>
        </w:rPr>
        <w:t xml:space="preserve">[PENDIENTE]</w:t>
      </w:r>
      <w:r>
        <w:t xml:space="preserve"> </w:t>
      </w:r>
      <w:r>
        <w:t xml:space="preserve">(PEN-039).</w:t>
      </w:r>
    </w:p>
    <w:p>
      <w:pPr>
        <w:numPr>
          <w:ilvl w:val="0"/>
          <w:numId w:val="1005"/>
        </w:numPr>
        <w:pStyle w:val="Compact"/>
      </w:pPr>
      <w:r>
        <w:t xml:space="preserve">Los documentos de identidad y las fotos se consideran datos personales de acceso restringido (RNF-018).</w:t>
      </w:r>
    </w:p>
    <w:p>
      <w:pPr>
        <w:numPr>
          <w:ilvl w:val="0"/>
          <w:numId w:val="1005"/>
        </w:numPr>
        <w:pStyle w:val="Compact"/>
      </w:pPr>
      <w:r>
        <w:t xml:space="preserve">La normativa deportiva proviene del Reglamento y la Convocatoria de la Liga (R4). Mientras no se consulten, las reglas se configuran con valores [DEMO].</w:t>
      </w:r>
    </w:p>
    <w:p>
      <w:pPr>
        <w:numPr>
          <w:ilvl w:val="0"/>
          <w:numId w:val="1005"/>
        </w:numPr>
        <w:pStyle w:val="Compact"/>
      </w:pPr>
      <w:r>
        <w:t xml:space="preserve">Este documento no constituye asesoría legal; el aviso de privacidad definitivo debe revisarlo la Liga.</w:t>
      </w:r>
    </w:p>
    <w:bookmarkEnd w:id="89"/>
    <w:bookmarkEnd w:id="90"/>
    <w:bookmarkEnd w:id="91"/>
    <w:bookmarkStart w:id="175" w:name="X0bebe802804ec5c62e68cfe5ab2bb59956e90b6"/>
    <w:p>
      <w:pPr>
        <w:pStyle w:val="Heading1"/>
      </w:pPr>
      <w:r>
        <w:t xml:space="preserve">4 Modelado del sistema</w:t>
      </w:r>
    </w:p>
    <w:p>
      <w:pPr>
        <w:pStyle w:val="FirstParagraph"/>
      </w:pPr>
      <w:r>
        <w:t xml:space="preserve">Este capítulo reúne los modelos que complementan los requisitos: casos de uso, procesos, máquinas de estado, datos, estructura modular y trazabilidad. La asignación de tareas a carriles y las entidades auxiliares son</w:t>
      </w:r>
      <w:r>
        <w:t xml:space="preserve"> </w:t>
      </w:r>
      <w:r>
        <w:rPr>
          <w:bCs/>
          <w:b/>
        </w:rPr>
        <w:t xml:space="preserve">[PROPUESTA]</w:t>
      </w:r>
      <w:r>
        <w:t xml:space="preserve"> </w:t>
      </w:r>
      <w:r>
        <w:t xml:space="preserve">del equipo.</w:t>
      </w:r>
    </w:p>
    <w:bookmarkStart w:id="101" w:name="Xdb2a7b05186b89dd775494163f96bddb70f32c0"/>
    <w:p>
      <w:pPr>
        <w:pStyle w:val="Heading2"/>
      </w:pPr>
      <w:r>
        <w:t xml:space="preserve">4.1 Modelo de casos de uso</w:t>
      </w:r>
    </w:p>
    <w:p>
      <w:pPr>
        <w:pStyle w:val="FirstParagraph"/>
        <w:jc w:val="center"/>
      </w:pPr>
      <w:r>
        <w:drawing>
          <wp:inline>
            <wp:extent cx="2671393" cy="7200000"/>
            <wp:effectExtent b="0" l="0" r="0" t="0"/>
            <wp:docPr descr="" title="" id="93" name="Picture"/>
            <a:graphic>
              <a:graphicData uri="http://schemas.openxmlformats.org/drawingml/2006/picture">
                <pic:pic>
                  <pic:nvPicPr>
                    <pic:cNvPr descr="/tmp/claude-0/-home-claude/eebdd6ec-6534-54e0-875b-f2e2895ea31f/scratchpad/ers/mmd/d03.png" id="94" name="Picture"/>
                    <pic:cNvPicPr>
                      <a:picLocks noChangeArrowheads="1" noChangeAspect="1"/>
                    </pic:cNvPicPr>
                  </pic:nvPicPr>
                  <pic:blipFill>
                    <a:blip r:embed="rId92"/>
                    <a:stretch>
                      <a:fillRect/>
                    </a:stretch>
                  </pic:blipFill>
                  <pic:spPr bwMode="auto">
                    <a:xfrm>
                      <a:off x="0" y="0"/>
                      <a:ext cx="2671393" cy="7200000"/>
                    </a:xfrm>
                    <a:prstGeom prst="rect">
                      <a:avLst/>
                    </a:prstGeom>
                    <a:noFill/>
                    <a:ln w="9525">
                      <a:noFill/>
                      <a:headEnd/>
                      <a:tailEnd/>
                    </a:ln>
                  </pic:spPr>
                </pic:pic>
              </a:graphicData>
            </a:graphic>
          </wp:inline>
        </w:drawing>
      </w:r>
    </w:p>
    <w:p>
      <w:pPr>
        <w:pStyle w:val="BodyText"/>
        <w:jc w:val="center"/>
      </w:pPr>
      <w:r>
        <w:rPr>
          <w:iCs/>
          <w:i/>
          <w:sz w:val="18"/>
        </w:rPr>
        <w:t xml:space="preserve">Figura 3a. Casos de uso de administración y autoridades de la Liga.</w:t>
      </w:r>
    </w:p>
    <w:p>
      <w:pPr>
        <w:pStyle w:val="BodyText"/>
        <w:jc w:val="center"/>
      </w:pPr>
      <w:r>
        <w:drawing>
          <wp:inline>
            <wp:extent cx="3615638" cy="7200000"/>
            <wp:effectExtent b="0" l="0" r="0" t="0"/>
            <wp:docPr descr="" title="" id="96" name="Picture"/>
            <a:graphic>
              <a:graphicData uri="http://schemas.openxmlformats.org/drawingml/2006/picture">
                <pic:pic>
                  <pic:nvPicPr>
                    <pic:cNvPr descr="/tmp/claude-0/-home-claude/eebdd6ec-6534-54e0-875b-f2e2895ea31f/scratchpad/ers/mmd/d04.png" id="97" name="Picture"/>
                    <pic:cNvPicPr>
                      <a:picLocks noChangeArrowheads="1" noChangeAspect="1"/>
                    </pic:cNvPicPr>
                  </pic:nvPicPr>
                  <pic:blipFill>
                    <a:blip r:embed="rId95"/>
                    <a:stretch>
                      <a:fillRect/>
                    </a:stretch>
                  </pic:blipFill>
                  <pic:spPr bwMode="auto">
                    <a:xfrm>
                      <a:off x="0" y="0"/>
                      <a:ext cx="3615638" cy="7200000"/>
                    </a:xfrm>
                    <a:prstGeom prst="rect">
                      <a:avLst/>
                    </a:prstGeom>
                    <a:noFill/>
                    <a:ln w="9525">
                      <a:noFill/>
                      <a:headEnd/>
                      <a:tailEnd/>
                    </a:ln>
                  </pic:spPr>
                </pic:pic>
              </a:graphicData>
            </a:graphic>
          </wp:inline>
        </w:drawing>
      </w:r>
    </w:p>
    <w:p>
      <w:pPr>
        <w:pStyle w:val="BodyText"/>
        <w:jc w:val="center"/>
      </w:pPr>
      <w:r>
        <w:rPr>
          <w:iCs/>
          <w:i/>
          <w:sz w:val="18"/>
        </w:rPr>
        <w:t xml:space="preserve">Figura 3b. Casos de uso de la operación deportiva.</w:t>
      </w:r>
    </w:p>
    <w:p>
      <w:pPr>
        <w:pStyle w:val="BodyText"/>
        <w:jc w:val="center"/>
      </w:pPr>
      <w:r>
        <w:drawing>
          <wp:inline>
            <wp:extent cx="3579310" cy="7200000"/>
            <wp:effectExtent b="0" l="0" r="0" t="0"/>
            <wp:docPr descr="" title="" id="99" name="Picture"/>
            <a:graphic>
              <a:graphicData uri="http://schemas.openxmlformats.org/drawingml/2006/picture">
                <pic:pic>
                  <pic:nvPicPr>
                    <pic:cNvPr descr="/tmp/claude-0/-home-claude/eebdd6ec-6534-54e0-875b-f2e2895ea31f/scratchpad/ers/mmd/d05.png" id="100" name="Picture"/>
                    <pic:cNvPicPr>
                      <a:picLocks noChangeArrowheads="1" noChangeAspect="1"/>
                    </pic:cNvPicPr>
                  </pic:nvPicPr>
                  <pic:blipFill>
                    <a:blip r:embed="rId98"/>
                    <a:stretch>
                      <a:fillRect/>
                    </a:stretch>
                  </pic:blipFill>
                  <pic:spPr bwMode="auto">
                    <a:xfrm>
                      <a:off x="0" y="0"/>
                      <a:ext cx="3579310" cy="7200000"/>
                    </a:xfrm>
                    <a:prstGeom prst="rect">
                      <a:avLst/>
                    </a:prstGeom>
                    <a:noFill/>
                    <a:ln w="9525">
                      <a:noFill/>
                      <a:headEnd/>
                      <a:tailEnd/>
                    </a:ln>
                  </pic:spPr>
                </pic:pic>
              </a:graphicData>
            </a:graphic>
          </wp:inline>
        </w:drawing>
      </w:r>
    </w:p>
    <w:p>
      <w:pPr>
        <w:pStyle w:val="BodyText"/>
        <w:jc w:val="center"/>
      </w:pPr>
      <w:r>
        <w:rPr>
          <w:iCs/>
          <w:i/>
          <w:sz w:val="18"/>
        </w:rPr>
        <w:t xml:space="preserve">Figura 3c. Casos de uso de los clubes, jugadores y público.</w:t>
      </w:r>
    </w:p>
    <w:tbl>
      <w:tblPr>
        <w:tblStyle w:val="Table"/>
        <w:jc w:val="center"/>
        <w:tblLook w:firstRow="1" w:lastRow="0" w:firstColumn="0" w:lastColumn="0" w:noHBand="0" w:noVBand="0" w:val="0020"/>
        <w:tblW w:w="9405" w:type="dxa"/>
        <w:tblLayout w:type="fixed"/>
      </w:tblPr>
      <w:tblGrid>
        <w:gridCol w:w="1343"/>
        <w:gridCol w:w="1437"/>
        <w:gridCol w:w="1624"/>
        <w:gridCol w:w="1530"/>
        <w:gridCol w:w="1530"/>
        <w:gridCol w:w="1101"/>
        <w:gridCol w:w="837"/>
      </w:tblGrid>
      <w:tr>
        <w:trPr>
          <w:tblHeader w:val="true"/>
          <w:tblHeader/>
        </w:trPr>
        <w:tc>
          <w:tcPr>
            <w:tcW w:type="dxa" w:w="13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Caso de uso</w:t>
            </w:r>
          </w:p>
        </w:tc>
        <w:tc>
          <w:tcPr>
            <w:tcW w:type="dxa" w:w="1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Actores</w:t>
            </w:r>
          </w:p>
        </w:tc>
        <w:tc>
          <w:tcPr>
            <w:tcW w:type="dxa" w:w="16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Objetivo y precondiciones</w:t>
            </w:r>
          </w:p>
        </w:tc>
        <w:tc>
          <w:tcPr>
            <w:tcW w:type="dxa" w:w="15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Flujo principal</w:t>
            </w:r>
          </w:p>
        </w:tc>
        <w:tc>
          <w:tcPr>
            <w:tcW w:type="dxa" w:w="15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Alternativas y excepciones</w:t>
            </w:r>
          </w:p>
        </w:tc>
        <w:tc>
          <w:tcPr>
            <w:tcW w:type="dxa" w:w="11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Requisitos</w:t>
            </w:r>
          </w:p>
        </w:tc>
        <w:tc>
          <w:tcPr>
            <w:tcW w:type="dxa" w:w="8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CU-001 Registrar temporada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secundario: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y configurar un periodo deportivo. Usuario autorizado.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temporada → asociar convocatoria → configurar parámetros → activar.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Otra temporada activa → no se activa (RN-058). Datos incompletos.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RF-003, RF-006, RF-100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CU-002 Configurar categorías y grupos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Definir la estructura deportiva. Temporada en configuración.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categorías del catálogo → confirmar jerarquía → crear grupos.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sin superior inmediata → se registra como tope de su rama.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RF-004, RF-005, RF-099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CU-003 Registrar club y equipos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un club y sus equipos.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club → registrar directiva → registrar equipos por categoría y grupo.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nombre → club nuevo (RN-041).</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RF-009, RF-102, RF-105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CU-004 Registrar jugador</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Inscribir a una persona en un equipo. Club afiliado en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CURP → validar unicidad → datos y documentos según categoría → consentimiento (tutor si es menor) → enviar a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con registro activo → rechazo (VAL-017). Menor sin tutor → no se completa (VAL-025). Renovación o transferencia entre temporadas.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RF-010 a RF-017, RF-097, RF-106 a RF-108, RF-111</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CU-005 Registrar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una cancha y su disponibilidad.</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cancha → propietario y ubicación → disponibilidad → bloqueos.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de club → horarios por categoría (RF-119).</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 a RF-032, RF-119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CU-006 Programar jornada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o ajustar los partidos sin conflictos duros. Equipos y canchas registrados.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jornada → registrar partidos (equipos, fecha, hora, cancha) → validar conflictos y localía → enviar a aprobación.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Conflicto duro → rechazo explicado. Advertencia de localía → aceptar con motivo. Reprogramación con motivo.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 RF-036, RF-039, RF-040, RF-120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CU-007 Aprobar y publicar programación</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Autorizar la jornada antes de hacerla pública. Jornada en revisión.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 aprobar → publicar → generar cobros de la jornada.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 → Borrador.</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RF-121, RF-090, RF-056, RF-082, RF-136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CU-008 Registrar resultado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Oficializar el resultado de un partido. Cédula aprobada.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resultado oficial → recalcular tabla → publicar → abrir expedientes.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Resolución disciplinaria posterior → recalcular (RF-052).</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RF-047, RF-048, RF-052, RF-055, RF-056, RF-125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CU-009 Calcular tabla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posiciones con los parámetros de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Recuperar resultados oficiales → estadísticas → puntos → desempates → posiciones.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Empate total → sorteo registrado por el Presidente.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RF-049 a RF-051, RF-053, RF-055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CU-010 Capturar cédula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cédula del partido. Partido en curso o terminado.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partido → alineaciones (con validación de elegibilidad) → marcador, goles, tarjetas, sustituciones, incidencias y observaciones → enviar a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presentación → marcador por default (RF-126). Campos incompletos → no se envía (VAL-020).</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 RF-020, RF-025, RF-026, RF-110, RF-122, RF-126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CU-011 Resolver expediente</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un expediente con base en el reglamento. Expediente abierto.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incidencias → seleccionar artículo → definir sanción y vigencia → resolver.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no identificado → en revisión (VAL-012). Baja automática o retroactiva.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RF-065, RF-130 a RF-133</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CU-012 Publicar castigados y sanciones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Difundir las sanciones autorizadas.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sanciones → publicar.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RF-066, RF-068, RF-087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CU-013 Resolver recurso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una resolución en segunda instancia. Expediente resuelto.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Interponer recurso → En recurso → Presidente resuelve → cierre.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 fuera de plazo [PENDIENTE] (PEN-041).</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CU-014 Ascenso y descenso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Proponer y validar ascensos y descensos al cierre.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Cargar reglas → posiciones finales → elegibilidad → propuesta →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no elegible → se excluye con motivo (RN-052).</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 a RF-075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CU-015 Fase final</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y llevar la liguilla.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fase → clasificar → llaves → programar partidos → registrar avances → campeón.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Empate → penales en la cédula.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RF-076 a RF-081</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CU-016 Consultar portal</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información publicada.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Elegir sección → filtrar → consultar.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 a RF-089, RF-145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CU-017 Validar cédula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 Cédula pendiente de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 aprobar → el resultado se oficializa (CU-008).</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 → En captura. Plazo vencido → aprueba la Comisión (RF-124).</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RF-123, RF-124, RF-127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CU-018 Afiliar club</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tarjetón de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tarjetón → folio → revisión del Secretario → aprobación del Presidente.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Rechazo con observaciones.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RF-101, RF-102</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CU-019 Registrar y validar árbitros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los árbitros que presenta un club.</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árbitro (CURP) → validar → catálogo.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 incompleta → aviso (RF-114).</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 RF-022, RF-112 a RF-114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CU-020 Designar árbitros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Asignar árbitros a los partidos de la jornada. Jornada registrada.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partido → elegir árbitro disponible → designar.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de un club participante → rechazo (VAL-019).</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 RF-024, RF-115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CU-021 Validar identidad</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documentos y unicidad de un registro. Registro pendiente.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documentos → aprobar o rechazar con observaciones.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RF-107 a RF-109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CU-022 Gestionar permisos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Ajustar los permisos de los roles.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Editar permisos de un rol → guardar con motivo.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propio → denegado. Par incompatible → pendiente de aprobación del Presidente.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RF-094 a RF-096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CU-023 Cobrar y pagar</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cobros y registrar su pago.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cobro (o automático por jornada) → el club consulta adeudos → paga (simulado) o el Tesorero registra el pago.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 vencido → no se paga en línea (VAL-028); alimenta la baja por falta de pago.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 a RF-141, RF-133</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CU-024 Préstamo o comodato de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el uso de una cancha (Formato 1).</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solicitud → carta con oficio → aprobación o rechazo.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RF-117, RF-118</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CU-025 Oferta de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oferta de una cancha (Formato 2).</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oferta → negociación → aceptar o rechazar → alta de la cancha y horarios.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Oferente externo → captura el Secretario.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 RF-118, RF-119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CU-026 Venta de equipo y plaza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cambio de propietario y la plaza.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venta → registrar plaza → autorizar → aplicar al cierre de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RF-103, RF-104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CU-027 Publicar comunicado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Difundir un comunicado oficial.</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Redactar → enviar a revisión → aprobar → publicar.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RF-086, RF-090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CU-028 Consultar información propia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su registro, partidos y sanciones. Cuenta activa.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Iniciar sesión → consultar.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Menor → lo consulta el tutor.</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RF-144, RF-097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CU-029 Generar reportes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Obtener y exportar reportes.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Elegir reporte → filtros → generar → exportar.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 RF-092, RF-134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101"/>
    <w:bookmarkStart w:id="142" w:name="Xb0d02a5d4d9e491e4a15bbbf688f0e3a279e11a"/>
    <w:p>
      <w:pPr>
        <w:pStyle w:val="Heading2"/>
      </w:pPr>
      <w:r>
        <w:t xml:space="preserve">4.2 Modelo de procesos</w:t>
      </w:r>
    </w:p>
    <w:p>
      <w:pPr>
        <w:pStyle w:val="FirstParagraph"/>
      </w:pPr>
      <w:r>
        <w:t xml:space="preserve">Los procesos se resumen con diagramas de flujo por carril (un subgrupo por participante). La notación BPMN 2.0 completa (R7) se desarrolla en el documento de BPMN, que debe actualizarse a esta revisión (versión 2.0). Inicio y fin se representan con círculos, decisiones con rombos.</w:t>
      </w:r>
    </w:p>
    <w:bookmarkStart w:id="105" w:name="X09c78c40d1e3af03570e085b684a4b80c1b54e4"/>
    <w:p>
      <w:pPr>
        <w:pStyle w:val="Heading3"/>
      </w:pPr>
      <w:r>
        <w:t xml:space="preserve">4.2.1 P-01 Configuración de temporada</w:t>
      </w:r>
    </w:p>
    <w:tbl>
      <w:tblPr>
        <w:tblStyle w:val="Table"/>
        <w:jc w:val="center"/>
        <w:tblLook w:firstRow="1" w:lastRow="0" w:firstColumn="0" w:lastColumn="0" w:noHBand="0" w:noVBand="0" w:val="0020"/>
        <w:tblW w:w="9405" w:type="dxa"/>
        <w:tblLayout w:type="fixed"/>
      </w:tblPr>
      <w:tblGrid>
        <w:gridCol w:w="2200"/>
        <w:gridCol w:w="7204"/>
      </w:tblGrid>
      <w:tr>
        <w:trPr>
          <w:tblHeader w:val="true"/>
          <w:tblHeader/>
        </w:trPr>
        <w:tc>
          <w:tcPr>
            <w:tcW w:type="dxa" w:w="22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20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Preparar el marco deportivo y normativo de una temporada.</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Entradas</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 categorías, grupos, parámetros deportivos, tarifas.</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configurada, versionada y activa.</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RF-007, RF-099, RF-100, RF-135; CU-001, CU-002</w:t>
            </w:r>
          </w:p>
        </w:tc>
      </w:tr>
    </w:tbl>
    <w:p>
      <w:pPr>
        <w:pStyle w:val="BodyText"/>
        <w:jc w:val="center"/>
      </w:pPr>
      <w:r>
        <w:drawing>
          <wp:inline>
            <wp:extent cx="5334000" cy="938892"/>
            <wp:effectExtent b="0" l="0" r="0" t="0"/>
            <wp:docPr descr="" title="" id="103" name="Picture"/>
            <a:graphic>
              <a:graphicData uri="http://schemas.openxmlformats.org/drawingml/2006/picture">
                <pic:pic>
                  <pic:nvPicPr>
                    <pic:cNvPr descr="/tmp/claude-0/-home-claude/eebdd6ec-6534-54e0-875b-f2e2895ea31f/scratchpad/ers/mmd/d06.png" id="104" name="Picture"/>
                    <pic:cNvPicPr>
                      <a:picLocks noChangeArrowheads="1" noChangeAspect="1"/>
                    </pic:cNvPicPr>
                  </pic:nvPicPr>
                  <pic:blipFill>
                    <a:blip r:embed="rId102"/>
                    <a:stretch>
                      <a:fillRect/>
                    </a:stretch>
                  </pic:blipFill>
                  <pic:spPr bwMode="auto">
                    <a:xfrm>
                      <a:off x="0" y="0"/>
                      <a:ext cx="5334000" cy="938892"/>
                    </a:xfrm>
                    <a:prstGeom prst="rect">
                      <a:avLst/>
                    </a:prstGeom>
                    <a:noFill/>
                    <a:ln w="9525">
                      <a:noFill/>
                      <a:headEnd/>
                      <a:tailEnd/>
                    </a:ln>
                  </pic:spPr>
                </pic:pic>
              </a:graphicData>
            </a:graphic>
          </wp:inline>
        </w:drawing>
      </w:r>
    </w:p>
    <w:bookmarkEnd w:id="105"/>
    <w:bookmarkStart w:id="109" w:name="Xd36b1f0c8333b03b3e6dc7ab4ad7043c2ce59a3"/>
    <w:p>
      <w:pPr>
        <w:pStyle w:val="Heading3"/>
      </w:pPr>
      <w:r>
        <w:t xml:space="preserve">4.2.2 P-02 Afiliación y registro de jugadores</w:t>
      </w:r>
    </w:p>
    <w:tbl>
      <w:tblPr>
        <w:tblStyle w:val="Table"/>
        <w:jc w:val="center"/>
        <w:tblLook w:firstRow="1" w:lastRow="0" w:firstColumn="0" w:lastColumn="0" w:noHBand="0" w:noVBand="0" w:val="0020"/>
        <w:tblW w:w="9405" w:type="dxa"/>
        <w:tblLayout w:type="fixed"/>
      </w:tblPr>
      <w:tblGrid>
        <w:gridCol w:w="1981"/>
        <w:gridCol w:w="7423"/>
      </w:tblGrid>
      <w:tr>
        <w:trPr>
          <w:tblHeader w:val="true"/>
          <w:tblHeader/>
        </w:trPr>
        <w:tc>
          <w:tcPr>
            <w:tcW w:type="dxa" w:w="19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4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Afiliar al club en la temporada y registrar a sus jugadores con identidad validada.</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Entradas</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Tarjetón, directiva, equipos, CURP, documentos, consentimiento.</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afiliado; registros activos o rechazados con causa.</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a RF-017, RF-097, RF-101, RF-102, RF-106 a RF-109; CU-003, CU-004, CU-018, CU-021</w:t>
            </w:r>
          </w:p>
        </w:tc>
      </w:tr>
    </w:tbl>
    <w:p>
      <w:pPr>
        <w:pStyle w:val="BodyText"/>
        <w:jc w:val="center"/>
      </w:pPr>
      <w:r>
        <w:drawing>
          <wp:inline>
            <wp:extent cx="5334000" cy="1408339"/>
            <wp:effectExtent b="0" l="0" r="0" t="0"/>
            <wp:docPr descr="" title="" id="107" name="Picture"/>
            <a:graphic>
              <a:graphicData uri="http://schemas.openxmlformats.org/drawingml/2006/picture">
                <pic:pic>
                  <pic:nvPicPr>
                    <pic:cNvPr descr="/tmp/claude-0/-home-claude/eebdd6ec-6534-54e0-875b-f2e2895ea31f/scratchpad/ers/mmd/d07.png" id="108" name="Picture"/>
                    <pic:cNvPicPr>
                      <a:picLocks noChangeArrowheads="1" noChangeAspect="1"/>
                    </pic:cNvPicPr>
                  </pic:nvPicPr>
                  <pic:blipFill>
                    <a:blip r:embed="rId106"/>
                    <a:stretch>
                      <a:fillRect/>
                    </a:stretch>
                  </pic:blipFill>
                  <pic:spPr bwMode="auto">
                    <a:xfrm>
                      <a:off x="0" y="0"/>
                      <a:ext cx="5334000" cy="1408339"/>
                    </a:xfrm>
                    <a:prstGeom prst="rect">
                      <a:avLst/>
                    </a:prstGeom>
                    <a:noFill/>
                    <a:ln w="9525">
                      <a:noFill/>
                      <a:headEnd/>
                      <a:tailEnd/>
                    </a:ln>
                  </pic:spPr>
                </pic:pic>
              </a:graphicData>
            </a:graphic>
          </wp:inline>
        </w:drawing>
      </w:r>
    </w:p>
    <w:bookmarkEnd w:id="109"/>
    <w:bookmarkStart w:id="113" w:name="Xbbc6f7154a40b8a2722c0b84bb5d2b5f6103398"/>
    <w:p>
      <w:pPr>
        <w:pStyle w:val="Heading3"/>
      </w:pPr>
      <w:r>
        <w:t xml:space="preserve">4.2.3 P-03 Programación manual, designación y publicación</w:t>
      </w:r>
    </w:p>
    <w:tbl>
      <w:tblPr>
        <w:tblStyle w:val="Table"/>
        <w:jc w:val="center"/>
        <w:tblLook w:firstRow="1" w:lastRow="0" w:firstColumn="0" w:lastColumn="0" w:noHBand="0" w:noVBand="0" w:val="0020"/>
        <w:tblW w:w="9405" w:type="dxa"/>
        <w:tblLayout w:type="fixed"/>
      </w:tblPr>
      <w:tblGrid>
        <w:gridCol w:w="2504"/>
        <w:gridCol w:w="6901"/>
      </w:tblGrid>
      <w:tr>
        <w:trPr>
          <w:tblHeader w:val="true"/>
          <w:tblHeader/>
        </w:trPr>
        <w:tc>
          <w:tcPr>
            <w:tcW w:type="dxa" w:w="25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9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jornada sin conflictos duros, designar árbitros, aprobarla y publicarla.</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duras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duplicado, cancha ocupada, cancha no disponible, equipo con baja o sanción, árbitro de un club participante.</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blandas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 y canchas externas en las últimas diez fechas (advertencia).</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 RF-033, RF-036, RF-039, RF-040, RF-115, RF-120, RF-121, RF-136; CU-006, CU-007, CU-020</w:t>
            </w:r>
          </w:p>
        </w:tc>
      </w:tr>
    </w:tbl>
    <w:p>
      <w:pPr>
        <w:pStyle w:val="BodyText"/>
        <w:jc w:val="center"/>
      </w:pPr>
      <w:r>
        <w:drawing>
          <wp:inline>
            <wp:extent cx="5334000" cy="1279071"/>
            <wp:effectExtent b="0" l="0" r="0" t="0"/>
            <wp:docPr descr="" title="" id="111" name="Picture"/>
            <a:graphic>
              <a:graphicData uri="http://schemas.openxmlformats.org/drawingml/2006/picture">
                <pic:pic>
                  <pic:nvPicPr>
                    <pic:cNvPr descr="/tmp/claude-0/-home-claude/eebdd6ec-6534-54e0-875b-f2e2895ea31f/scratchpad/ers/mmd/d08.png" id="112" name="Picture"/>
                    <pic:cNvPicPr>
                      <a:picLocks noChangeArrowheads="1" noChangeAspect="1"/>
                    </pic:cNvPicPr>
                  </pic:nvPicPr>
                  <pic:blipFill>
                    <a:blip r:embed="rId110"/>
                    <a:stretch>
                      <a:fillRect/>
                    </a:stretch>
                  </pic:blipFill>
                  <pic:spPr bwMode="auto">
                    <a:xfrm>
                      <a:off x="0" y="0"/>
                      <a:ext cx="5334000" cy="1279071"/>
                    </a:xfrm>
                    <a:prstGeom prst="rect">
                      <a:avLst/>
                    </a:prstGeom>
                    <a:noFill/>
                    <a:ln w="9525">
                      <a:noFill/>
                      <a:headEnd/>
                      <a:tailEnd/>
                    </a:ln>
                  </pic:spPr>
                </pic:pic>
              </a:graphicData>
            </a:graphic>
          </wp:inline>
        </w:drawing>
      </w:r>
    </w:p>
    <w:bookmarkEnd w:id="113"/>
    <w:bookmarkStart w:id="114" w:name="X7d87d3b46aeb36827b83ed7d370fd29c9c087ec"/>
    <w:p>
      <w:pPr>
        <w:pStyle w:val="Heading3"/>
      </w:pPr>
      <w:r>
        <w:t xml:space="preserve">4.2.4 P-04 Ciclo de vida del partido</w:t>
      </w:r>
    </w:p>
    <w:p>
      <w:pPr>
        <w:pStyle w:val="FirstParagraph"/>
      </w:pPr>
      <w:r>
        <w:t xml:space="preserve">Se modela como máquina de estados en 4.3.1. Reglas: no se eliminan partidos con historial (RN-020); toda transición registra usuario, fecha y motivo (RN-021); el estado controla las acciones permitidas (RN-019). Requisitos: RF-043 a RF-046, RF-127.</w:t>
      </w:r>
    </w:p>
    <w:bookmarkEnd w:id="114"/>
    <w:bookmarkStart w:id="118" w:name="Xd9ed3a369c24d242d98c2430ecd1ff0610d3f72"/>
    <w:p>
      <w:pPr>
        <w:pStyle w:val="Heading3"/>
      </w:pPr>
      <w:r>
        <w:t xml:space="preserve">4.2.5 P-05 Cédula, resultado oficial y tabla</w:t>
      </w:r>
    </w:p>
    <w:tbl>
      <w:tblPr>
        <w:tblStyle w:val="Table"/>
        <w:jc w:val="center"/>
        <w:tblLook w:firstRow="1" w:lastRow="0" w:firstColumn="0" w:lastColumn="0" w:noHBand="0" w:noVBand="0" w:val="0020"/>
        <w:tblW w:w="9405" w:type="dxa"/>
        <w:tblLayout w:type="fixed"/>
      </w:tblPr>
      <w:tblGrid>
        <w:gridCol w:w="2032"/>
        <w:gridCol w:w="7372"/>
      </w:tblGrid>
      <w:tr>
        <w:trPr>
          <w:tblHeader w:val="true"/>
          <w:tblHeader/>
        </w:trPr>
        <w:tc>
          <w:tcPr>
            <w:tcW w:type="dxa" w:w="20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3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la cédula, validarla y oficializar el resultado.</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 oficial publicado, tabla actualizada y expedientes abiertos.</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 RF-025, RF-026, RF-047 a RF-056, RF-110, RF-122 a RF-127; CU-008 a CU-010, CU-017</w:t>
            </w:r>
          </w:p>
        </w:tc>
      </w:tr>
    </w:tbl>
    <w:p>
      <w:pPr>
        <w:pStyle w:val="BodyText"/>
        <w:jc w:val="center"/>
      </w:pPr>
      <w:r>
        <w:drawing>
          <wp:inline>
            <wp:extent cx="5334000" cy="1040946"/>
            <wp:effectExtent b="0" l="0" r="0" t="0"/>
            <wp:docPr descr="" title="" id="116" name="Picture"/>
            <a:graphic>
              <a:graphicData uri="http://schemas.openxmlformats.org/drawingml/2006/picture">
                <pic:pic>
                  <pic:nvPicPr>
                    <pic:cNvPr descr="/tmp/claude-0/-home-claude/eebdd6ec-6534-54e0-875b-f2e2895ea31f/scratchpad/ers/mmd/d09.png" id="117" name="Picture"/>
                    <pic:cNvPicPr>
                      <a:picLocks noChangeArrowheads="1" noChangeAspect="1"/>
                    </pic:cNvPicPr>
                  </pic:nvPicPr>
                  <pic:blipFill>
                    <a:blip r:embed="rId115"/>
                    <a:stretch>
                      <a:fillRect/>
                    </a:stretch>
                  </pic:blipFill>
                  <pic:spPr bwMode="auto">
                    <a:xfrm>
                      <a:off x="0" y="0"/>
                      <a:ext cx="5334000" cy="1040946"/>
                    </a:xfrm>
                    <a:prstGeom prst="rect">
                      <a:avLst/>
                    </a:prstGeom>
                    <a:noFill/>
                    <a:ln w="9525">
                      <a:noFill/>
                      <a:headEnd/>
                      <a:tailEnd/>
                    </a:ln>
                  </pic:spPr>
                </pic:pic>
              </a:graphicData>
            </a:graphic>
          </wp:inline>
        </w:drawing>
      </w:r>
    </w:p>
    <w:bookmarkEnd w:id="118"/>
    <w:bookmarkStart w:id="122" w:name="Xc14a021ccb2aeb866071c0cc2f9b07061184bca"/>
    <w:p>
      <w:pPr>
        <w:pStyle w:val="Heading3"/>
      </w:pPr>
      <w:r>
        <w:t xml:space="preserve">4.2.6 P-06 Expediente, resolución y sanción</w:t>
      </w:r>
    </w:p>
    <w:tbl>
      <w:tblPr>
        <w:tblStyle w:val="Table"/>
        <w:jc w:val="center"/>
        <w:tblLook w:firstRow="1" w:lastRow="0" w:firstColumn="0" w:lastColumn="0" w:noHBand="0" w:noVBand="0" w:val="0020"/>
        <w:tblW w:w="9405" w:type="dxa"/>
        <w:tblLayout w:type="fixed"/>
      </w:tblPr>
      <w:tblGrid>
        <w:gridCol w:w="2249"/>
        <w:gridCol w:w="7156"/>
      </w:tblGrid>
      <w:tr>
        <w:trPr>
          <w:tblHeader w:val="true"/>
          <w:tblHeader/>
        </w:trPr>
        <w:tc>
          <w:tcPr>
            <w:tcW w:type="dxa" w:w="22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Convertir las incidencias en una resolución trazable conforme al reglamento.</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Separación de funciones</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captura (Capturista) y la validación (Árbitro) están separadas de la resolución (Comisión Disciplinaria) y del recurso (Presidente).</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RF-068, RF-130 a RF-133; CU-011 a CU-013</w:t>
            </w:r>
          </w:p>
        </w:tc>
      </w:tr>
    </w:tbl>
    <w:p>
      <w:pPr>
        <w:pStyle w:val="BodyText"/>
        <w:jc w:val="center"/>
      </w:pPr>
      <w:r>
        <w:drawing>
          <wp:inline>
            <wp:extent cx="5334000" cy="1177017"/>
            <wp:effectExtent b="0" l="0" r="0" t="0"/>
            <wp:docPr descr="" title="" id="120" name="Picture"/>
            <a:graphic>
              <a:graphicData uri="http://schemas.openxmlformats.org/drawingml/2006/picture">
                <pic:pic>
                  <pic:nvPicPr>
                    <pic:cNvPr descr="/tmp/claude-0/-home-claude/eebdd6ec-6534-54e0-875b-f2e2895ea31f/scratchpad/ers/mmd/d10.png" id="121" name="Picture"/>
                    <pic:cNvPicPr>
                      <a:picLocks noChangeArrowheads="1" noChangeAspect="1"/>
                    </pic:cNvPicPr>
                  </pic:nvPicPr>
                  <pic:blipFill>
                    <a:blip r:embed="rId119"/>
                    <a:stretch>
                      <a:fillRect/>
                    </a:stretch>
                  </pic:blipFill>
                  <pic:spPr bwMode="auto">
                    <a:xfrm>
                      <a:off x="0" y="0"/>
                      <a:ext cx="5334000" cy="1177017"/>
                    </a:xfrm>
                    <a:prstGeom prst="rect">
                      <a:avLst/>
                    </a:prstGeom>
                    <a:noFill/>
                    <a:ln w="9525">
                      <a:noFill/>
                      <a:headEnd/>
                      <a:tailEnd/>
                    </a:ln>
                  </pic:spPr>
                </pic:pic>
              </a:graphicData>
            </a:graphic>
          </wp:inline>
        </w:drawing>
      </w:r>
    </w:p>
    <w:bookmarkEnd w:id="122"/>
    <w:bookmarkStart w:id="126" w:name="X347af95935da069474a675ef02896a403830454"/>
    <w:p>
      <w:pPr>
        <w:pStyle w:val="Heading3"/>
      </w:pPr>
      <w:r>
        <w:t xml:space="preserve">4.2.7 P-07 Ascenso, descenso y clasificación</w:t>
      </w:r>
    </w:p>
    <w:p>
      <w:pPr>
        <w:pStyle w:val="FirstParagraph"/>
      </w:pPr>
      <w:r>
        <w:t xml:space="preserve">Al cierre de la fase regular el sistema carga la versión de reglas, determina posiciones, excluye a los equipos no elegibles (RN-052), genera la propuesta y la somete a validación del Presidente. Requisitos: RF-069 a RF-075; CU-014.</w:t>
      </w:r>
    </w:p>
    <w:p>
      <w:pPr>
        <w:pStyle w:val="BodyText"/>
        <w:jc w:val="center"/>
      </w:pPr>
      <w:r>
        <w:drawing>
          <wp:inline>
            <wp:extent cx="5334000" cy="816428"/>
            <wp:effectExtent b="0" l="0" r="0" t="0"/>
            <wp:docPr descr="" title="" id="124" name="Picture"/>
            <a:graphic>
              <a:graphicData uri="http://schemas.openxmlformats.org/drawingml/2006/picture">
                <pic:pic>
                  <pic:nvPicPr>
                    <pic:cNvPr descr="/tmp/claude-0/-home-claude/eebdd6ec-6534-54e0-875b-f2e2895ea31f/scratchpad/ers/mmd/d11.png" id="125" name="Picture"/>
                    <pic:cNvPicPr>
                      <a:picLocks noChangeArrowheads="1" noChangeAspect="1"/>
                    </pic:cNvPicPr>
                  </pic:nvPicPr>
                  <pic:blipFill>
                    <a:blip r:embed="rId123"/>
                    <a:stretch>
                      <a:fillRect/>
                    </a:stretch>
                  </pic:blipFill>
                  <pic:spPr bwMode="auto">
                    <a:xfrm>
                      <a:off x="0" y="0"/>
                      <a:ext cx="5334000" cy="816428"/>
                    </a:xfrm>
                    <a:prstGeom prst="rect">
                      <a:avLst/>
                    </a:prstGeom>
                    <a:noFill/>
                    <a:ln w="9525">
                      <a:noFill/>
                      <a:headEnd/>
                      <a:tailEnd/>
                    </a:ln>
                  </pic:spPr>
                </pic:pic>
              </a:graphicData>
            </a:graphic>
          </wp:inline>
        </w:drawing>
      </w:r>
    </w:p>
    <w:bookmarkEnd w:id="126"/>
    <w:bookmarkStart w:id="127" w:name="Xcd85c4d72588d4195228e201b567c09866a2d83"/>
    <w:p>
      <w:pPr>
        <w:pStyle w:val="Heading3"/>
      </w:pPr>
      <w:r>
        <w:t xml:space="preserve">4.2.8 P-08 Liguilla y fases finales</w:t>
      </w:r>
    </w:p>
    <w:p>
      <w:pPr>
        <w:pStyle w:val="FirstParagraph"/>
      </w:pPr>
      <w:r>
        <w:t xml:space="preserve">El programador configura la fase con los parámetros de la temporada; el sistema clasifica y genera las llaves; los partidos se programan manualmente (P-03) y se juegan con cédula (P-05); los empates se resuelven por penales registrados en la cédula; se registran avances, eliminaciones, campeón y subcampeón. Requisitos: RF-076 a RF-081; CU-015.</w:t>
      </w:r>
    </w:p>
    <w:bookmarkEnd w:id="127"/>
    <w:bookmarkStart w:id="128" w:name="X433890a78d93d112dac0fd2944d420bd0e2e224"/>
    <w:p>
      <w:pPr>
        <w:pStyle w:val="Heading3"/>
      </w:pPr>
      <w:r>
        <w:t xml:space="preserve">4.2.9 P-09 Publicación del portal</w:t>
      </w:r>
    </w:p>
    <w:p>
      <w:pPr>
        <w:pStyle w:val="FirstParagraph"/>
      </w:pPr>
      <w:r>
        <w:t xml:space="preserve">La programación y los comunicados siguen el flujo Borrador → Revisión → Publicado con aprobación del Presidente; los resultados oficiales y la tabla se publican al aprobarse la cédula (DEC-21); las sanciones se publican cuando la Comisión Disciplinaria las autoriza. Requisitos: RF-056, RF-068, RF-082 a RF-090; CU-007, CU-012, CU-016, CU-027.</w:t>
      </w:r>
    </w:p>
    <w:bookmarkEnd w:id="128"/>
    <w:bookmarkStart w:id="132" w:name="X939a910a9e5cb9fe95e60cb60b5d7ef46009da8"/>
    <w:p>
      <w:pPr>
        <w:pStyle w:val="Heading3"/>
      </w:pPr>
      <w:r>
        <w:t xml:space="preserve">4.2.10 P-10 Préstamo, comodato y oferta de cancha</w:t>
      </w:r>
    </w:p>
    <w:tbl>
      <w:tblPr>
        <w:tblStyle w:val="Table"/>
        <w:jc w:val="center"/>
        <w:tblLook w:firstRow="1" w:lastRow="0" w:firstColumn="0" w:lastColumn="0" w:noHBand="0" w:noVBand="0" w:val="0020"/>
        <w:tblW w:w="9405" w:type="dxa"/>
        <w:tblLayout w:type="fixed"/>
      </w:tblPr>
      <w:tblGrid>
        <w:gridCol w:w="2416"/>
        <w:gridCol w:w="6988"/>
      </w:tblGrid>
      <w:tr>
        <w:trPr>
          <w:tblHeader w:val="true"/>
          <w:tblHeader/>
        </w:trPr>
        <w:tc>
          <w:tcPr>
            <w:tcW w:type="dxa" w:w="24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9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4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Tramitar el uso o la oferta de canchas con los formatos del cliente (R8).</w:t>
            </w:r>
          </w:p>
        </w:tc>
      </w:tr>
      <w:tr>
        <w:tc>
          <w:tcPr>
            <w:tcW w:type="dxa" w:w="24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 a RF-119; CU-024, CU-025</w:t>
            </w:r>
          </w:p>
        </w:tc>
      </w:tr>
    </w:tbl>
    <w:p>
      <w:pPr>
        <w:pStyle w:val="BodyText"/>
        <w:jc w:val="center"/>
      </w:pPr>
      <w:r>
        <w:drawing>
          <wp:inline>
            <wp:extent cx="5334000" cy="1639660"/>
            <wp:effectExtent b="0" l="0" r="0" t="0"/>
            <wp:docPr descr="" title="" id="130" name="Picture"/>
            <a:graphic>
              <a:graphicData uri="http://schemas.openxmlformats.org/drawingml/2006/picture">
                <pic:pic>
                  <pic:nvPicPr>
                    <pic:cNvPr descr="/tmp/claude-0/-home-claude/eebdd6ec-6534-54e0-875b-f2e2895ea31f/scratchpad/ers/mmd/d12.png" id="131" name="Picture"/>
                    <pic:cNvPicPr>
                      <a:picLocks noChangeArrowheads="1" noChangeAspect="1"/>
                    </pic:cNvPicPr>
                  </pic:nvPicPr>
                  <pic:blipFill>
                    <a:blip r:embed="rId129"/>
                    <a:stretch>
                      <a:fillRect/>
                    </a:stretch>
                  </pic:blipFill>
                  <pic:spPr bwMode="auto">
                    <a:xfrm>
                      <a:off x="0" y="0"/>
                      <a:ext cx="5334000" cy="1639660"/>
                    </a:xfrm>
                    <a:prstGeom prst="rect">
                      <a:avLst/>
                    </a:prstGeom>
                    <a:noFill/>
                    <a:ln w="9525">
                      <a:noFill/>
                      <a:headEnd/>
                      <a:tailEnd/>
                    </a:ln>
                  </pic:spPr>
                </pic:pic>
              </a:graphicData>
            </a:graphic>
          </wp:inline>
        </w:drawing>
      </w:r>
    </w:p>
    <w:bookmarkEnd w:id="132"/>
    <w:bookmarkStart w:id="136" w:name="Xae379ae19f0894a472f7968b9440f214877fd6e"/>
    <w:p>
      <w:pPr>
        <w:pStyle w:val="Heading3"/>
      </w:pPr>
      <w:r>
        <w:t xml:space="preserve">4.2.11 P-11 Cobros y pagos</w:t>
      </w:r>
    </w:p>
    <w:tbl>
      <w:tblPr>
        <w:tblStyle w:val="Table"/>
        <w:jc w:val="center"/>
        <w:tblLook w:firstRow="1" w:lastRow="0" w:firstColumn="0" w:lastColumn="0" w:noHBand="0" w:noVBand="0" w:val="0020"/>
        <w:tblW w:w="9405" w:type="dxa"/>
        <w:tblLayout w:type="fixed"/>
      </w:tblPr>
      <w:tblGrid>
        <w:gridCol w:w="2590"/>
        <w:gridCol w:w="6814"/>
      </w:tblGrid>
      <w:tr>
        <w:trPr>
          <w:tblHeader w:val="true"/>
          <w:tblHeader/>
        </w:trPr>
        <w:tc>
          <w:tcPr>
            <w:tcW w:type="dxa" w:w="25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8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los cobros de la temporada y registrar su pago.</w:t>
            </w:r>
          </w:p>
        </w:tc>
      </w:tr>
      <w:tr>
        <w:tc>
          <w:tcPr>
            <w:tcW w:type="dxa" w:w="2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RF-133, RF-135 a RF-141; CU-023</w:t>
            </w:r>
          </w:p>
        </w:tc>
      </w:tr>
    </w:tbl>
    <w:p>
      <w:pPr>
        <w:pStyle w:val="BodyText"/>
        <w:jc w:val="center"/>
      </w:pPr>
      <w:r>
        <w:drawing>
          <wp:inline>
            <wp:extent cx="5334000" cy="1905000"/>
            <wp:effectExtent b="0" l="0" r="0" t="0"/>
            <wp:docPr descr="" title="" id="134" name="Picture"/>
            <a:graphic>
              <a:graphicData uri="http://schemas.openxmlformats.org/drawingml/2006/picture">
                <pic:pic>
                  <pic:nvPicPr>
                    <pic:cNvPr descr="/tmp/claude-0/-home-claude/eebdd6ec-6534-54e0-875b-f2e2895ea31f/scratchpad/ers/mmd/d13.png" id="135" name="Picture"/>
                    <pic:cNvPicPr>
                      <a:picLocks noChangeArrowheads="1" noChangeAspect="1"/>
                    </pic:cNvPicPr>
                  </pic:nvPicPr>
                  <pic:blipFill>
                    <a:blip r:embed="rId133"/>
                    <a:stretch>
                      <a:fillRect/>
                    </a:stretch>
                  </pic:blipFill>
                  <pic:spPr bwMode="auto">
                    <a:xfrm>
                      <a:off x="0" y="0"/>
                      <a:ext cx="5334000" cy="1905000"/>
                    </a:xfrm>
                    <a:prstGeom prst="rect">
                      <a:avLst/>
                    </a:prstGeom>
                    <a:noFill/>
                    <a:ln w="9525">
                      <a:noFill/>
                      <a:headEnd/>
                      <a:tailEnd/>
                    </a:ln>
                  </pic:spPr>
                </pic:pic>
              </a:graphicData>
            </a:graphic>
          </wp:inline>
        </w:drawing>
      </w:r>
    </w:p>
    <w:bookmarkEnd w:id="136"/>
    <w:bookmarkStart w:id="137" w:name="X6b58c699567aa37e26edf03cf9773eec8c76fcb"/>
    <w:p>
      <w:pPr>
        <w:pStyle w:val="Heading3"/>
      </w:pPr>
      <w:r>
        <w:t xml:space="preserve">4.2.12 P-12 Venta de equipo y conservación de plaza</w:t>
      </w:r>
    </w:p>
    <w:p>
      <w:pPr>
        <w:pStyle w:val="FirstParagraph"/>
      </w:pPr>
      <w:r>
        <w:t xml:space="preserve">La directiva registra la venta; la conservación de la categoría y de la plaza se registra como operación independiente; el Presidente autoriza ambas; el sistema las aplica al cerrar la temporada y conserva el historial de propietarios (RN-040). Requisitos: RF-103, RF-104; CU-026.</w:t>
      </w:r>
    </w:p>
    <w:bookmarkEnd w:id="137"/>
    <w:bookmarkStart w:id="141" w:name="Xcf77d52664a25eb5028cf9b7a0362b37c07b608"/>
    <w:p>
      <w:pPr>
        <w:pStyle w:val="Heading3"/>
      </w:pPr>
      <w:r>
        <w:t xml:space="preserve">4.2.13 P-13 Cambio de permisos con control dual</w:t>
      </w:r>
    </w:p>
    <w:p>
      <w:pPr>
        <w:pStyle w:val="FirstParagraph"/>
        <w:jc w:val="center"/>
      </w:pPr>
      <w:r>
        <w:drawing>
          <wp:inline>
            <wp:extent cx="5334000" cy="2265589"/>
            <wp:effectExtent b="0" l="0" r="0" t="0"/>
            <wp:docPr descr="" title="" id="139" name="Picture"/>
            <a:graphic>
              <a:graphicData uri="http://schemas.openxmlformats.org/drawingml/2006/picture">
                <pic:pic>
                  <pic:nvPicPr>
                    <pic:cNvPr descr="/tmp/claude-0/-home-claude/eebdd6ec-6534-54e0-875b-f2e2895ea31f/scratchpad/ers/mmd/d14.png" id="140" name="Picture"/>
                    <pic:cNvPicPr>
                      <a:picLocks noChangeArrowheads="1" noChangeAspect="1"/>
                    </pic:cNvPicPr>
                  </pic:nvPicPr>
                  <pic:blipFill>
                    <a:blip r:embed="rId138"/>
                    <a:stretch>
                      <a:fillRect/>
                    </a:stretch>
                  </pic:blipFill>
                  <pic:spPr bwMode="auto">
                    <a:xfrm>
                      <a:off x="0" y="0"/>
                      <a:ext cx="5334000" cy="2265589"/>
                    </a:xfrm>
                    <a:prstGeom prst="rect">
                      <a:avLst/>
                    </a:prstGeom>
                    <a:noFill/>
                    <a:ln w="9525">
                      <a:noFill/>
                      <a:headEnd/>
                      <a:tailEnd/>
                    </a:ln>
                  </pic:spPr>
                </pic:pic>
              </a:graphicData>
            </a:graphic>
          </wp:inline>
        </w:drawing>
      </w:r>
    </w:p>
    <w:p>
      <w:pPr>
        <w:pStyle w:val="BodyText"/>
      </w:pPr>
      <w:r>
        <w:t xml:space="preserve">Requisitos: RF-094 a RF-096; CU-022.</w:t>
      </w:r>
    </w:p>
    <w:bookmarkEnd w:id="141"/>
    <w:bookmarkEnd w:id="142"/>
    <w:bookmarkStart w:id="167" w:name="X6ade947ad1173d6d53eb9ea5381a0f5577ec4e3"/>
    <w:p>
      <w:pPr>
        <w:pStyle w:val="Heading2"/>
      </w:pPr>
      <w:r>
        <w:t xml:space="preserve">4.3 Máquinas de estado</w:t>
      </w:r>
    </w:p>
    <w:bookmarkStart w:id="146" w:name="X325c78ee4f3ffc8f0bd7a3f7b9164ca2e96f46c"/>
    <w:p>
      <w:pPr>
        <w:pStyle w:val="Heading3"/>
      </w:pPr>
      <w:r>
        <w:t xml:space="preserve">4.3.1 Partido (DEC-23)</w:t>
      </w:r>
    </w:p>
    <w:p>
      <w:pPr>
        <w:pStyle w:val="FirstParagraph"/>
        <w:jc w:val="center"/>
      </w:pPr>
      <w:r>
        <w:drawing>
          <wp:inline>
            <wp:extent cx="5334000" cy="2816678"/>
            <wp:effectExtent b="0" l="0" r="0" t="0"/>
            <wp:docPr descr="" title="" id="144" name="Picture"/>
            <a:graphic>
              <a:graphicData uri="http://schemas.openxmlformats.org/drawingml/2006/picture">
                <pic:pic>
                  <pic:nvPicPr>
                    <pic:cNvPr descr="/tmp/claude-0/-home-claude/eebdd6ec-6534-54e0-875b-f2e2895ea31f/scratchpad/ers/mmd/d15.png" id="145" name="Picture"/>
                    <pic:cNvPicPr>
                      <a:picLocks noChangeArrowheads="1" noChangeAspect="1"/>
                    </pic:cNvPicPr>
                  </pic:nvPicPr>
                  <pic:blipFill>
                    <a:blip r:embed="rId143"/>
                    <a:stretch>
                      <a:fillRect/>
                    </a:stretch>
                  </pic:blipFill>
                  <pic:spPr bwMode="auto">
                    <a:xfrm>
                      <a:off x="0" y="0"/>
                      <a:ext cx="5334000" cy="2816678"/>
                    </a:xfrm>
                    <a:prstGeom prst="rect">
                      <a:avLst/>
                    </a:prstGeom>
                    <a:noFill/>
                    <a:ln w="9525">
                      <a:noFill/>
                      <a:headEnd/>
                      <a:tailEnd/>
                    </a:ln>
                  </pic:spPr>
                </pic:pic>
              </a:graphicData>
            </a:graphic>
          </wp:inline>
        </w:drawing>
      </w:r>
    </w:p>
    <w:p>
      <w:pPr>
        <w:pStyle w:val="BodyText"/>
      </w:pPr>
      <w:r>
        <w:t xml:space="preserve">La no presentación se registra en la cédula con marcador por default; una sanción retroactiva modifica el resultado de un partido Finalizado por resolución, sin cambiar su estado (DEC-24).</w:t>
      </w:r>
    </w:p>
    <w:bookmarkEnd w:id="146"/>
    <w:bookmarkStart w:id="150" w:name="X7ff608ba07af2baf723bdaa0144beef827aa410"/>
    <w:p>
      <w:pPr>
        <w:pStyle w:val="Heading3"/>
      </w:pPr>
      <w:r>
        <w:t xml:space="preserve">4.3.2 Cédula (DEC-19, DEC-20)</w:t>
      </w:r>
    </w:p>
    <w:p>
      <w:pPr>
        <w:pStyle w:val="FirstParagraph"/>
        <w:jc w:val="center"/>
      </w:pPr>
      <w:r>
        <w:drawing>
          <wp:inline>
            <wp:extent cx="5334000" cy="3600037"/>
            <wp:effectExtent b="0" l="0" r="0" t="0"/>
            <wp:docPr descr="" title="" id="148" name="Picture"/>
            <a:graphic>
              <a:graphicData uri="http://schemas.openxmlformats.org/drawingml/2006/picture">
                <pic:pic>
                  <pic:nvPicPr>
                    <pic:cNvPr descr="/tmp/claude-0/-home-claude/eebdd6ec-6534-54e0-875b-f2e2895ea31f/scratchpad/ers/mmd/d16.png" id="149" name="Picture"/>
                    <pic:cNvPicPr>
                      <a:picLocks noChangeArrowheads="1" noChangeAspect="1"/>
                    </pic:cNvPicPr>
                  </pic:nvPicPr>
                  <pic:blipFill>
                    <a:blip r:embed="rId147"/>
                    <a:stretch>
                      <a:fillRect/>
                    </a:stretch>
                  </pic:blipFill>
                  <pic:spPr bwMode="auto">
                    <a:xfrm>
                      <a:off x="0" y="0"/>
                      <a:ext cx="5334000" cy="3600037"/>
                    </a:xfrm>
                    <a:prstGeom prst="rect">
                      <a:avLst/>
                    </a:prstGeom>
                    <a:noFill/>
                    <a:ln w="9525">
                      <a:noFill/>
                      <a:headEnd/>
                      <a:tailEnd/>
                    </a:ln>
                  </pic:spPr>
                </pic:pic>
              </a:graphicData>
            </a:graphic>
          </wp:inline>
        </w:drawing>
      </w:r>
    </w:p>
    <w:bookmarkEnd w:id="150"/>
    <w:bookmarkStart w:id="154" w:name="Xf16960a300d1cd8bfe6253d3dcc0fe98b9942e4"/>
    <w:p>
      <w:pPr>
        <w:pStyle w:val="Heading3"/>
      </w:pPr>
      <w:r>
        <w:t xml:space="preserve">4.3.3 Registro de jugador</w:t>
      </w:r>
    </w:p>
    <w:p>
      <w:pPr>
        <w:pStyle w:val="FirstParagraph"/>
        <w:jc w:val="center"/>
      </w:pPr>
      <w:r>
        <w:drawing>
          <wp:inline>
            <wp:extent cx="5334000" cy="4343098"/>
            <wp:effectExtent b="0" l="0" r="0" t="0"/>
            <wp:docPr descr="" title="" id="152" name="Picture"/>
            <a:graphic>
              <a:graphicData uri="http://schemas.openxmlformats.org/drawingml/2006/picture">
                <pic:pic>
                  <pic:nvPicPr>
                    <pic:cNvPr descr="/tmp/claude-0/-home-claude/eebdd6ec-6534-54e0-875b-f2e2895ea31f/scratchpad/ers/mmd/d17.png" id="153" name="Picture"/>
                    <pic:cNvPicPr>
                      <a:picLocks noChangeArrowheads="1" noChangeAspect="1"/>
                    </pic:cNvPicPr>
                  </pic:nvPicPr>
                  <pic:blipFill>
                    <a:blip r:embed="rId151"/>
                    <a:stretch>
                      <a:fillRect/>
                    </a:stretch>
                  </pic:blipFill>
                  <pic:spPr bwMode="auto">
                    <a:xfrm>
                      <a:off x="0" y="0"/>
                      <a:ext cx="5334000" cy="4343098"/>
                    </a:xfrm>
                    <a:prstGeom prst="rect">
                      <a:avLst/>
                    </a:prstGeom>
                    <a:noFill/>
                    <a:ln w="9525">
                      <a:noFill/>
                      <a:headEnd/>
                      <a:tailEnd/>
                    </a:ln>
                  </pic:spPr>
                </pic:pic>
              </a:graphicData>
            </a:graphic>
          </wp:inline>
        </w:drawing>
      </w:r>
    </w:p>
    <w:bookmarkEnd w:id="154"/>
    <w:bookmarkStart w:id="158" w:name="X14d372cf34eaa853b65cd3f45083645d68e2019"/>
    <w:p>
      <w:pPr>
        <w:pStyle w:val="Heading3"/>
      </w:pPr>
      <w:r>
        <w:t xml:space="preserve">4.3.4 Expediente disciplinario</w:t>
      </w:r>
    </w:p>
    <w:p>
      <w:pPr>
        <w:pStyle w:val="FirstParagraph"/>
        <w:jc w:val="center"/>
      </w:pPr>
      <w:r>
        <w:drawing>
          <wp:inline>
            <wp:extent cx="2797590" cy="7199999"/>
            <wp:effectExtent b="0" l="0" r="0" t="0"/>
            <wp:docPr descr="" title="" id="156" name="Picture"/>
            <a:graphic>
              <a:graphicData uri="http://schemas.openxmlformats.org/drawingml/2006/picture">
                <pic:pic>
                  <pic:nvPicPr>
                    <pic:cNvPr descr="/tmp/claude-0/-home-claude/eebdd6ec-6534-54e0-875b-f2e2895ea31f/scratchpad/ers/mmd/d18.png" id="157" name="Picture"/>
                    <pic:cNvPicPr>
                      <a:picLocks noChangeArrowheads="1" noChangeAspect="1"/>
                    </pic:cNvPicPr>
                  </pic:nvPicPr>
                  <pic:blipFill>
                    <a:blip r:embed="rId155"/>
                    <a:stretch>
                      <a:fillRect/>
                    </a:stretch>
                  </pic:blipFill>
                  <pic:spPr bwMode="auto">
                    <a:xfrm>
                      <a:off x="0" y="0"/>
                      <a:ext cx="2797590" cy="7199999"/>
                    </a:xfrm>
                    <a:prstGeom prst="rect">
                      <a:avLst/>
                    </a:prstGeom>
                    <a:noFill/>
                    <a:ln w="9525">
                      <a:noFill/>
                      <a:headEnd/>
                      <a:tailEnd/>
                    </a:ln>
                  </pic:spPr>
                </pic:pic>
              </a:graphicData>
            </a:graphic>
          </wp:inline>
        </w:drawing>
      </w:r>
    </w:p>
    <w:bookmarkEnd w:id="158"/>
    <w:bookmarkStart w:id="162" w:name="X76a2757ad3a234d05b6e68255f15828892e8e77"/>
    <w:p>
      <w:pPr>
        <w:pStyle w:val="Heading3"/>
      </w:pPr>
      <w:r>
        <w:t xml:space="preserve">4.3.5 Cobro (DEC-37)</w:t>
      </w:r>
    </w:p>
    <w:p>
      <w:pPr>
        <w:pStyle w:val="FirstParagraph"/>
        <w:jc w:val="center"/>
      </w:pPr>
      <w:r>
        <w:drawing>
          <wp:inline>
            <wp:extent cx="5334000" cy="3862228"/>
            <wp:effectExtent b="0" l="0" r="0" t="0"/>
            <wp:docPr descr="" title="" id="160" name="Picture"/>
            <a:graphic>
              <a:graphicData uri="http://schemas.openxmlformats.org/drawingml/2006/picture">
                <pic:pic>
                  <pic:nvPicPr>
                    <pic:cNvPr descr="/tmp/claude-0/-home-claude/eebdd6ec-6534-54e0-875b-f2e2895ea31f/scratchpad/ers/mmd/d19.png" id="161" name="Picture"/>
                    <pic:cNvPicPr>
                      <a:picLocks noChangeArrowheads="1" noChangeAspect="1"/>
                    </pic:cNvPicPr>
                  </pic:nvPicPr>
                  <pic:blipFill>
                    <a:blip r:embed="rId159"/>
                    <a:stretch>
                      <a:fillRect/>
                    </a:stretch>
                  </pic:blipFill>
                  <pic:spPr bwMode="auto">
                    <a:xfrm>
                      <a:off x="0" y="0"/>
                      <a:ext cx="5334000" cy="3862228"/>
                    </a:xfrm>
                    <a:prstGeom prst="rect">
                      <a:avLst/>
                    </a:prstGeom>
                    <a:noFill/>
                    <a:ln w="9525">
                      <a:noFill/>
                      <a:headEnd/>
                      <a:tailEnd/>
                    </a:ln>
                  </pic:spPr>
                </pic:pic>
              </a:graphicData>
            </a:graphic>
          </wp:inline>
        </w:drawing>
      </w:r>
    </w:p>
    <w:bookmarkEnd w:id="162"/>
    <w:bookmarkStart w:id="166" w:name="X6038c28102b859e810c1e8ed4939bdc1c0a57b5"/>
    <w:p>
      <w:pPr>
        <w:pStyle w:val="Heading3"/>
      </w:pPr>
      <w:r>
        <w:t xml:space="preserve">4.3.6 Publicación de programación y comunicados</w:t>
      </w:r>
    </w:p>
    <w:p>
      <w:pPr>
        <w:pStyle w:val="FirstParagraph"/>
        <w:jc w:val="center"/>
      </w:pPr>
      <w:r>
        <w:drawing>
          <wp:inline>
            <wp:extent cx="5334000" cy="6824869"/>
            <wp:effectExtent b="0" l="0" r="0" t="0"/>
            <wp:docPr descr="" title="" id="164" name="Picture"/>
            <a:graphic>
              <a:graphicData uri="http://schemas.openxmlformats.org/drawingml/2006/picture">
                <pic:pic>
                  <pic:nvPicPr>
                    <pic:cNvPr descr="/tmp/claude-0/-home-claude/eebdd6ec-6534-54e0-875b-f2e2895ea31f/scratchpad/ers/mmd/d20.png" id="165" name="Picture"/>
                    <pic:cNvPicPr>
                      <a:picLocks noChangeArrowheads="1" noChangeAspect="1"/>
                    </pic:cNvPicPr>
                  </pic:nvPicPr>
                  <pic:blipFill>
                    <a:blip r:embed="rId163"/>
                    <a:stretch>
                      <a:fillRect/>
                    </a:stretch>
                  </pic:blipFill>
                  <pic:spPr bwMode="auto">
                    <a:xfrm>
                      <a:off x="0" y="0"/>
                      <a:ext cx="5334000" cy="6824869"/>
                    </a:xfrm>
                    <a:prstGeom prst="rect">
                      <a:avLst/>
                    </a:prstGeom>
                    <a:noFill/>
                    <a:ln w="9525">
                      <a:noFill/>
                      <a:headEnd/>
                      <a:tailEnd/>
                    </a:ln>
                  </pic:spPr>
                </pic:pic>
              </a:graphicData>
            </a:graphic>
          </wp:inline>
        </w:drawing>
      </w:r>
    </w:p>
    <w:p>
      <w:pPr>
        <w:pStyle w:val="BodyText"/>
      </w:pPr>
      <w:r>
        <w:t xml:space="preserve">Otros estados: temporada (Configuración, Activa, Cerrada); afiliación (Solicitada, Aprobada, Rechazada); solicitud de cancha (Formato 1: Pendiente, Aprobada, No aprobada; Formato 2: Pendiente de negociación, Aceptada, Rechazada); cambio de permisos (Solicitado, Aprobado, Rechazado).</w:t>
      </w:r>
    </w:p>
    <w:bookmarkEnd w:id="166"/>
    <w:bookmarkEnd w:id="167"/>
    <w:bookmarkStart w:id="171" w:name="Xd1a1a2606e9b43376deb134f7512adc5f0c58f7"/>
    <w:p>
      <w:pPr>
        <w:pStyle w:val="Heading2"/>
      </w:pPr>
      <w:r>
        <w:t xml:space="preserve">4.4 Modelo de datos conceptual</w:t>
      </w:r>
    </w:p>
    <w:p>
      <w:pPr>
        <w:pStyle w:val="FirstParagraph"/>
      </w:pPr>
      <w:r>
        <w:t xml:space="preserve">Modelo conceptual. Las entidades provienen de la fuente (R3 §11) y de las decisiones (R9); las auxiliares son</w:t>
      </w:r>
      <w:r>
        <w:t xml:space="preserve"> </w:t>
      </w:r>
      <w:r>
        <w:rPr>
          <w:bCs/>
          <w:b/>
        </w:rPr>
        <w:t xml:space="preserve">[PROPUESTA]</w:t>
      </w:r>
      <w:r>
        <w:t xml:space="preserve">. Los atributos, tipos e índices se definen en el diccionario de datos, que debe actualizarse a esta revisión (DEC-42).</w:t>
      </w:r>
    </w:p>
    <w:tbl>
      <w:tblPr>
        <w:tblStyle w:val="Table"/>
        <w:jc w:val="center"/>
        <w:tblLook w:firstRow="1" w:lastRow="0" w:firstColumn="0" w:lastColumn="0" w:noHBand="0" w:noVBand="0" w:val="0020"/>
        <w:tblW w:w="9405" w:type="dxa"/>
        <w:tblLayout w:type="fixed"/>
      </w:tblPr>
      <w:tblGrid>
        <w:gridCol w:w="2122"/>
        <w:gridCol w:w="2455"/>
        <w:gridCol w:w="2761"/>
        <w:gridCol w:w="1156"/>
        <w:gridCol w:w="908"/>
      </w:tblGrid>
      <w:tr>
        <w:trPr>
          <w:tblHeader w:val="true"/>
          <w:tblHeader/>
        </w:trPr>
        <w:tc>
          <w:tcPr>
            <w:tcW w:type="dxa" w:w="212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Entidad</w:t>
            </w:r>
          </w:p>
        </w:tc>
        <w:tc>
          <w:tcPr>
            <w:tcW w:type="dxa" w:w="24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76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Atributos clave</w:t>
            </w:r>
          </w:p>
        </w:tc>
        <w:tc>
          <w:tcPr>
            <w:tcW w:type="dxa" w:w="1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Origen</w:t>
            </w:r>
          </w:p>
        </w:tc>
        <w:tc>
          <w:tcPr>
            <w:tcW w:type="dxa" w:w="9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que opera el sistema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deportivo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estado, versión de reglas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 normativo de la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Referencia, versión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Nivel deportivo del catálogo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orden, categoría superior inmediata, tipo (infantil, libre, veteranos)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DEC-16</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de temporada / Grupo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Participación de la categoría y sus grupos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categoría, grupos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Parámetros de temporada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configurables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Puntos, desempates, bloque de cancha, marcador por default, plazo de cédula, liguilla, ascenso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DEC-26 a DEC-29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 única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nombre, fecha de nacimiento, contacto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Tutela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Relación tutor–menor</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Tutor, menor, consentimiento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Consentimiento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Aceptación del aviso de privacidad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Titular u otorgante, versión del aviso, finalidades, fecha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(perfil)</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Cuenta de acceso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permiso, asignación de rol</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RBAC con ámbito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Módulo, acción, ámbito, club</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DEC-03, DEC-04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 de cambio de permisos</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Control dual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permisos, estado, aprobador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Entidad afiliada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estado, club anterior (cambio de nombre)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DEC-15</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Tarjetón por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Folio, colores, categorías, firmas,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 de directiva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del club</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persona, cargo, vigencia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Representación del club en categoría y grupo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grupo, temporada,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Propiedad de equipo / plaza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propietarios y plaza deportiva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club, fechas, autorización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en un equipo por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equipo, estado, fechas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Archivo del registro o evidencia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ruta privada, estado de validación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con rol arbitral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club que lo presenta,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arbitral / Designación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y asignación</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partido, fecha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 Sede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 físico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Ubicación, propietario, sede,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DEC-33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de cancha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bloqueos y mantenimiento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intervalo, tipo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Horario de cancha de club / Comodato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Uso de canchas por club</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club, categoría, día y hora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 de cancha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1 y 2</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oficio, datos del formato,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 DEC-35</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Unidad de programación</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Grupo, número, estado de publicación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Unidad competitiva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Equipos, cancha, inicio, fin de bloque,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estados del partido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Transiciones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anterior y nuevo, usuario, motivo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oficial del partido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estado, capturista, árbitro validador, fechas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Jugadores del partido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registro de jugador, equipo, categoría superior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Evento de cédula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Goles, tarjetas, sustituciones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persona, tipo, minuto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Hecho disciplinario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tipo, personas o equipos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de incidencia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abre expediente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Marcador oficial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goles, origen (cédula o resolución), versión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DEC-21</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 Infracción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del reglamento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Número, tipo de sanción, sujeto, efecto, automático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DEC-30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disciplinario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Incidencias,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Resolución / Sanción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Decisión y consecuencia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vigencia, sujeto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Inconformidad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estado, resolución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 / Fase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Fase regular y liguilla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formato, llaves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DEC-28</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Cuotas por temporada y categoría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Concepto, monto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 / Pago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Cargos y pagos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o equipo, concepto, monto, periodo, estado, referencia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 DEC-37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 / Comunicado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Contenido del portal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estado, aprobador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 a usuarios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Destinatario, evento, canal, leída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Trazabilidad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fecha, módulo, acción, motivo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jc w:val="center"/>
      </w:pPr>
      <w:r>
        <w:drawing>
          <wp:inline>
            <wp:extent cx="5334000" cy="3701142"/>
            <wp:effectExtent b="0" l="0" r="0" t="0"/>
            <wp:docPr descr="" title="" id="169" name="Picture"/>
            <a:graphic>
              <a:graphicData uri="http://schemas.openxmlformats.org/drawingml/2006/picture">
                <pic:pic>
                  <pic:nvPicPr>
                    <pic:cNvPr descr="/tmp/claude-0/-home-claude/eebdd6ec-6534-54e0-875b-f2e2895ea31f/scratchpad/ers/mmd/d21.png" id="170" name="Picture"/>
                    <pic:cNvPicPr>
                      <a:picLocks noChangeArrowheads="1" noChangeAspect="1"/>
                    </pic:cNvPicPr>
                  </pic:nvPicPr>
                  <pic:blipFill>
                    <a:blip r:embed="rId168"/>
                    <a:stretch>
                      <a:fillRect/>
                    </a:stretch>
                  </pic:blipFill>
                  <pic:spPr bwMode="auto">
                    <a:xfrm>
                      <a:off x="0" y="0"/>
                      <a:ext cx="5334000" cy="3701142"/>
                    </a:xfrm>
                    <a:prstGeom prst="rect">
                      <a:avLst/>
                    </a:prstGeom>
                    <a:noFill/>
                    <a:ln w="9525">
                      <a:noFill/>
                      <a:headEnd/>
                      <a:tailEnd/>
                    </a:ln>
                  </pic:spPr>
                </pic:pic>
              </a:graphicData>
            </a:graphic>
          </wp:inline>
        </w:drawing>
      </w:r>
    </w:p>
    <w:p>
      <w:pPr>
        <w:pStyle w:val="BodyText"/>
        <w:jc w:val="center"/>
      </w:pPr>
      <w:r>
        <w:rPr>
          <w:iCs/>
          <w:i/>
          <w:sz w:val="18"/>
        </w:rPr>
        <w:t xml:space="preserve">Figura 4. Modelo entidad-relación conceptual (relaciones principales).</w:t>
      </w:r>
    </w:p>
    <w:bookmarkEnd w:id="171"/>
    <w:bookmarkStart w:id="172" w:name="Xc40a75f1bef67482f3e821578218e9c204d7dfd"/>
    <w:p>
      <w:pPr>
        <w:pStyle w:val="Heading2"/>
      </w:pPr>
      <w:r>
        <w:t xml:space="preserve">4.5 Estructura modular y arquitectura conceptual</w:t>
      </w:r>
    </w:p>
    <w:p>
      <w:pPr>
        <w:pStyle w:val="FirstParagraph"/>
      </w:pPr>
      <w:r>
        <w:t xml:space="preserve">Arquitectura cliente-servidor de tres niveles</w:t>
      </w:r>
      <w:r>
        <w:t xml:space="preserve"> </w:t>
      </w:r>
      <w:r>
        <w:rPr>
          <w:bCs/>
          <w:b/>
        </w:rPr>
        <w:t xml:space="preserve">[PROPUESTA]</w:t>
      </w:r>
      <w:r>
        <w:t xml:space="preserve"> </w:t>
      </w:r>
      <w:r>
        <w:t xml:space="preserve">justificada en el documento de arquitectura y los ADR: una aplicación web de una sola página (React) con el portal público y la aplicación interna; un backend monolítico modular en capas (Spring Boot), con un paquete por módulo M-xx; y servicios administrados de datos, identidad y almacenamiento (Supabase). Componentes adicionales que exige esta revisión:</w:t>
      </w:r>
    </w:p>
    <w:p>
      <w:pPr>
        <w:numPr>
          <w:ilvl w:val="0"/>
          <w:numId w:val="1006"/>
        </w:numPr>
        <w:pStyle w:val="Compact"/>
      </w:pPr>
      <w:r>
        <w:rPr>
          <w:bCs/>
          <w:b/>
        </w:rPr>
        <w:t xml:space="preserve">Tareas programadas</w:t>
      </w:r>
      <w:r>
        <w:t xml:space="preserve"> </w:t>
      </w:r>
      <w:r>
        <w:t xml:space="preserve">para el cambio automático de estado del partido, el vencimiento del plazo de la cédula y de los cobros (RF-124, RF-127, RF-141).</w:t>
      </w:r>
    </w:p>
    <w:p>
      <w:pPr>
        <w:numPr>
          <w:ilvl w:val="0"/>
          <w:numId w:val="1006"/>
        </w:numPr>
        <w:pStyle w:val="Compact"/>
      </w:pPr>
      <w:r>
        <w:rPr>
          <w:bCs/>
          <w:b/>
        </w:rPr>
        <w:t xml:space="preserve">Autorización por permiso y ámbito</w:t>
      </w:r>
      <w:r>
        <w:t xml:space="preserve"> </w:t>
      </w:r>
      <w:r>
        <w:t xml:space="preserve">en la capa de servicios, con políticas de seguridad a nivel de fila como defensa adicional (RN-054).</w:t>
      </w:r>
    </w:p>
    <w:p>
      <w:pPr>
        <w:numPr>
          <w:ilvl w:val="0"/>
          <w:numId w:val="1006"/>
        </w:numPr>
        <w:pStyle w:val="Compact"/>
      </w:pPr>
      <w:r>
        <w:rPr>
          <w:bCs/>
          <w:b/>
        </w:rPr>
        <w:t xml:space="preserve">Almacenamiento privado</w:t>
      </w:r>
      <w:r>
        <w:t xml:space="preserve"> </w:t>
      </w:r>
      <w:r>
        <w:t xml:space="preserve">de documentos con URL firmadas (RNF-018).</w:t>
      </w:r>
    </w:p>
    <w:p>
      <w:pPr>
        <w:numPr>
          <w:ilvl w:val="0"/>
          <w:numId w:val="1006"/>
        </w:numPr>
        <w:pStyle w:val="Compact"/>
      </w:pPr>
      <w:r>
        <w:rPr>
          <w:bCs/>
          <w:b/>
        </w:rPr>
        <w:t xml:space="preserve">Servicio de correo</w:t>
      </w:r>
      <w:r>
        <w:t xml:space="preserve"> </w:t>
      </w:r>
      <w:r>
        <w:t xml:space="preserve">transaccional (RF-143).</w:t>
      </w:r>
    </w:p>
    <w:tbl>
      <w:tblPr>
        <w:tblStyle w:val="Table"/>
        <w:jc w:val="center"/>
        <w:tblLook w:firstRow="1" w:lastRow="0" w:firstColumn="0" w:lastColumn="0" w:noHBand="0" w:noVBand="0" w:val="0020"/>
        <w:tblW w:w="9405" w:type="dxa"/>
        <w:tblLayout w:type="fixed"/>
      </w:tblPr>
      <w:tblGrid>
        <w:gridCol w:w="1131"/>
        <w:gridCol w:w="4151"/>
        <w:gridCol w:w="3196"/>
        <w:gridCol w:w="926"/>
      </w:tblGrid>
      <w:tr>
        <w:trPr>
          <w:tblHeader w:val="true"/>
          <w:tblHeader/>
        </w:trPr>
        <w:tc>
          <w:tcPr>
            <w:tcW w:type="dxa" w:w="11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41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Propuesta de diseño</w:t>
            </w:r>
          </w:p>
        </w:tc>
        <w:tc>
          <w:tcPr>
            <w:tcW w:type="dxa" w:w="31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Motivo</w:t>
            </w:r>
          </w:p>
        </w:tc>
        <w:tc>
          <w:tcPr>
            <w:tcW w:type="dxa" w:w="9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DP-001</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Módulos de dominio desacoplados dentro del backend</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Reduce acoplamiento y facilita la evolución</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DP-002</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Versionar explícitamente las reglas de la temporada</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Trazabilidad normativa</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DP-003</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Máquinas de estado explícitas (partido, cédula, expediente, cobro)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controla acciones y auditoría</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DP-004</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Tratar la jornada como entidad con estado de publicación</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Histórico, publicación y cobros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DP-005</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Componente específico de validación de conflictos de programación</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es manual; se validan restricciones duras y blandas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DP-006</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datos publicados de datos internos</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Reduce la exposición accidental</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DP-007</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Tareas programadas idempotentes para los procesos por tiempo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Plazos de cédula, estados y vencimientos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DP-008</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como datos (rol, módulo, acción, ámbito), nunca por nombre de rol en el código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configurables (DEC-04)</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172"/>
    <w:bookmarkStart w:id="173" w:name="X1726530f052a37bd663a1720f78111b28994142"/>
    <w:p>
      <w:pPr>
        <w:pStyle w:val="Heading2"/>
      </w:pPr>
      <w:r>
        <w:t xml:space="preserve">4.6 Flujo de información</w:t>
      </w:r>
    </w:p>
    <w:p>
      <w:pPr>
        <w:pStyle w:val="FirstParagraph"/>
      </w:pPr>
      <w:r>
        <w:rPr>
          <w:bCs/>
          <w:b/>
        </w:rPr>
        <w:t xml:space="preserve">Por operación.</w:t>
      </w:r>
      <w:r>
        <w:t xml:space="preserve"> </w:t>
      </w:r>
      <w:r>
        <w:t xml:space="preserve">Entrada del usuario → interfaz → validación de formato, permiso y ámbito → reglas de negocio → procesamiento del módulo → persistencia transaccional → auditoría → notificación → resultado → publicación (cuando corresponde).</w:t>
      </w:r>
    </w:p>
    <w:p>
      <w:pPr>
        <w:pStyle w:val="BodyText"/>
      </w:pPr>
      <w:r>
        <w:rPr>
          <w:bCs/>
          <w:b/>
        </w:rPr>
        <w:t xml:space="preserve">Público.</w:t>
      </w:r>
      <w:r>
        <w:t xml:space="preserve"> </w:t>
      </w:r>
      <w:r>
        <w:t xml:space="preserve">Datos internos → aprobación o validación de cédula → estado publicado → portal público → consulta. No existe flujo inverso desde el portal.</w:t>
      </w:r>
    </w:p>
    <w:bookmarkEnd w:id="173"/>
    <w:bookmarkStart w:id="174" w:name="X18adaea7e3034e74bb9c2e17083cc002cd84318"/>
    <w:p>
      <w:pPr>
        <w:pStyle w:val="Heading2"/>
      </w:pPr>
      <w:r>
        <w:t xml:space="preserve">4.7 Matriz de trazabilidad</w:t>
      </w:r>
    </w:p>
    <w:tbl>
      <w:tblPr>
        <w:tblStyle w:val="Table"/>
        <w:jc w:val="center"/>
        <w:tblLook w:firstRow="1" w:lastRow="0" w:firstColumn="0" w:lastColumn="0" w:noHBand="0" w:noVBand="0" w:val="0020"/>
        <w:tblW w:w="9405" w:type="dxa"/>
        <w:tblLayout w:type="fixed"/>
      </w:tblPr>
      <w:tblGrid>
        <w:gridCol w:w="1327"/>
        <w:gridCol w:w="1400"/>
        <w:gridCol w:w="1336"/>
        <w:gridCol w:w="804"/>
        <w:gridCol w:w="1154"/>
        <w:gridCol w:w="2120"/>
        <w:gridCol w:w="1261"/>
      </w:tblGrid>
      <w:tr>
        <w:trPr>
          <w:tblHeader w:val="true"/>
          <w:tblHeader/>
        </w:trPr>
        <w:tc>
          <w:tcPr>
            <w:tcW w:type="dxa" w:w="132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Requisitos</w:t>
            </w:r>
          </w:p>
        </w:tc>
        <w:tc>
          <w:tcPr>
            <w:tcW w:type="dxa" w:w="14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Casos de uso</w:t>
            </w:r>
          </w:p>
        </w:tc>
        <w:tc>
          <w:tcPr>
            <w:tcW w:type="dxa" w:w="13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Proceso</w:t>
            </w:r>
          </w:p>
        </w:tc>
        <w:tc>
          <w:tcPr>
            <w:tcW w:type="dxa" w:w="8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Módulo</w:t>
            </w:r>
          </w:p>
        </w:tc>
        <w:tc>
          <w:tcPr>
            <w:tcW w:type="dxa" w:w="11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Pantallas</w:t>
            </w:r>
          </w:p>
        </w:tc>
        <w:tc>
          <w:tcPr>
            <w:tcW w:type="dxa" w:w="212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Entidades</w:t>
            </w:r>
          </w:p>
        </w:tc>
        <w:tc>
          <w:tcPr>
            <w:tcW w:type="dxa" w:w="12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Decisiones</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RF-093 a RF-098, RF-134</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CU-022</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UI-001, UI-002, UI-022, UI-029, UI-033</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rol, permiso, solicitud de cambio, consentimiento, auditoría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 DEC-04, DEC-40</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RF-007, RF-099, RF-100</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CU-001, CU-002</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P-01</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UI-003, UI-004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convocatoria, categoría, grupo, parámetros</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DEC-16, DEC-26 a DEC-29</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a RF-012, RF-101 a RF-106</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CU-003, CU-018, CU-026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P-02, P-12</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UI-005, UI-023, UI-034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afiliación, cargo, equipo, propiedad, persona, tutela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DEC-09, DEC-11, DEC-14, DEC-15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RF-013 a RF-020, RF-107 a RF-111, RF-144</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CU-004, CU-021, CU-028</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P-02</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UI-006, UI-024, UI-032</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 documento, alineación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 DEC-12, DEC-13</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 a RF-024, RF-112 a RF-115</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CU-019, CU-020</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UI-007, UI-025</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disponibilidad, designación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 DEC-18</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 a RF-032, RF-116 a RF-119</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CU-005, CU-024, CU-025</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P-10</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M-06</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UI-008, UI-028</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sede, disponibilidad, horario, solicitud</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DEC-33, DEC-35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 RF-036, RF-039, RF-040, RF-120, RF-121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CU-006, CU-007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UI-009</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 partido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 DEC-34</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RF-025, RF-026, RF-043 a RF-056, RF-122 a RF-127</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CU-008 a CU-010, CU-017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P-04, P-05</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UI-010 a UI-014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cédula, alineación, evento, incidencia, resultado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 a DEC-21, DEC-23 a DEC-27</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RF-068, RF-128 a RF-133</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CU-011 a CU-013</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P-06</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UI-015 a UI-017, UI-026</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de incidencia, artículo, expediente, resolución, sanción, recurso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 DEC-30 a DEC-32</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 a RF-081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CU-014, CU-015</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P-07, P-08</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M-10</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UI-018, UI-019</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Competencia/fase, temporada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DEC-28, DEC-29</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 a RF-090, RF-145</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CU-007, CU-012, CU-016, CU-027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P-09</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UI-020, UI-031</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 comunicado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 DEC-21</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 RF-092</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CU-029</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M-12</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UI-021</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 a RF-141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CU-023</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P-11</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UI-027</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 cobro, pago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 DEC-37</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RF-142, RF-143</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M-14</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UI-030</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r>
    </w:tbl>
    <w:bookmarkEnd w:id="174"/>
    <w:bookmarkEnd w:id="175"/>
    <w:bookmarkStart w:id="176" w:name="apéndice-a-pendientes-por-definir"/>
    <w:p>
      <w:pPr>
        <w:pStyle w:val="Heading1"/>
      </w:pPr>
      <w:r>
        <w:t xml:space="preserve">Apéndice A. Pendientes por definir</w:t>
      </w:r>
    </w:p>
    <w:p>
      <w:pPr>
        <w:pStyle w:val="FirstParagraph"/>
      </w:pPr>
      <w:r>
        <w:t xml:space="preserve">Se conservan los identificadores PEN de la fuente.</w:t>
      </w:r>
      <w:r>
        <w:t xml:space="preserve"> </w:t>
      </w:r>
      <w:r>
        <w:rPr>
          <w:bCs/>
          <w:b/>
        </w:rPr>
        <w:t xml:space="preserve">Estado:</w:t>
      </w:r>
      <w:r>
        <w:t xml:space="preserve"> </w:t>
      </w:r>
      <w:r>
        <w:t xml:space="preserve">Resuelto (con la decisión que lo resuelve), Demo (resuelto con un valor configurable [DEMO] hasta conocer el real), Abierto o Fuera (fuera de alcance, 2.6).</w:t>
      </w:r>
    </w:p>
    <w:tbl>
      <w:tblPr>
        <w:tblStyle w:val="Table"/>
        <w:jc w:val="center"/>
        <w:tblLook w:firstRow="1" w:lastRow="0" w:firstColumn="0" w:lastColumn="0" w:noHBand="0" w:noVBand="0" w:val="0020"/>
        <w:tblW w:w="9405" w:type="dxa"/>
        <w:tblLayout w:type="fixed"/>
      </w:tblPr>
      <w:tblGrid>
        <w:gridCol w:w="1323"/>
        <w:gridCol w:w="3291"/>
        <w:gridCol w:w="1417"/>
        <w:gridCol w:w="3371"/>
      </w:tblGrid>
      <w:tr>
        <w:trPr>
          <w:tblHeader w:val="true"/>
          <w:tblHeader/>
        </w:trPr>
        <w:tc>
          <w:tcPr>
            <w:tcW w:type="dxa" w:w="13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2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Pendiente</w:t>
            </w:r>
          </w:p>
        </w:tc>
        <w:tc>
          <w:tcPr>
            <w:tcW w:type="dxa" w:w="141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c>
          <w:tcPr>
            <w:tcW w:type="dxa" w:w="33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Resolución o quién debe aclararlo</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PEN-001</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formal de cada requisito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de producto conservada [PROPUESTA]; entrega N/B/F (DEC-01)</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PEN-002</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exacto de cada actor</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2.3 y Apéndice E (DEC-02 a DEC-04); falta validación de la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PEN-003</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Importación de datos históricos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PEN-004</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Operaciones obligatorias por temporada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y registro con validación (DEC-09, DEC-10)</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PEN-005</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Quién crea y quién aprueba la programación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crea; Presidente aprueba (RF-121)</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PEN-006</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es obligatorio antes de programar</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afiliados, equipos, canchas y árbitros validados (CU-006) [PROPUESTA]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PEN-007</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ocurre al bloquear una cancha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Propuesta: se listan los partidos afectados para reprogramarlos manualmente; validar con la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PEN-008</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Suspensión y cancelación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 4.3.1</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PEN-009</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Flujo de publicación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 4.2.9</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PEN-010</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rol → módulo → acción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Apéndice E, configurable (DEC-04); falta validación de la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PEN-011</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Facultades del Comité, Secretaría, Tesorería y comisiones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 DEC-04</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PEN-012</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Acciones del presidente o delegado de club</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(DEC-03)</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PEN-013</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Acciones del jugador</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de información propia (RF-144); menores mediante su tutor (DEC-11)</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PEN-014</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Prototipo y navegación final</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y cliente, sobre el prototipo de Figma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PEN-015</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Campos obligatorios por formulario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Parcial: tarjetón y documentos por categoría (R2); el resto con la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PEN-016</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Mensajes de error y bloqueo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y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PEN-017</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de publicación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4.3.6</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PEN-018</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Identificadores oficiales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para personas; folio para afiliación (DEC-09, DEC-10)</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PEN-019</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Atributos de persona y jugador</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Parcial: documentos por categoría (R2); datos de contacto con la Liga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PEN-020</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Estructura de cédula e incidencias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 y R2</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PEN-021</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de artículos, infracciones y sanciones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Semilla con las tres causas de baja de R2 (DEC-30); catálogo real del Reglamento (R4)</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PEN-022</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Modelo de disponibilidad de canchas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DEC-25, DEC-33</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PEN-023</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y evidencias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Almacenamiento privado (DEC-10, RNF-018)</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PEN-024 a PEN-026</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Stack, frontend y base de datos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DEC-43</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PEN-027</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Estrategia del motor de reglas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por configuración y catálogos (DD-004)</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PEN-028</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Algoritmo de programación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PEN-029</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de permisos detallada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Apéndice E</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PEN-030</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Políticas de sesión y contraseñas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en la ADR de autenticación</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PEN-031</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Política de respaldo y recuperación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Metas de RNF-010; procedimiento en la arquitectura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PEN-032</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públicos y restringidos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RNF-012, RF-145</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PEN-033</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necesarias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 almacenamiento y correo (3.1.3)</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PEN-034</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Proveedor de correo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en una ADR (costo, seguridad y necesidad)</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PEN-035</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Mapas, API pública y autenticación externa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PEN-036</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Ambientes de desarrollo, pruebas y producción</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PEN-037</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Dominio y alojamiento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y equipo</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PEN-038</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CI/CD y contenedores</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PEN-039</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Naturaleza jurídica de la Liga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define la ley de datos personales aplicable (3.4.4)</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PEN-040</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Retención de datos personales, documentos y auditoría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y equipo</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PEN-041</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Plazo para interponer un recurso</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(Reglamento)</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PEN-042</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reales de arbitraje y cancha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(Tesorería)</w:t>
            </w:r>
          </w:p>
        </w:tc>
      </w:tr>
      <w:tr>
        <w:tc>
          <w:tcPr>
            <w:tcW w:type="dxa" w:w="13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PEN-043</w:t>
            </w:r>
          </w:p>
        </w:tc>
        <w:tc>
          <w:tcPr>
            <w:tcW w:type="dxa" w:w="32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Duración de juego y bloque de cancha por categoría</w:t>
            </w:r>
          </w:p>
        </w:tc>
        <w:tc>
          <w:tcPr>
            <w:tcW w:type="dxa" w:w="14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Demo</w:t>
            </w:r>
          </w:p>
        </w:tc>
        <w:tc>
          <w:tcPr>
            <w:tcW w:type="dxa" w:w="3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90 min de juego y 120 min de bloque [DEMO] (DEC-25); valores reales con la Liga</w:t>
            </w:r>
          </w:p>
        </w:tc>
      </w:tr>
    </w:tbl>
    <w:bookmarkEnd w:id="176"/>
    <w:bookmarkStart w:id="177" w:name="X90263d79e93b029b2075d1437c35ce968014032"/>
    <w:p>
      <w:pPr>
        <w:pStyle w:val="Heading1"/>
      </w:pPr>
      <w:r>
        <w:t xml:space="preserve">Apéndice B. Ambigüedades, riesgos y verificación de fuentes</w:t>
      </w:r>
    </w:p>
    <w:p>
      <w:pPr>
        <w:pStyle w:val="FirstParagraph"/>
      </w:pPr>
      <w:r>
        <w:rPr>
          <w:bCs/>
          <w:b/>
        </w:rPr>
        <w:t xml:space="preserve">Ambigüedades</w:t>
      </w:r>
    </w:p>
    <w:tbl>
      <w:tblPr>
        <w:tblStyle w:val="Table"/>
        <w:jc w:val="center"/>
        <w:tblLook w:firstRow="1" w:lastRow="0" w:firstColumn="0" w:lastColumn="0" w:noHBand="0" w:noVBand="0" w:val="0020"/>
        <w:tblW w:w="9405" w:type="dxa"/>
        <w:tblLayout w:type="fixed"/>
      </w:tblPr>
      <w:tblGrid>
        <w:gridCol w:w="1428"/>
        <w:gridCol w:w="3743"/>
        <w:gridCol w:w="4233"/>
      </w:tblGrid>
      <w:tr>
        <w:trPr>
          <w:tblHeader w:val="true"/>
          <w:tblHeader/>
        </w:trPr>
        <w:tc>
          <w:tcPr>
            <w:tcW w:type="dxa" w:w="14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7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Ambigüedad</w:t>
            </w:r>
          </w:p>
        </w:tc>
        <w:tc>
          <w:tcPr>
            <w:tcW w:type="dxa" w:w="42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AMB-001</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 sanción: participación, programación o ambas</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RN-057 (adoptada por estándar)</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AMB-002</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resultado se considera oficial</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cédula aprobada (DEC-21)</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AMB-003</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elementos pueden publicarse</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RNF-012, RF-145, 4.2.9</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AMB-004</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Excepciones en las reglas</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 se registran como artículos o como interpretaciones pendientes (RF-007)</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AMB-005</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Cardinalidades del modelo</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en 4.4 [PROPUESTA]</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AMB-006</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por cargo y comisión</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Apéndice E</w:t>
            </w:r>
          </w:p>
        </w:tc>
      </w:tr>
    </w:tbl>
    <w:p>
      <w:pPr>
        <w:pStyle w:val="BodyText"/>
      </w:pPr>
      <w:r>
        <w:rPr>
          <w:bCs/>
          <w:b/>
        </w:rPr>
        <w:t xml:space="preserve">Contradicciones entre la fuente R3 y el levantamiento R2</w:t>
      </w:r>
      <w:r>
        <w:t xml:space="preserve"> </w:t>
      </w:r>
      <w:r>
        <w:t xml:space="preserve">(prevalece R2)</w:t>
      </w:r>
    </w:p>
    <w:tbl>
      <w:tblPr>
        <w:tblStyle w:val="Table"/>
        <w:jc w:val="center"/>
        <w:tblLook w:firstRow="1" w:lastRow="0" w:firstColumn="0" w:lastColumn="0" w:noHBand="0" w:noVBand="0" w:val="0020"/>
        <w:tblW w:w="9405" w:type="dxa"/>
        <w:tblLayout w:type="fixed"/>
      </w:tblPr>
      <w:tblGrid>
        <w:gridCol w:w="701"/>
        <w:gridCol w:w="2962"/>
        <w:gridCol w:w="3144"/>
        <w:gridCol w:w="2596"/>
      </w:tblGrid>
      <w:tr>
        <w:trPr>
          <w:tblHeader w:val="true"/>
          <w:tblHeader/>
        </w:trPr>
        <w:tc>
          <w:tcPr>
            <w:tcW w:type="dxa" w:w="7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9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R3</w:t>
            </w:r>
          </w:p>
        </w:tc>
        <w:tc>
          <w:tcPr>
            <w:tcW w:type="dxa" w:w="314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R2 / decisión</w:t>
            </w:r>
          </w:p>
        </w:tc>
        <w:tc>
          <w:tcPr>
            <w:tcW w:type="dxa" w:w="25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Tratamiento</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X-A</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 transferir jugador</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hay cambio de equipo dentro de la temporada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 limitado a cambios entre temporadas (DEC-13)</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X-B</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Equipo–Persona N:M</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pertenece a un solo equipo por temporada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RN-037; la alineación en categoría superior es una entidad aparte</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X-C</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y Tesorero como cargos de la liga</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También son cargos del club</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Existen en ambos (DEC-03)</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X-D</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Conservar el histórico del club</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nombre = club nuevo sin histórico</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RN-041</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X-E</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módulo financiero</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de cobros a club y equipo</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 (DEC-36)</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X-F</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árbitro captura la cédula</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capturista la captura; el árbitro la valida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r>
    </w:tbl>
    <w:p>
      <w:pPr>
        <w:pStyle w:val="BodyText"/>
      </w:pPr>
      <w:r>
        <w:rPr>
          <w:bCs/>
          <w:b/>
        </w:rPr>
        <w:t xml:space="preserve">Riesgos</w:t>
      </w:r>
    </w:p>
    <w:tbl>
      <w:tblPr>
        <w:tblStyle w:val="Table"/>
        <w:jc w:val="center"/>
        <w:tblLook w:firstRow="1" w:lastRow="0" w:firstColumn="0" w:lastColumn="0" w:noHBand="0" w:noVBand="0" w:val="0020"/>
        <w:tblW w:w="9405" w:type="dxa"/>
        <w:tblLayout w:type="fixed"/>
      </w:tblPr>
      <w:tblGrid>
        <w:gridCol w:w="1140"/>
        <w:gridCol w:w="2769"/>
        <w:gridCol w:w="2435"/>
        <w:gridCol w:w="3059"/>
      </w:tblGrid>
      <w:tr>
        <w:trPr>
          <w:tblHeader w:val="true"/>
          <w:tblHeader/>
        </w:trPr>
        <w:tc>
          <w:tcPr>
            <w:tcW w:type="dxa" w:w="11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7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Riesgo</w:t>
            </w:r>
          </w:p>
        </w:tc>
        <w:tc>
          <w:tcPr>
            <w:tcW w:type="dxa" w:w="243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Impacto</w:t>
            </w:r>
          </w:p>
        </w:tc>
        <w:tc>
          <w:tcPr>
            <w:tcW w:type="dxa" w:w="30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Mitigación</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RSK-001</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que requieren interpretación</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Automatización incorrecta</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Versionado, autorización del Presidente y valores [DEMO] rotulados</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RSK-002</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Convocatorias que cambian por temporada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Diseño rígido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Parámetros por temporada (RF-100)</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RSK-003</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históricos no estructurados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Duplicados</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y catálogos; sin importación en esta entrega</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RSK-005</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Pérdida de evidencia disciplinaria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Resoluciones sin sustento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auditoría y resolución inmutable</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RSK-006</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Parametrización incorrecta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Decisiones deportivas erróneas</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humana y pruebas con casos reales</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RSK-007</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Exposición de datos personales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Riesgo legal y de privacidad</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Ámbitos, almacenamiento privado, consentimiento</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RSK-008</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Demasiadas decisiones técnicas abiertas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Retraso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ADR antes del primer Sprint de desarrollo</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RSK-009</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integral en 8 semanas con 3 personas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el núcleo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Núcleo N comprometido por rol; el resto en backlog priorizado; recalibrar tras el Sprint 1</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RSK-010</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menores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Incumplimiento legal</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Cuenta del tutor, consentimiento expreso, acceso restringido (DEC-11, DEC-40)</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RSK-011</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Dependencia de servicios administrados (identidad, almacenamiento, correo)</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Indisponibilidad o costo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Capas de abstracción y capa gratuita justificada en ADR</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RSK-012</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Procesos por tiempo (plazos, estados automáticos)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incorrectos si falla la tarea</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Tareas idempotentes y auditadas (DP-007)</w:t>
            </w:r>
          </w:p>
        </w:tc>
      </w:tr>
    </w:tbl>
    <w:bookmarkEnd w:id="177"/>
    <w:bookmarkStart w:id="178" w:name="apéndice-c-preguntas-y-su-estado"/>
    <w:p>
      <w:pPr>
        <w:pStyle w:val="Heading1"/>
      </w:pPr>
      <w:r>
        <w:t xml:space="preserve">Apéndice C. Preguntas y su estado</w:t>
      </w:r>
    </w:p>
    <w:tbl>
      <w:tblPr>
        <w:tblStyle w:val="Table"/>
        <w:jc w:val="center"/>
        <w:tblLook w:firstRow="1" w:lastRow="0" w:firstColumn="0" w:lastColumn="0" w:noHBand="0" w:noVBand="0" w:val="0020"/>
        <w:tblW w:w="9405" w:type="dxa"/>
        <w:tblLayout w:type="fixed"/>
      </w:tblPr>
      <w:tblGrid>
        <w:gridCol w:w="918"/>
        <w:gridCol w:w="3299"/>
        <w:gridCol w:w="2083"/>
        <w:gridCol w:w="3103"/>
      </w:tblGrid>
      <w:tr>
        <w:trPr>
          <w:tblHeader w:val="true"/>
          <w:tblHeader/>
        </w:trPr>
        <w:tc>
          <w:tcPr>
            <w:tcW w:type="dxa" w:w="91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3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Tema</w:t>
            </w:r>
          </w:p>
        </w:tc>
        <w:tc>
          <w:tcPr>
            <w:tcW w:type="dxa" w:w="20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c>
          <w:tcPr>
            <w:tcW w:type="dxa" w:w="31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Respuesta o pendiente</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Renovación y transferencia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DEC-13</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que exige la rúbrica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Reglamento y Convocatoria como fuente</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Valores [DEMO] hasta contar con ellos</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incluye (DEC-06)</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Q-05</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 en el producto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Incluida (DEC-01, DEC-19 a DEC-22, DEC-30 a DEC-32)</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Q-06</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Arbitraje y cédula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 a DEC-20</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Q-07</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de permisos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 Apéndice E</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Q-08</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jugadores y privacidad</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 la demostración usa datos ficticios</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Q-09</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y alojamiento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en 3.1.3; alojamiento en PEN-037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Q-10</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Puntos y desempates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DEC-26, DEC-27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de trabajo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temporada activa a la vez (RN-058)</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 oficial</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del partido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Competencia/Fase</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incluye para la liguilla (DEC-28)</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Q-15</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Pantalla de auditoría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RF-134 (N)</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Q-16</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de elegibilidad</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DEC-12, RN-037 a RN-039, RN-057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Q-17</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 sanción</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Q-18</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descensos y fases finales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DEC-28, DEC-29 [DEMO]</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Q-19</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Valores de los RNF</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Q-20</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Roles de Scrum y revisión de código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Criterios de RNF-006 y RNF-009</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Representante de la Liga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profesor actuó como cliente en el levantamiento (R2); falta el representante formal</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Audio R2 y fuentes R4</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Audio transcrito (R2); R4 sin consultar</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Calendario y entregables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 semanas (DEC-08); entregables evaluados con el profesor</w:t>
            </w:r>
          </w:p>
        </w:tc>
      </w:tr>
    </w:tbl>
    <w:bookmarkEnd w:id="178"/>
    <w:bookmarkStart w:id="179" w:name="apéndice-d-supuestos-propuesta"/>
    <w:p>
      <w:pPr>
        <w:pStyle w:val="Heading1"/>
      </w:pPr>
      <w:r>
        <w:t xml:space="preserve">Apéndice D. Supuestos [PROPUESTA]</w:t>
      </w:r>
    </w:p>
    <w:tbl>
      <w:tblPr>
        <w:tblStyle w:val="Table"/>
        <w:jc w:val="center"/>
        <w:tblLook w:firstRow="1" w:lastRow="0" w:firstColumn="0" w:lastColumn="0" w:noHBand="0" w:noVBand="0" w:val="0020"/>
        <w:tblW w:w="9405" w:type="dxa"/>
        <w:tblLayout w:type="fixed"/>
      </w:tblPr>
      <w:tblGrid>
        <w:gridCol w:w="967"/>
        <w:gridCol w:w="6656"/>
        <w:gridCol w:w="1781"/>
      </w:tblGrid>
      <w:tr>
        <w:trPr>
          <w:tblHeader w:val="true"/>
          <w:tblHeader/>
        </w:trPr>
        <w:tc>
          <w:tcPr>
            <w:tcW w:type="dxa" w:w="96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66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Supuesto</w:t>
            </w:r>
          </w:p>
        </w:tc>
        <w:tc>
          <w:tcPr>
            <w:tcW w:type="dxa" w:w="17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Relacionado con</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S-01</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calendario es de 8 semanas con un equipo de tres personas.</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S-02</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 una sola liga y una temporada activa a la vez.</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 RN-058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S-03</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deportivas y disciplinarias usan valores [DEMO] rotulados como no oficiales hasta contar con el Reglamento y la Convocatoria.</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Q-03, PEN-021</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S-04</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12 tipos de usuario usan la matriz inicial del Apéndice E, configurable por el Administrador general.</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S-05</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stack es React, Spring Boot, PostgreSQL en Supabase y Supabase Auth.</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DEC-43</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S-06</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prioridad de producto se conserva de la revisión 0.1; la entrega se clasifica en N, B y F.</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DEC-01</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S-07</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demostración usa datos ficticios.</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S-08</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pago en línea es simulado.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S-09</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presume que el uso de herramientas de IA reduzca el esfuerzo de análisis, integración, pruebas o mantenimiento.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S-10</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profesor actuó como representante del cliente en el levantamiento.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Q-22</w:t>
            </w:r>
          </w:p>
        </w:tc>
      </w:tr>
    </w:tbl>
    <w:bookmarkEnd w:id="179"/>
    <w:bookmarkStart w:id="180" w:name="Xaeea4c0d41eae94d2e5116a9a18687ae39ceea1"/>
    <w:p>
      <w:pPr>
        <w:pStyle w:val="Heading1"/>
      </w:pPr>
      <w:r>
        <w:t xml:space="preserve">Apéndice E. Matriz inicial rol → módulo → acción</w:t>
      </w:r>
    </w:p>
    <w:p>
      <w:pPr>
        <w:pStyle w:val="FirstParagraph"/>
      </w:pPr>
      <w:r>
        <w:t xml:space="preserve">Configuración inicial de DEC-04.</w:t>
      </w:r>
      <w:r>
        <w:t xml:space="preserve"> </w:t>
      </w:r>
      <w:r>
        <w:rPr>
          <w:bCs/>
          <w:b/>
        </w:rPr>
        <w:t xml:space="preserve">C</w:t>
      </w:r>
      <w:r>
        <w:t xml:space="preserve"> </w:t>
      </w:r>
      <w:r>
        <w:t xml:space="preserve">crear/registrar ·</w:t>
      </w:r>
      <w:r>
        <w:t xml:space="preserve"> </w:t>
      </w:r>
      <w:r>
        <w:rPr>
          <w:bCs/>
          <w:b/>
        </w:rPr>
        <w:t xml:space="preserve">L</w:t>
      </w:r>
      <w:r>
        <w:t xml:space="preserve"> </w:t>
      </w:r>
      <w:r>
        <w:t xml:space="preserve">consultar ·</w:t>
      </w:r>
      <w:r>
        <w:t xml:space="preserve"> </w:t>
      </w:r>
      <w:r>
        <w:rPr>
          <w:bCs/>
          <w:b/>
        </w:rPr>
        <w:t xml:space="preserve">E</w:t>
      </w:r>
      <w:r>
        <w:t xml:space="preserve"> </w:t>
      </w:r>
      <w:r>
        <w:t xml:space="preserve">editar ·</w:t>
      </w:r>
      <w:r>
        <w:t xml:space="preserve"> </w:t>
      </w:r>
      <w:r>
        <w:rPr>
          <w:bCs/>
          <w:b/>
        </w:rPr>
        <w:t xml:space="preserve">A</w:t>
      </w:r>
      <w:r>
        <w:t xml:space="preserve"> </w:t>
      </w:r>
      <w:r>
        <w:t xml:space="preserve">aprobar, validar o resolver ·</w:t>
      </w:r>
      <w:r>
        <w:t xml:space="preserve"> </w:t>
      </w:r>
      <w:r>
        <w:rPr>
          <w:bCs/>
          <w:b/>
        </w:rPr>
        <w:t xml:space="preserve">P</w:t>
      </w:r>
      <w:r>
        <w:t xml:space="preserve"> </w:t>
      </w:r>
      <w:r>
        <w:t xml:space="preserve">publicar ·</w:t>
      </w:r>
      <w:r>
        <w:t xml:space="preserve"> </w:t>
      </w:r>
      <w:r>
        <w:rPr>
          <w:bCs/>
          <w:b/>
        </w:rPr>
        <w:t xml:space="preserve">X</w:t>
      </w:r>
      <w:r>
        <w:t xml:space="preserve"> </w:t>
      </w:r>
      <w:r>
        <w:t xml:space="preserve">exportar ·</w:t>
      </w:r>
      <w:r>
        <w:t xml:space="preserve"> </w:t>
      </w:r>
      <w:r>
        <w:rPr>
          <w:bCs/>
          <w:b/>
        </w:rPr>
        <w:t xml:space="preserve">(*)</w:t>
      </w:r>
      <w:r>
        <w:t xml:space="preserve"> </w:t>
      </w:r>
      <w:r>
        <w:t xml:space="preserve">solo su ámbito (su club, sus partidos o sus datos).</w:t>
      </w:r>
    </w:p>
    <w:tbl>
      <w:tblPr>
        <w:tblStyle w:val="Table"/>
        <w:jc w:val="center"/>
        <w:tblLook w:firstRow="1" w:lastRow="0" w:firstColumn="0" w:lastColumn="0" w:noHBand="0" w:noVBand="0" w:val="0020"/>
        <w:tblW w:w="9405" w:type="dxa"/>
        <w:tblLayout w:type="fixed"/>
      </w:tblPr>
      <w:tblGrid>
        <w:gridCol w:w="491"/>
        <w:gridCol w:w="2262"/>
        <w:gridCol w:w="6651"/>
      </w:tblGrid>
      <w:tr>
        <w:trPr>
          <w:tblHeader w:val="true"/>
          <w:tblHeader/>
        </w:trPr>
        <w:tc>
          <w:tcPr>
            <w:tcW w:type="dxa" w:w="4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w:t>
            </w:r>
          </w:p>
        </w:tc>
        <w:tc>
          <w:tcPr>
            <w:tcW w:type="dxa" w:w="22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Rol</w:t>
            </w:r>
          </w:p>
        </w:tc>
        <w:tc>
          <w:tcPr>
            <w:tcW w:type="dxa" w:w="66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Permisos por módulo</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 C L E (usuarios, roles, permisos, auditoría) · M-02 C L E (temporadas, categorías, parámetros) · M-03 L E · M-06 C L E (catálogo de canchas) · M-09 C L E (catálogos) · M-12 L X. No aprueba decisiones del negocio.</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del Comité Ejecutivo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 A (reglas interpretadas) · M-03 A (afiliaciones, cambios de directiva, venta de equipo, plaza) · M-06 A (préstamos, ofertas, comodatos) · M-07 A (programación) · M-09 A (recursos) · M-10 A (ascensos y descensos) · M-11 A (comunicados) · M-01 A (pares de permisos incompatibles), L (auditoría)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3</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(liga)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 C E (convocatoria) · M-03 C L E (tarjetones) · M-04 L A (documentos e identidad) · M-06 C (oficios; ofertas de externos) · M-11 C E P (comunicados aprobados)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(liga)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 C L E A (tarifas, cobros, pagos, adeudos) · M-06 L (costos de cancha)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5</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 C L E A (expedientes, resoluciones, sanciones, publicación de sanciones) · M-08 L (cédulas e incidencias) · M-04 L (elegibilidad)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6</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 C L E A (catálogo, validación, disponibilidad, designaciones) · M-08 A (cédula con plazo vencido) · M-07 L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7</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 C L E (programación y ajustes) · M-08 E (Suspendido, Reprogramado, Cancelado) · M-10 C E (fases y llaves) · M-05 L · M-06 L</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 C* E* (tarjetón y equipos; solo el presidente del club lo firma) · M-04 C* E* (jugadores y documentos) · M-05 C* (árbitros del club) · M-06 C* (solicitudes y ofertas) · M-09 C* L* (recursos, sanciones del club) · M-13 L* y pago* (cargo tesorero) · M-07 y M-08 L*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 L* E* (designaciones y disponibilidad propias) · M-08 A* (cédula de sus partidos)</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10</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 C E (cédula y envío a validación)</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11</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 L* · M-08 L* · M-09 L* (información propia o del menor)</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12</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 L (información publicada)</w:t>
            </w:r>
          </w:p>
        </w:tc>
      </w:tr>
    </w:tbl>
    <w:p>
      <w:pPr>
        <w:pStyle w:val="BodyText"/>
      </w:pPr>
      <w:r>
        <w:t xml:space="preserve">Pares de permisos incompatibles iniciales [PROPUESTA]: capturar y validar cédula; programar y aprobar programación; resolver expediente y resolver recurso; redactar y aprobar comunicados; modificar permisos y aprobar pares incompatibles.</w:t>
      </w:r>
    </w:p>
    <w:bookmarkEnd w:id="180"/>
    <w:sectPr>
      <w:headerReference w:type="default" r:id="rId10"/>
      <w:footerReference w:type="default" r:id="rId11"/>
      <w:pgSz w:w="12240" w:h="15840"/>
      <w:pgMar w:left="1417" w:right="1417" w:top="1417" w:bottom="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Borrador para seguimiento · Octubre de 2026 · Pág.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ERS · SIGLIM · Sistema de Gestión de la Liga Municipal de Futbol Amateur Morelia · Rev. 0.4</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80"/>
      <w:outlineLvl w:val="0"/>
    </w:pPr>
    <w:rPr>
      <w:rFonts w:asciiTheme="majorHAnsi" w:cstheme="majorBidi" w:eastAsiaTheme="majorEastAsia" w:hAnsiTheme="majorHAnsi" w:ascii="Arial" w:hAnsi="Arial" w:eastAsia="Arial"/>
      <w:b/>
      <w:bCs/>
      <w:color w:val="006837"/>
      <w:sz w:val="32"/>
      <w:szCs w:val="32"/>
    </w:rPr>
  </w:style>
  <w:style w:styleId="Heading2" w:type="paragraph">
    <w:name w:val="Heading 2"/>
    <w:basedOn w:val="Normal"/>
    <w:next w:val="BodyText"/>
    <w:uiPriority w:val="9"/>
    <w:unhideWhenUsed/>
    <w:qFormat/>
    <w:pPr>
      <w:keepNext/>
      <w:keepLines/>
      <w:spacing w:after="120" w:before="200"/>
      <w:outlineLvl w:val="1"/>
    </w:pPr>
    <w:rPr>
      <w:rFonts w:asciiTheme="majorHAnsi" w:cstheme="majorBidi" w:eastAsiaTheme="majorEastAsia" w:hAnsiTheme="majorHAnsi" w:ascii="Arial" w:hAnsi="Arial" w:eastAsia="Arial"/>
      <w:b/>
      <w:bCs/>
      <w:color w:val="006837"/>
      <w:sz w:val="26"/>
      <w:szCs w:val="28"/>
    </w:rPr>
  </w:style>
  <w:style w:styleId="Heading3" w:type="paragraph">
    <w:name w:val="Heading 3"/>
    <w:basedOn w:val="Normal"/>
    <w:next w:val="BodyText"/>
    <w:uiPriority w:val="9"/>
    <w:unhideWhenUsed/>
    <w:qFormat/>
    <w:pPr>
      <w:keepNext/>
      <w:keepLines/>
      <w:spacing w:after="120" w:before="200"/>
      <w:outlineLvl w:val="2"/>
    </w:pPr>
    <w:rPr>
      <w:rFonts w:asciiTheme="majorHAnsi" w:cstheme="majorBidi" w:eastAsiaTheme="majorEastAsia" w:hAnsiTheme="majorHAnsi" w:ascii="Arial" w:hAnsi="Arial" w:eastAsia="Arial"/>
      <w:b/>
      <w:bCs/>
      <w:color w:val="006837"/>
      <w:sz w:val="23"/>
      <w:szCs w:val="24"/>
    </w:rPr>
  </w:style>
  <w:style w:styleId="Heading4" w:type="paragraph">
    <w:name w:val="Heading 4"/>
    <w:basedOn w:val="Normal"/>
    <w:next w:val="BodyText"/>
    <w:uiPriority w:val="9"/>
    <w:unhideWhenUsed/>
    <w:qFormat/>
    <w:pPr>
      <w:keepNext/>
      <w:keepLines/>
      <w:spacing w:after="120" w:before="200"/>
      <w:outlineLvl w:val="3"/>
    </w:pPr>
    <w:rPr>
      <w:rFonts w:asciiTheme="majorHAnsi" w:cstheme="majorBidi" w:eastAsiaTheme="majorEastAsia" w:hAnsiTheme="majorHAnsi" w:ascii="Arial" w:hAnsi="Arial" w:eastAsia="Arial"/>
      <w:i/>
      <w:b/>
      <w:bCs/>
      <w:color w:val="006837"/>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hAnsi="Arial" w:eastAsia="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eastAsia="Arial"/>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44" Type="http://schemas.openxmlformats.org/officeDocument/2006/relationships/image" Target="media/rId44.png"/><Relationship Id="rId92" Type="http://schemas.openxmlformats.org/officeDocument/2006/relationships/image" Target="media/rId92.png"/><Relationship Id="rId95" Type="http://schemas.openxmlformats.org/officeDocument/2006/relationships/image" Target="media/rId95.png"/><Relationship Id="rId98" Type="http://schemas.openxmlformats.org/officeDocument/2006/relationships/image" Target="media/rId98.png"/><Relationship Id="rId102" Type="http://schemas.openxmlformats.org/officeDocument/2006/relationships/image" Target="media/rId102.png"/><Relationship Id="rId106" Type="http://schemas.openxmlformats.org/officeDocument/2006/relationships/image" Target="media/rId106.png"/><Relationship Id="rId110" Type="http://schemas.openxmlformats.org/officeDocument/2006/relationships/image" Target="media/rId110.png"/><Relationship Id="rId115" Type="http://schemas.openxmlformats.org/officeDocument/2006/relationships/image" Target="media/rId115.png"/><Relationship Id="rId119" Type="http://schemas.openxmlformats.org/officeDocument/2006/relationships/image" Target="media/rId119.png"/><Relationship Id="rId123" Type="http://schemas.openxmlformats.org/officeDocument/2006/relationships/image" Target="media/rId123.png"/><Relationship Id="rId129" Type="http://schemas.openxmlformats.org/officeDocument/2006/relationships/image" Target="media/rId129.png"/><Relationship Id="rId133" Type="http://schemas.openxmlformats.org/officeDocument/2006/relationships/image" Target="media/rId133.png"/><Relationship Id="rId138" Type="http://schemas.openxmlformats.org/officeDocument/2006/relationships/image" Target="media/rId138.png"/><Relationship Id="rId143" Type="http://schemas.openxmlformats.org/officeDocument/2006/relationships/image" Target="media/rId143.png"/><Relationship Id="rId147" Type="http://schemas.openxmlformats.org/officeDocument/2006/relationships/image" Target="media/rId147.png"/><Relationship Id="rId151" Type="http://schemas.openxmlformats.org/officeDocument/2006/relationships/image" Target="media/rId151.png"/><Relationship Id="rId155" Type="http://schemas.openxmlformats.org/officeDocument/2006/relationships/image" Target="media/rId155.png"/><Relationship Id="rId159" Type="http://schemas.openxmlformats.org/officeDocument/2006/relationships/image" Target="media/rId159.png"/><Relationship Id="rId163" Type="http://schemas.openxmlformats.org/officeDocument/2006/relationships/image" Target="media/rId163.png"/><Relationship Id="rId168" Type="http://schemas.openxmlformats.org/officeDocument/2006/relationships/image" Target="media/rId168.png"/><Relationship Id="rId41" Type="http://schemas.openxmlformats.org/officeDocument/2006/relationships/hyperlink" Target="../arquitectura/arquitectura-y-diseno-jerarquico.md" TargetMode="External"/><Relationship Id="rId34" Type="http://schemas.openxmlformats.org/officeDocument/2006/relationships/hyperlink" Target="decisiones/registro-de-decisiones.md" TargetMode="External"/><Relationship Id="rId32" Type="http://schemas.openxmlformats.org/officeDocument/2006/relationships/hyperlink" Target="fuentes/documentacion-tecnica-base-ers.md" TargetMode="External"/><Relationship Id="rId33" Type="http://schemas.openxmlformats.org/officeDocument/2006/relationships/hyperlink" Target="fuentes/formatos-carta-cancha.md" TargetMode="External"/><Relationship Id="rId31" Type="http://schemas.openxmlformats.org/officeDocument/2006/relationships/hyperlink" Target="fuentes/levantamiento-audio-r2-transcripcion.md" TargetMode="External"/><Relationship Id="rId56" Type="http://schemas.openxmlformats.org/officeDocument/2006/relationships/hyperlink" Target="https://itecm-my.sharepoint.com/:b:/g/personal/l24120356_morelia_tecnm_mx/IQCzMefLsnvMS6fRWMhs3da1Af0Bkpxt7vIjWf2IgmIU-hw?e=jDG3Ne" TargetMode="External"/><Relationship Id="rId42" Type="http://schemas.openxmlformats.org/officeDocument/2006/relationships/hyperlink" Target="https://itecm-my.sharepoint.com/:b:/g/personal/l24120356_morelia_tecnm_mx/IQDJlksHByLHR6OTzFSXRQSVAUigyqzW2snfk5ciVYfrWVU?e=Xcwb0G" TargetMode="External"/><Relationship Id="rId57" Type="http://schemas.openxmlformats.org/officeDocument/2006/relationships/hyperlink" Target="https://itecm-my.sharepoint.com/:u:/g/personal/l24120356_morelia_tecnm_mx/IQDvro8mXY5pSZJ3D3LUadWjAZiVS9JHpOUPktLOPQxK8zA?e=qO5cHm" TargetMode="External"/><Relationship Id="rId53" Type="http://schemas.openxmlformats.org/officeDocument/2006/relationships/hyperlink" Target="https://www.figma.com/design/kxtW96Gd0FNxdwmvSk6S4t/Untitled?node-id=0-1&amp;t=VymLfyImOGjy1T3f-1" TargetMode="External"/><Relationship Id="rId27" Type="http://schemas.openxmlformats.org/officeDocument/2006/relationships/hyperlink" Target="mailto:l24120339@morelia.tecnm.mx" TargetMode="External"/><Relationship Id="rId26" Type="http://schemas.openxmlformats.org/officeDocument/2006/relationships/hyperlink" Target="mailto:l24120356@morelia.tecnm.mx" TargetMode="External"/><Relationship Id="rId28" Type="http://schemas.openxmlformats.org/officeDocument/2006/relationships/hyperlink" Target="mailto:l24120362@morelia.tecnm.mx"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arquitectura/arquitectura-y-diseno-jerarquico.md" TargetMode="External"/><Relationship Id="rId34" Type="http://schemas.openxmlformats.org/officeDocument/2006/relationships/hyperlink" Target="decisiones/registro-de-decisiones.md" TargetMode="External"/><Relationship Id="rId32" Type="http://schemas.openxmlformats.org/officeDocument/2006/relationships/hyperlink" Target="fuentes/documentacion-tecnica-base-ers.md" TargetMode="External"/><Relationship Id="rId33" Type="http://schemas.openxmlformats.org/officeDocument/2006/relationships/hyperlink" Target="fuentes/formatos-carta-cancha.md" TargetMode="External"/><Relationship Id="rId31" Type="http://schemas.openxmlformats.org/officeDocument/2006/relationships/hyperlink" Target="fuentes/levantamiento-audio-r2-transcripcion.md" TargetMode="External"/><Relationship Id="rId56" Type="http://schemas.openxmlformats.org/officeDocument/2006/relationships/hyperlink" Target="https://itecm-my.sharepoint.com/:b:/g/personal/l24120356_morelia_tecnm_mx/IQCzMefLsnvMS6fRWMhs3da1Af0Bkpxt7vIjWf2IgmIU-hw?e=jDG3Ne" TargetMode="External"/><Relationship Id="rId42" Type="http://schemas.openxmlformats.org/officeDocument/2006/relationships/hyperlink" Target="https://itecm-my.sharepoint.com/:b:/g/personal/l24120356_morelia_tecnm_mx/IQDJlksHByLHR6OTzFSXRQSVAUigyqzW2snfk5ciVYfrWVU?e=Xcwb0G" TargetMode="External"/><Relationship Id="rId57" Type="http://schemas.openxmlformats.org/officeDocument/2006/relationships/hyperlink" Target="https://itecm-my.sharepoint.com/:u:/g/personal/l24120356_morelia_tecnm_mx/IQDvro8mXY5pSZJ3D3LUadWjAZiVS9JHpOUPktLOPQxK8zA?e=qO5cHm" TargetMode="External"/><Relationship Id="rId53" Type="http://schemas.openxmlformats.org/officeDocument/2006/relationships/hyperlink" Target="https://www.figma.com/design/kxtW96Gd0FNxdwmvSk6S4t/Untitled?node-id=0-1&amp;t=VymLfyImOGjy1T3f-1" TargetMode="External"/><Relationship Id="rId27" Type="http://schemas.openxmlformats.org/officeDocument/2006/relationships/hyperlink" Target="mailto:l24120339@morelia.tecnm.mx" TargetMode="External"/><Relationship Id="rId26" Type="http://schemas.openxmlformats.org/officeDocument/2006/relationships/hyperlink" Target="mailto:l24120356@morelia.tecnm.mx" TargetMode="External"/><Relationship Id="rId28" Type="http://schemas.openxmlformats.org/officeDocument/2006/relationships/hyperlink" Target="mailto:l24120362@morelia.tecnm.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SIGLIM · Rev. 0.4</dc:title>
  <dc:creator>López Meza Leonardo; Olvera Bucio Jose Israel; Olvera Lobato David Geovani</dc:creator>
  <cp:keywords/>
  <dcterms:created xsi:type="dcterms:W3CDTF">2026-10-20T02:49:26Z</dcterms:created>
  <dcterms:modified xsi:type="dcterms:W3CDTF">2026-10-20T02:49:26Z</dcterms:modified>
  <dc:subject>Especificación de requisitos de software (IEEE 830)</dc:subject>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Contenido</vt:lpwstr>
  </property>
</Properties>
</file>