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480"/>
        <w:jc w:val="center"/>
      </w:pPr>
      <w:r>
        <w:drawing>
          <wp:inline>
            <wp:extent cx="1440000" cy="682759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682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b/>
          <w:sz w:val="24"/>
        </w:rPr>
        <w:t>Tecnológico Nacional de México</w:t>
      </w:r>
    </w:p>
    <w:p>
      <w:pPr>
        <w:spacing w:after="720"/>
        <w:jc w:val="center"/>
      </w:pPr>
      <w:r>
        <w:rPr>
          <w:rFonts w:ascii="Arial" w:hAnsi="Arial"/>
          <w:b/>
          <w:sz w:val="24"/>
        </w:rPr>
        <w:t>Instituto Tecnológico de Morelia</w:t>
      </w:r>
    </w:p>
    <w:p>
      <w:pPr>
        <w:spacing w:after="120"/>
        <w:jc w:val="center"/>
      </w:pPr>
      <w:r>
        <w:rPr>
          <w:rFonts w:ascii="Arial" w:hAnsi="Arial"/>
          <w:b/>
          <w:color w:val="006837"/>
          <w:sz w:val="44"/>
        </w:rPr>
        <w:t>Arquitectura y diseño jerárquico</w:t>
      </w:r>
    </w:p>
    <w:p>
      <w:pPr>
        <w:spacing w:after="120"/>
        <w:jc w:val="center"/>
      </w:pPr>
      <w:r>
        <w:rPr>
          <w:rFonts w:ascii="Arial" w:hAnsi="Arial"/>
          <w:b/>
          <w:color w:val="006837"/>
          <w:sz w:val="36"/>
        </w:rPr>
        <w:t>SIGLIM</w:t>
      </w:r>
    </w:p>
    <w:p>
      <w:pPr>
        <w:spacing w:after="480"/>
        <w:jc w:val="center"/>
      </w:pPr>
      <w:r>
        <w:rPr>
          <w:rFonts w:ascii="Arial" w:hAnsi="Arial"/>
          <w:b w:val="0"/>
          <w:sz w:val="26"/>
        </w:rPr>
        <w:t>Sistema de Gestión de la Liga Municipal de Futbol Amateur Morelia</w:t>
      </w:r>
    </w:p>
    <w:p>
      <w:pPr>
        <w:spacing w:after="720"/>
        <w:jc w:val="center"/>
      </w:pPr>
      <w:r>
        <w:rPr>
          <w:rFonts w:ascii="Arial" w:hAnsi="Arial"/>
          <w:b w:val="0"/>
          <w:sz w:val="22"/>
        </w:rPr>
        <w:t>Versión 2.0 · Alineado con el ERS Rev. 0.4 · ISO/IEC/IEEE 42010</w:t>
      </w:r>
    </w:p>
    <w:p>
      <w:pPr>
        <w:spacing w:after="360"/>
        <w:jc w:val="center"/>
      </w:pPr>
      <w:r>
        <w:rPr>
          <w:rFonts w:ascii="Arial" w:hAnsi="Arial"/>
          <w:b w:val="0"/>
          <w:sz w:val="22"/>
        </w:rPr>
        <w:t>Ingeniería en Sistemas Computacionales · Fundamentos de Ingeniería de Software</w:t>
      </w:r>
    </w:p>
    <w:p>
      <w:pPr>
        <w:spacing w:after="120"/>
        <w:jc w:val="center"/>
      </w:pPr>
      <w:r>
        <w:rPr>
          <w:rFonts w:ascii="Arial" w:hAnsi="Arial"/>
          <w:b/>
          <w:sz w:val="22"/>
        </w:rPr>
        <w:t>Presentan</w:t>
      </w:r>
    </w:p>
    <w:p>
      <w:pPr>
        <w:spacing w:after="40"/>
        <w:jc w:val="center"/>
      </w:pPr>
      <w:r>
        <w:rPr>
          <w:rFonts w:ascii="Arial" w:hAnsi="Arial"/>
          <w:b w:val="0"/>
          <w:sz w:val="22"/>
        </w:rPr>
        <w:t>López Meza Leonardo</w:t>
      </w:r>
    </w:p>
    <w:p>
      <w:pPr>
        <w:spacing w:after="40"/>
        <w:jc w:val="center"/>
      </w:pPr>
      <w:r>
        <w:rPr>
          <w:rFonts w:ascii="Arial" w:hAnsi="Arial"/>
          <w:b w:val="0"/>
          <w:sz w:val="22"/>
        </w:rPr>
        <w:t>Olvera Bucio Jose Israel</w:t>
      </w:r>
    </w:p>
    <w:p>
      <w:pPr>
        <w:spacing w:after="40"/>
        <w:jc w:val="center"/>
      </w:pPr>
      <w:r>
        <w:rPr>
          <w:rFonts w:ascii="Arial" w:hAnsi="Arial"/>
          <w:b w:val="0"/>
          <w:sz w:val="22"/>
        </w:rPr>
        <w:t>Olvera Lobato David Geovani</w:t>
      </w:r>
    </w:p>
    <w:p>
      <w:pPr>
        <w:spacing w:after="240"/>
        <w:jc w:val="center"/>
      </w:pPr>
    </w:p>
    <w:p>
      <w:pPr>
        <w:spacing w:after="120"/>
        <w:jc w:val="center"/>
      </w:pPr>
      <w:r>
        <w:rPr>
          <w:rFonts w:ascii="Arial" w:hAnsi="Arial"/>
          <w:b/>
          <w:sz w:val="22"/>
        </w:rPr>
        <w:t>Profesor</w:t>
      </w:r>
    </w:p>
    <w:p>
      <w:pPr>
        <w:spacing w:after="720"/>
        <w:jc w:val="center"/>
      </w:pPr>
      <w:r>
        <w:rPr>
          <w:rFonts w:ascii="Arial" w:hAnsi="Arial"/>
          <w:b w:val="0"/>
          <w:sz w:val="22"/>
        </w:rPr>
        <w:t>Claudio Ernesto Florian Arenas</w:t>
      </w:r>
    </w:p>
    <w:p>
      <w:pPr>
        <w:spacing w:after="120"/>
        <w:jc w:val="center"/>
      </w:pPr>
      <w:r>
        <w:rPr>
          <w:rFonts w:ascii="Arial" w:hAnsi="Arial"/>
          <w:b w:val="0"/>
          <w:sz w:val="22"/>
        </w:rPr>
        <w:t>Morelia, Michoacán · Octubre de 2026</w:t>
      </w:r>
    </w:p>
    <w:p>
      <w:pPr>
        <w:spacing w:after="120"/>
        <w:jc w:val="center"/>
      </w:pPr>
      <w:r>
        <w:rPr>
          <w:rFonts w:ascii="Arial" w:hAnsi="Arial"/>
          <w:b w:val="0"/>
          <w:sz w:val="18"/>
        </w:rPr>
        <w:t>Borrador para seguimiento académico; pendiente de validación por la Liga.</w:t>
      </w:r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Contenido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control-del-documento"/>
    <w:p>
      <w:pPr>
        <w:pStyle w:val="Heading1"/>
      </w:pPr>
      <w:r>
        <w:t xml:space="preserve">Control del documento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039"/>
        <w:gridCol w:w="1905"/>
        <w:gridCol w:w="6460"/>
      </w:tblGrid>
      <w:tr>
        <w:trPr>
          <w:tblHeader w:val="true"/>
          <w:tblHeader/>
        </w:trPr>
        <w:tc>
          <w:tcPr>
            <w:tcW w:type="dxa" w:w="10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Versión</w:t>
            </w:r>
          </w:p>
        </w:tc>
        <w:tc>
          <w:tcPr>
            <w:tcW w:type="dxa" w:w="19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Fecha</w:t>
            </w:r>
          </w:p>
        </w:tc>
        <w:tc>
          <w:tcPr>
            <w:tcW w:type="dxa" w:w="64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Cambios</w:t>
            </w:r>
          </w:p>
        </w:tc>
      </w:tr>
      <w:tr>
        <w:tc>
          <w:tcPr>
            <w:tcW w:type="dxa" w:w="10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1.0</w:t>
            </w:r>
          </w:p>
        </w:tc>
        <w:tc>
          <w:tcPr>
            <w:tcW w:type="dxa" w:w="19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7 de octubre de 2026</w:t>
            </w:r>
          </w:p>
        </w:tc>
        <w:tc>
          <w:tcPr>
            <w:tcW w:type="dxa" w:w="64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HIPO de 8 módulos, componentes y despliegue, decisiones de la Rev. 0.3.</w:t>
            </w:r>
          </w:p>
        </w:tc>
      </w:tr>
      <w:tr>
        <w:tc>
          <w:tcPr>
            <w:tcW w:type="dxa" w:w="10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2.0</w:t>
            </w:r>
          </w:p>
        </w:tc>
        <w:tc>
          <w:tcPr>
            <w:tcW w:type="dxa" w:w="19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19 de octubre de 2026</w:t>
            </w:r>
          </w:p>
        </w:tc>
        <w:tc>
          <w:tcPr>
            <w:tcW w:type="dxa" w:w="64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HIPO de los 14 módulos de la Rev. 0.4; vistas de contenedores, componentes, dinámica, datos, seguridad y despliegue; ADR-0006 a ADR-0012; aceptación de ADR-0003 y ADR-0005.</w:t>
            </w:r>
          </w:p>
        </w:tc>
      </w:tr>
    </w:tbl>
    <w:bookmarkEnd w:id="20"/>
    <w:bookmarkStart w:id="21" w:name="Xaaf149bcf2903644a637e6fcc227872d3c1acb2"/>
    <w:p>
      <w:pPr>
        <w:pStyle w:val="Heading1"/>
      </w:pPr>
      <w:r>
        <w:t xml:space="preserve">1. Propósito, alcance y referencias</w:t>
      </w:r>
    </w:p>
    <w:p>
      <w:pPr>
        <w:pStyle w:val="FirstParagraph"/>
      </w:pPr>
      <w:r>
        <w:t xml:space="preserve">Este documento describe</w:t>
      </w:r>
      <w:r>
        <w:t xml:space="preserve"> </w:t>
      </w:r>
      <w:r>
        <w:rPr>
          <w:bCs/>
          <w:b/>
        </w:rPr>
        <w:t xml:space="preserve">cómo se construye</w:t>
      </w:r>
      <w:r>
        <w:t xml:space="preserve"> </w:t>
      </w:r>
      <w:r>
        <w:t xml:space="preserve">SIGLIM para cumplir el ERS Rev. 0.4: la</w:t>
      </w:r>
      <w:r>
        <w:t xml:space="preserve"> </w:t>
      </w:r>
      <w:r>
        <w:t xml:space="preserve">descomposición en módulos y submódulos (diseño jerárquico con la técnica HIPO), la arquitectura de</w:t>
      </w:r>
      <w:r>
        <w:t xml:space="preserve"> </w:t>
      </w:r>
      <w:r>
        <w:t xml:space="preserve">software en vistas (contexto, contenedores, componentes, comportamiento, datos, seguridad y</w:t>
      </w:r>
      <w:r>
        <w:t xml:space="preserve"> </w:t>
      </w:r>
      <w:r>
        <w:t xml:space="preserve">despliegue) y las decisiones que la justifican. Se dirige al equipo de desarrollo, al profesor y a</w:t>
      </w:r>
      <w:r>
        <w:t xml:space="preserve"> </w:t>
      </w:r>
      <w:r>
        <w:t xml:space="preserve">los agentes de IA que trabajan en el repositorio.</w:t>
      </w:r>
    </w:p>
    <w:p>
      <w:pPr>
        <w:pStyle w:val="BodyText"/>
      </w:pPr>
      <w:r>
        <w:t xml:space="preserve">Cubre los requisitos de entrega</w:t>
      </w:r>
      <w:r>
        <w:t xml:space="preserve"> </w:t>
      </w:r>
      <w:r>
        <w:rPr>
          <w:bCs/>
          <w:b/>
        </w:rPr>
        <w:t xml:space="preserve">N</w:t>
      </w:r>
      <w:r>
        <w:t xml:space="preserve"> </w:t>
      </w:r>
      <w:r>
        <w:t xml:space="preserve">(núcleo) y</w:t>
      </w:r>
      <w:r>
        <w:t xml:space="preserve"> </w:t>
      </w:r>
      <w:r>
        <w:rPr>
          <w:bCs/>
          <w:b/>
        </w:rPr>
        <w:t xml:space="preserve">B</w:t>
      </w:r>
      <w:r>
        <w:t xml:space="preserve"> </w:t>
      </w:r>
      <w:r>
        <w:t xml:space="preserve">(backlog); los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t xml:space="preserve">(ERS §2.6) no se</w:t>
      </w:r>
      <w:r>
        <w:t xml:space="preserve"> </w:t>
      </w:r>
      <w:r>
        <w:t xml:space="preserve">diseñan. Los valores</w:t>
      </w:r>
      <w:r>
        <w:t xml:space="preserve"> </w:t>
      </w:r>
      <w:r>
        <w:rPr>
          <w:bCs/>
          <w:b/>
        </w:rPr>
        <w:t xml:space="preserve">[DEMO]</w:t>
      </w:r>
      <w:r>
        <w:t xml:space="preserve"> </w:t>
      </w:r>
      <w:r>
        <w:t xml:space="preserve">son configuración y los</w:t>
      </w:r>
      <w:r>
        <w:t xml:space="preserve"> </w:t>
      </w:r>
      <w:r>
        <w:rPr>
          <w:bCs/>
          <w:b/>
        </w:rPr>
        <w:t xml:space="preserve">[PROPUESTA]</w:t>
      </w:r>
      <w:r>
        <w:t xml:space="preserve"> </w:t>
      </w:r>
      <w:r>
        <w:t xml:space="preserve">son del equipo, pendientes</w:t>
      </w:r>
      <w:r>
        <w:t xml:space="preserve"> </w:t>
      </w:r>
      <w:r>
        <w:t xml:space="preserve">de validar con la Liga.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737"/>
        <w:gridCol w:w="8667"/>
      </w:tblGrid>
      <w:tr>
        <w:trPr>
          <w:tblHeader w:val="true"/>
          <w:tblHeader/>
        </w:trPr>
        <w:tc>
          <w:tcPr>
            <w:tcW w:type="dxa" w:w="7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ID</w:t>
            </w:r>
          </w:p>
        </w:tc>
        <w:tc>
          <w:tcPr>
            <w:tcW w:type="dxa" w:w="86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Documento</w:t>
            </w:r>
          </w:p>
        </w:tc>
      </w:tr>
      <w:tr>
        <w:tc>
          <w:tcPr>
            <w:tcW w:type="dxa" w:w="7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R1</w:t>
            </w:r>
          </w:p>
        </w:tc>
        <w:tc>
          <w:tcPr>
            <w:tcW w:type="dxa" w:w="86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ERS SIGLIM Rev. 0.4 (</w:t>
            </w:r>
            <w:r>
              <w:rPr>
                <w:rStyle w:val="VerbatimChar"/>
                <w:rFonts w:ascii="Arial" w:hAnsi="Arial"/>
                <w:sz w:val="17"/>
              </w:rPr>
              <w:t xml:space="preserve">docs/requisitos/ERS.md</w:t>
            </w:r>
            <w:r>
              <w:rPr>
                <w:rFonts w:ascii="Arial" w:hAnsi="Arial"/>
                <w:sz w:val="17"/>
              </w:rPr>
              <w:t xml:space="preserve">).</w:t>
            </w:r>
          </w:p>
        </w:tc>
      </w:tr>
      <w:tr>
        <w:tc>
          <w:tcPr>
            <w:tcW w:type="dxa" w:w="7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R2</w:t>
            </w:r>
          </w:p>
        </w:tc>
        <w:tc>
          <w:tcPr>
            <w:tcW w:type="dxa" w:w="86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BPMN de los procesos del sistema v2.0 (</w:t>
            </w:r>
            <w:r>
              <w:rPr>
                <w:rStyle w:val="VerbatimChar"/>
                <w:rFonts w:ascii="Arial" w:hAnsi="Arial"/>
                <w:sz w:val="17"/>
              </w:rPr>
              <w:t xml:space="preserve">docs/requisitos/bpmn/</w:t>
            </w:r>
            <w:r>
              <w:rPr>
                <w:rFonts w:ascii="Arial" w:hAnsi="Arial"/>
                <w:sz w:val="17"/>
              </w:rPr>
              <w:t xml:space="preserve">).</w:t>
            </w:r>
          </w:p>
        </w:tc>
      </w:tr>
      <w:tr>
        <w:tc>
          <w:tcPr>
            <w:tcW w:type="dxa" w:w="7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R3</w:t>
            </w:r>
          </w:p>
        </w:tc>
        <w:tc>
          <w:tcPr>
            <w:tcW w:type="dxa" w:w="86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Registro de decisiones DEC-01 a DEC-44 (</w:t>
            </w:r>
            <w:r>
              <w:rPr>
                <w:rStyle w:val="VerbatimChar"/>
                <w:rFonts w:ascii="Arial" w:hAnsi="Arial"/>
                <w:sz w:val="17"/>
              </w:rPr>
              <w:t xml:space="preserve">docs/requisitos/decisiones/</w:t>
            </w:r>
            <w:r>
              <w:rPr>
                <w:rFonts w:ascii="Arial" w:hAnsi="Arial"/>
                <w:sz w:val="17"/>
              </w:rPr>
              <w:t xml:space="preserve">).</w:t>
            </w:r>
          </w:p>
        </w:tc>
      </w:tr>
      <w:tr>
        <w:tc>
          <w:tcPr>
            <w:tcW w:type="dxa" w:w="7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R4</w:t>
            </w:r>
          </w:p>
        </w:tc>
        <w:tc>
          <w:tcPr>
            <w:tcW w:type="dxa" w:w="86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ADR-0001 a ADR-0012 (</w:t>
            </w:r>
            <w:r>
              <w:rPr>
                <w:rStyle w:val="VerbatimChar"/>
                <w:rFonts w:ascii="Arial" w:hAnsi="Arial"/>
                <w:sz w:val="17"/>
              </w:rPr>
              <w:t xml:space="preserve">docs/arquitectura/adr/</w:t>
            </w:r>
            <w:r>
              <w:rPr>
                <w:rFonts w:ascii="Arial" w:hAnsi="Arial"/>
                <w:sz w:val="17"/>
              </w:rPr>
              <w:t xml:space="preserve">).</w:t>
            </w:r>
          </w:p>
        </w:tc>
      </w:tr>
      <w:tr>
        <w:tc>
          <w:tcPr>
            <w:tcW w:type="dxa" w:w="7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R5</w:t>
            </w:r>
          </w:p>
        </w:tc>
        <w:tc>
          <w:tcPr>
            <w:tcW w:type="dxa" w:w="86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ISO/IEC/IEEE 42010:2022,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iCs/>
                <w:rFonts w:ascii="Arial" w:hAnsi="Arial"/>
                <w:i/>
                <w:sz w:val="17"/>
              </w:rPr>
              <w:t xml:space="preserve">Architecture description</w:t>
            </w:r>
            <w:r>
              <w:rPr>
                <w:rFonts w:ascii="Arial" w:hAnsi="Arial"/>
                <w:sz w:val="17"/>
              </w:rPr>
              <w:t xml:space="preserve">.</w:t>
            </w:r>
          </w:p>
        </w:tc>
      </w:tr>
      <w:tr>
        <w:tc>
          <w:tcPr>
            <w:tcW w:type="dxa" w:w="7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R6</w:t>
            </w:r>
          </w:p>
        </w:tc>
        <w:tc>
          <w:tcPr>
            <w:tcW w:type="dxa" w:w="86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S. Brown,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iCs/>
                <w:rFonts w:ascii="Arial" w:hAnsi="Arial"/>
                <w:i/>
                <w:sz w:val="17"/>
              </w:rPr>
              <w:t xml:space="preserve">The C4 model for visualising software architecture</w:t>
            </w:r>
            <w:r>
              <w:rPr>
                <w:rFonts w:ascii="Arial" w:hAnsi="Arial"/>
                <w:sz w:val="17"/>
              </w:rPr>
              <w:t xml:space="preserve">.</w:t>
            </w:r>
          </w:p>
        </w:tc>
      </w:tr>
    </w:tbl>
    <w:bookmarkEnd w:id="21"/>
    <w:bookmarkStart w:id="62" w:name="X9af871df31c94c19d294477d48bbf5889034cb3"/>
    <w:p>
      <w:pPr>
        <w:pStyle w:val="Heading1"/>
      </w:pPr>
      <w:r>
        <w:t xml:space="preserve">2. Diseño jerárquico (HIPO)</w:t>
      </w:r>
    </w:p>
    <w:p>
      <w:pPr>
        <w:pStyle w:val="FirstParagraph"/>
      </w:pPr>
      <w:r>
        <w:t xml:space="preserve">El diseño jerárquico usa la técnica</w:t>
      </w:r>
      <w:r>
        <w:t xml:space="preserve"> </w:t>
      </w:r>
      <w:r>
        <w:rPr>
          <w:bCs/>
          <w:b/>
        </w:rPr>
        <w:t xml:space="preserve">HIPO</w:t>
      </w:r>
      <w:r>
        <w:t xml:space="preserve"> </w:t>
      </w:r>
      <w:r>
        <w:t xml:space="preserve">(</w:t>
      </w:r>
      <w:r>
        <w:rPr>
          <w:iCs/>
          <w:i/>
        </w:rPr>
        <w:t xml:space="preserve">Hierarchy plus Input-Process-Output</w:t>
      </w:r>
      <w:r>
        <w:t xml:space="preserve">): un diagrama de</w:t>
      </w:r>
      <w:r>
        <w:t xml:space="preserve"> </w:t>
      </w:r>
      <w:r>
        <w:t xml:space="preserve">jerarquía que descompone el sistema en módulos y submódulos, una tabla que vincula cada elemento con</w:t>
      </w:r>
      <w:r>
        <w:t xml:space="preserve"> </w:t>
      </w:r>
      <w:r>
        <w:t xml:space="preserve">los requisitos que lo justifican y diagramas IPO de los módulos que sostienen el flujo central. Los</w:t>
      </w:r>
      <w:r>
        <w:t xml:space="preserve"> </w:t>
      </w:r>
      <w:r>
        <w:t xml:space="preserve">módulos conservan la numeración del ERS (§2.2);</w:t>
      </w:r>
      <w:r>
        <w:t xml:space="preserve"> </w:t>
      </w:r>
      <w:r>
        <w:rPr>
          <w:bCs/>
          <w:b/>
        </w:rPr>
        <w:t xml:space="preserve">M-xx.n</w:t>
      </w:r>
      <w:r>
        <w:t xml:space="preserve"> </w:t>
      </w:r>
      <w:r>
        <w:t xml:space="preserve">identifica los submódulos.</w:t>
      </w:r>
    </w:p>
    <w:bookmarkStart w:id="31" w:name="Xe2318e3c1701451dcc805f55624f221b60bd716"/>
    <w:p>
      <w:pPr>
        <w:pStyle w:val="Heading2"/>
      </w:pPr>
      <w:r>
        <w:t xml:space="preserve">2.1 Jerarquía de módulos</w:t>
      </w:r>
    </w:p>
    <w:p>
      <w:pPr>
        <w:pStyle w:val="FirstParagraph"/>
      </w:pPr>
      <w:r>
        <w:t xml:space="preserve">La Figura 1 muestra el primer nivel. Los módulos con borde discontinuo pertenecen por completo al</w:t>
      </w:r>
      <w:r>
        <w:t xml:space="preserve"> </w:t>
      </w:r>
      <w:r>
        <w:t xml:space="preserve">backlog priorizado (B); los demás tienen al menos un requisito del núcleo (N).</w:t>
      </w:r>
    </w:p>
    <w:p>
      <w:pPr>
        <w:pStyle w:val="BodyText"/>
        <w:jc w:val="center"/>
      </w:pPr>
      <w:r>
        <w:drawing>
          <wp:inline>
            <wp:extent cx="2899285" cy="72000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/tmp/claude-0/-home-claude/eebdd6ec-6534-54e0-875b-f2e2895ea31f/scratchpad/arq/mmd/a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9285" cy="72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Cs/>
          <w:i/>
          <w:sz w:val="18"/>
        </w:rPr>
        <w:t xml:space="preserve">Figura 1. Módulos funcionales (primer nivel).</w:t>
      </w:r>
    </w:p>
    <w:p>
      <w:pPr>
        <w:pStyle w:val="BodyText"/>
      </w:pPr>
      <w:r>
        <w:t xml:space="preserve">Las Figuras 2 y 3 descomponen cada módulo en sus submódulos. Los submódulos con borde discontinuo</w:t>
      </w:r>
      <w:r>
        <w:t xml:space="preserve"> </w:t>
      </w:r>
      <w:r>
        <w:t xml:space="preserve">son solo de backlog.</w:t>
      </w:r>
    </w:p>
    <w:p>
      <w:pPr>
        <w:pStyle w:val="BodyText"/>
        <w:jc w:val="center"/>
      </w:pPr>
      <w:r>
        <w:drawing>
          <wp:inline>
            <wp:extent cx="5972400" cy="2640974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/tmp/claude-0/-home-claude/eebdd6ec-6534-54e0-875b-f2e2895ea31f/scratchpad/arq/mmd/a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400" cy="2640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Cs/>
          <w:i/>
          <w:sz w:val="18"/>
        </w:rPr>
        <w:t xml:space="preserve">Figura 2. Submódulos de M-01 a M-07.</w:t>
      </w:r>
    </w:p>
    <w:p>
      <w:pPr>
        <w:pStyle w:val="BodyText"/>
        <w:jc w:val="center"/>
      </w:pPr>
      <w:r>
        <w:drawing>
          <wp:inline>
            <wp:extent cx="5972400" cy="2399315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/tmp/claude-0/-home-claude/eebdd6ec-6534-54e0-875b-f2e2895ea31f/scratchpad/arq/mmd/a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400" cy="2399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Cs/>
          <w:i/>
          <w:sz w:val="18"/>
        </w:rPr>
        <w:t xml:space="preserve">Figura 3. Submódulos de M-08 a M-14.</w:t>
      </w:r>
    </w:p>
    <w:bookmarkEnd w:id="31"/>
    <w:bookmarkStart w:id="32" w:name="X9b2bb8d83d27ffe18227551cb4d1df9dedb755d"/>
    <w:p>
      <w:pPr>
        <w:pStyle w:val="Heading2"/>
      </w:pPr>
      <w:r>
        <w:t xml:space="preserve">2.2 Módulos, submódulos y requisitos</w:t>
      </w:r>
    </w:p>
    <w:p>
      <w:pPr>
        <w:pStyle w:val="FirstParagraph"/>
      </w:pPr>
      <w:r>
        <w:t xml:space="preserve">La Tabla 1 vincula cada submódulo con sus requisitos funcionales y su entrega. Cubre los 139 RF</w:t>
      </w:r>
      <w:r>
        <w:t xml:space="preserve"> </w:t>
      </w:r>
      <w:r>
        <w:t xml:space="preserve">de entrega N o B del ERS; los seis RF de programación automática (F) no se asignan.</w:t>
      </w:r>
    </w:p>
    <w:p>
      <w:pPr>
        <w:pStyle w:val="BodyText"/>
      </w:pPr>
      <w:r>
        <w:rPr>
          <w:iCs/>
          <w:i/>
        </w:rPr>
        <w:t xml:space="preserve">Tabla 1. Submódulos, requisitos funcionales y entrega.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2245"/>
        <w:gridCol w:w="3568"/>
        <w:gridCol w:w="1260"/>
        <w:gridCol w:w="918"/>
        <w:gridCol w:w="1412"/>
      </w:tblGrid>
      <w:tr>
        <w:trPr>
          <w:tblHeader w:val="true"/>
          <w:tblHeader/>
        </w:trP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Submódulo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Descripción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RF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Entrega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Proceso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M-01 Administración y seguridad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M-01.1 Cuentas y autenticación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Alta por invitación, activación, inicio de sesión con el servicio de identidad (ADR-0003).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RF-094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—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M-01.2 Roles, permisos y ámbito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Roles editables, permisos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modulo.recurso:ACCION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con ámbito liga, club o propio (ADR-0007).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RF-094, RF-095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P-13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M-01.3 Control dual de permisos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Pares incompatibles pendientes de aprobación del Presidente.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RF-096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P-13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M-01.4 Privacidad y consentimiento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Aviso de privacidad, consentimiento del titular o del tutor, solicitudes ARCO.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RF-097 · RF-098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 · B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P-02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M-01.5 Auditoría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Registro inalterable de acciones críticas y su consulta.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RF-093, RF-134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Transversal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M-02 Temporadas y normativa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M-02.1 Temporadas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Una temporada activa por liga; históricos sin sobrescribir.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RF-001, RF-003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P-01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M-02.2 Convocatoria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Referencia de la convocatoria de la temporada.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RF-002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P-01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M-02.3 Categorías y jerarquía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Catálogo con orden y categoría superior inmediata; categorías de la temporada.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RF-004, RF-099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P-01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M-02.4 Grupos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Uno o varios grupos por categoría de la temporada.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RF-005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P-01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M-02.5 Reglas y parámetros versionados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Puntos, desempates, bloque de cancha, marcador por default, plazo de cédula, liguilla y ascenso; interpretaciones pendientes.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RF-006, RF-100 · RF-007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 · B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P-01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M-03 Organización deportiva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M-03.1 Clubes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Registro de clubes; cambio de nombre como club nuevo.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RF-008 · RF-105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 · B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P-02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M-03.2 Afiliación por temporada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Tarjetón con folio sujeto a aprobación del Presidente.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RF-101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P-02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M-03.3 Directiva del club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Cargos y sus cambios con fecha y autorización.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RF-102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P-02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M-03.4 Equipos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Equipo del club en categoría y grupo de la temporada.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RF-009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P-02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M-03.5 Propiedad y plaza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Venta de equipo y conservación de plaza al cierre de temporada.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RF-103, RF-104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P-12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M-03.6 Personas y tutela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Identidad única por CURP, roles sin duplicar identidad, historial de pertenencia, vínculo con el tutor.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RF-010, RF-011, RF-012, RF-106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P-02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M-04 Registros y elegibilidad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M-04.1 Alta y baja de jugador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Alta pendiente de validación; baja con motivo e historial.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RF-013, RF-014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P-02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M-04.2 Unicidad por CURP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Un registro activo por CURP y temporada en toda la liga.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RF-107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P-02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M-04.3 Documentos y validación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Resguardo privado de documentos y fotos; validación por el Secretario (ADR-0008).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RF-108, RF-109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P-02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M-04.4 Renovación y transferencia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Renovación y cambio de club entre temporadas según configuración.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RF-015, RF-016, RF-111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P-02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M-04.5 Estados y elegibilidad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Estados del registro, elegibilidad, categoría superior, bloqueo por sanción; historial.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RF-017, RF-019, RF-020, RF-110 · RF-018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 · B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P-05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M-04.6 Consulta propia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Información del jugador o del menor para su tutor.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RF-144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—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M-05 Árbitros y designaciones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M-05.1 Árbitros y validación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Árbitros presentados por los clubes, validación y catálogo; cuota por club.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RF-021, RF-112, RF-113 · RF-114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 · B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P-03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M-05.2 Disponibilidad arbitral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Disponibilidad por fecha y horario.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RF-022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P-03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M-05.3 Designación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Designación a partidos sin árbitros del propio club; historial.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RF-023, RF-115 · RF-024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 · B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P-03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M-06 Canchas y recursos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M-06.1 Canchas y sedes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Catálogo con ubicación y propietario; agrupación por sede.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RF-027 · RF-028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 · B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P-01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M-06.2 Disponibilidad y bloqueos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Disponibilidad, bloqueos, mantenimiento y partidos consecutivos por bloque.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RF-029, RF-030 · RF-031, RF-032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 · B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P-03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M-06.3 Canchas de club y comodato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Horarios por categoría de la cancha del club y comodato.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RF-119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P-10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M-06.4 Solicitudes (Formatos 1 y 2)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Préstamo, comodato y oferta de cancha; cartas con número de oficio.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RF-116, RF-117, RF-118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P-10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M-07 Programación manual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M-07.1 Jornadas y partidos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Registro manual de jornadas y partidos; asignación de cancha.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RF-033, RF-036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P-03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M-07.2 Validación de conflictos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Conflictos duros con mensaje explicativo; advertencias de localía.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RF-039 · RF-120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 · B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P-03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M-07.3 Ajustes y reprogramación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Cambios con motivo y traza.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RF-040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P-03, P-04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M-07.4 Aprobación y publicación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Aprobación del Presidente; publicación de la jornada.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RF-121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P-03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M-08 Partidos, cédula y resultados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M-08.1 Estado del partido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Máquina de estados, cambios automáticos, historial y acciones por estado.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RF-043 a RF-046, RF-127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P-04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M-08.2 Captura de la cédula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Alineación, marcador, goles, tarjetas, sustituciones, incidencias, no presentación y envío a validación.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RF-025, RF-026, RF-047, RF-122, RF-126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P-05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M-08.3 Validación de la cédula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Aprobación o devolución del árbitro; aprobación de la Comisión al vencer el plazo.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RF-123, RF-124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P-05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M-08.4 Resultado oficial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Oficialización por cédula aprobada o resolución; publicación automática; corrección con versión anterior.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RF-048, RF-052, RF-056, RF-125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P-05, P-06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M-08.5 Tabla y estadísticas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Tabla calculada con parámetros y desempates; estadísticas; dato oficial frente a indicador.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RF-049, RF-050, RF-053, RF-055 · RF-051, RF-054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 · B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P-05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M-09 Disciplina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M-09.1 Catálogos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Tipos de incidencia y artículos con sanción, sujeto, efecto y aplicación automática.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RF-128, RF-129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P-06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M-09.2 Expedientes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Apertura automática por incidencia; personas y equipos involucrados; consulta de artículos; evidencias.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RF-057, RF-058, RF-060 · RF-059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 · B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P-06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M-09.3 Resolución y sanción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Resolución, vigencia, bloqueo derivado e inmutabilidad; propuesta de sanción.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RF-062 a RF-065 · RF-061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 · B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P-06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M-09.4 Efectos automáticos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Baja automática, sanción retroactiva, partidos restantes, cobro por multa.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RF-130 a RF-133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P-06, P-11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M-09.5 Recursos y publicación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Recurso ante el Presidente; lista de castigados; publicación de sanciones.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RF-066, RF-067, RF-068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P-06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M-10 Competencias y fases finales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M-10.1 Ascenso y descenso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Reglas, posiciones finales, elegibilidad, propuesta y validación del Presidente.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RF-069 a RF-075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P-07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M-10.2 Liguilla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Configuración, clasificación, llaves, empates, avances, campeón y subcampeón.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RF-076 a RF-081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P-08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M-11 Portal y publicación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M-11.1 Flujo de publicación y comunicados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Borrador → Revisión → Publicado para programación y comunicados.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RF-090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P-03, P-09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M-11.2 Consultas públicas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Programación, resultados, tablas y filtros; calendario, comunicados, sanciones, equipos y competencias.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RF-082, RF-083, RF-084, RF-089 · RF-085 a RF-088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 · B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P-09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M-11.3 Estadísticas con consentimiento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Estadísticas con nombre solo con consentimiento de difusión.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RF-145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P-09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M-12 Reportes y documentos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M-12.1 Reportes operativos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REP-001 a REP-014 según permiso y ámbito.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RF-091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Transversal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M-12.2 Exportación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Exportación a PDF y Excel.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RF-092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Transversal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M-13 Tesorería y cobros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M-13.1 Tarifas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Tarifas de arbitraje y cancha por temporada y categoría.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RF-135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P-01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M-13.2 Cobros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Cobros manuales; cobros automáticos al publicar la jornada.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RF-137 · RF-136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 · B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P-11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M-13.3 Pagos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Pago en línea simulado; pagos fuera del sistema con comprobante (ADR-0012).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RF-138, RF-139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P-11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M-13.4 Adeudos y vencimientos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Adeudos por club y equipo; vencimiento automático.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RF-140 · RF-141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 · B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P-11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M-14 Notificaciones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</w:pP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M-14.1 Avisos en la aplicación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Avisos de los eventos del flujo (ADR-0010).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RF-142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Transversal</w:t>
            </w:r>
          </w:p>
        </w:tc>
      </w:tr>
      <w:tr>
        <w:tc>
          <w:tcPr>
            <w:tcW w:type="dxa" w:w="22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M-14.2 Correo</w:t>
            </w:r>
          </w:p>
        </w:tc>
        <w:tc>
          <w:tcPr>
            <w:tcW w:type="dxa" w:w="35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Los mismos avisos por correo con bandeja de salida.</w:t>
            </w:r>
          </w:p>
        </w:tc>
        <w:tc>
          <w:tcPr>
            <w:tcW w:type="dxa" w:w="1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RF-143</w:t>
            </w:r>
          </w:p>
        </w:tc>
        <w:tc>
          <w:tcPr>
            <w:tcW w:type="dxa" w:w="9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</w:t>
            </w:r>
          </w:p>
        </w:tc>
        <w:tc>
          <w:tcPr>
            <w:tcW w:type="dxa" w:w="14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Transversal</w:t>
            </w:r>
          </w:p>
        </w:tc>
      </w:tr>
    </w:tbl>
    <w:p>
      <w:pPr>
        <w:pStyle w:val="BodyText"/>
      </w:pPr>
      <w:r>
        <w:t xml:space="preserve">En las columnas RF y Entrega, el punto medio separa los requisitos N de los B del mismo submódulo.</w:t>
      </w:r>
    </w:p>
    <w:bookmarkEnd w:id="32"/>
    <w:bookmarkStart w:id="61" w:name="X6e24a887032be3cefcc21c3eae51c0715927988"/>
    <w:p>
      <w:pPr>
        <w:pStyle w:val="Heading2"/>
      </w:pPr>
      <w:r>
        <w:t xml:space="preserve">2.3 Diagramas IPO</w:t>
      </w:r>
    </w:p>
    <w:p>
      <w:pPr>
        <w:pStyle w:val="FirstParagraph"/>
      </w:pPr>
      <w:r>
        <w:t xml:space="preserve">Se presentan los diagramas IPO de los siete módulos que sostienen el flujo central del núcleo:</w:t>
      </w:r>
      <w:r>
        <w:t xml:space="preserve"> </w:t>
      </w:r>
      <w:r>
        <w:t xml:space="preserve">seguridad (M-01), registro (M-04), programación (M-07), partidos (M-08), disciplina (M-09), portal</w:t>
      </w:r>
      <w:r>
        <w:t xml:space="preserve"> </w:t>
      </w:r>
      <w:r>
        <w:t xml:space="preserve">(M-11) y tesorería (M-13). Los demás módulos son principalmente de registro y consulta de catálogos</w:t>
      </w:r>
      <w:r>
        <w:t xml:space="preserve"> </w:t>
      </w:r>
      <w:r>
        <w:t xml:space="preserve">o pertenecen al backlog.</w:t>
      </w:r>
    </w:p>
    <w:bookmarkStart w:id="36" w:name="Xdf0bf2e648a8ada96c40f4f4dcf6d9e5ef1efb1"/>
    <w:p>
      <w:pPr>
        <w:pStyle w:val="Heading3"/>
      </w:pPr>
      <w:r>
        <w:t xml:space="preserve">2.3.1 M-01 Administración y seguridad</w:t>
      </w:r>
    </w:p>
    <w:p>
      <w:pPr>
        <w:pStyle w:val="FirstParagraph"/>
        <w:jc w:val="center"/>
      </w:pPr>
      <w:r>
        <w:drawing>
          <wp:inline>
            <wp:extent cx="5972400" cy="1746392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/tmp/claude-0/-home-claude/eebdd6ec-6534-54e0-875b-f2e2895ea31f/scratchpad/arq/mmd/a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400" cy="1746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Cs/>
          <w:i/>
          <w:sz w:val="18"/>
        </w:rPr>
        <w:t xml:space="preserve">Figura 4. IPO de M-01 Administración y seguridad (RF-093 a RF-097, RF-134).</w:t>
      </w:r>
    </w:p>
    <w:bookmarkEnd w:id="36"/>
    <w:bookmarkStart w:id="40" w:name="Xc8efe90d0d9e027f05752abb2fd5bc4ab69eb31"/>
    <w:p>
      <w:pPr>
        <w:pStyle w:val="Heading3"/>
      </w:pPr>
      <w:r>
        <w:t xml:space="preserve">2.3.2 M-04 Registros y elegibilidad</w:t>
      </w:r>
    </w:p>
    <w:p>
      <w:pPr>
        <w:pStyle w:val="FirstParagraph"/>
        <w:jc w:val="center"/>
      </w:pPr>
      <w:r>
        <w:drawing>
          <wp:inline>
            <wp:extent cx="5972400" cy="2066342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/tmp/claude-0/-home-claude/eebdd6ec-6534-54e0-875b-f2e2895ea31f/scratchpad/arq/mmd/a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400" cy="206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Cs/>
          <w:i/>
          <w:sz w:val="18"/>
        </w:rPr>
        <w:t xml:space="preserve">Figura 5. IPO de M-04 Registros y elegibilidad (RF-013, RF-014, RF-017, RF-019, RF-020, RF-107 a RF-110).</w:t>
      </w:r>
    </w:p>
    <w:bookmarkEnd w:id="40"/>
    <w:bookmarkStart w:id="44" w:name="X04a2ac2f3a0537d1bff9612526153c86edbdac7"/>
    <w:p>
      <w:pPr>
        <w:pStyle w:val="Heading3"/>
      </w:pPr>
      <w:r>
        <w:t xml:space="preserve">2.3.3 M-07 Programación manual</w:t>
      </w:r>
    </w:p>
    <w:p>
      <w:pPr>
        <w:pStyle w:val="FirstParagraph"/>
        <w:jc w:val="center"/>
      </w:pPr>
      <w:r>
        <w:drawing>
          <wp:inline>
            <wp:extent cx="5972400" cy="1906367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/tmp/claude-0/-home-claude/eebdd6ec-6534-54e0-875b-f2e2895ea31f/scratchpad/arq/mmd/a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400" cy="1906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Cs/>
          <w:i/>
          <w:sz w:val="18"/>
        </w:rPr>
        <w:t xml:space="preserve">Figura 6. IPO de M-07 Programación manual (RF-033, RF-036, RF-039, RF-040, RF-120, RF-121).</w:t>
      </w:r>
    </w:p>
    <w:bookmarkEnd w:id="44"/>
    <w:bookmarkStart w:id="48" w:name="X9eacbfebd338a72ccb7b6416cdc3d089de51f66"/>
    <w:p>
      <w:pPr>
        <w:pStyle w:val="Heading3"/>
      </w:pPr>
      <w:r>
        <w:t xml:space="preserve">2.3.4 M-08 Partidos, cédula y resultados</w:t>
      </w:r>
    </w:p>
    <w:p>
      <w:pPr>
        <w:pStyle w:val="FirstParagraph"/>
        <w:jc w:val="center"/>
      </w:pPr>
      <w:r>
        <w:drawing>
          <wp:inline>
            <wp:extent cx="5972400" cy="238629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/tmp/claude-0/-home-claude/eebdd6ec-6534-54e0-875b-f2e2895ea31f/scratchpad/arq/mmd/a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400" cy="2386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Cs/>
          <w:i/>
          <w:sz w:val="18"/>
        </w:rPr>
        <w:t xml:space="preserve">Figura 7. IPO de M-08 Partidos, cédula y resultados (RF-025, RF-026, RF-043 a RF-056, RF-122 a RF-127).</w:t>
      </w:r>
    </w:p>
    <w:bookmarkEnd w:id="48"/>
    <w:bookmarkStart w:id="52" w:name="X405e11377c38cbd7a1bf33504fd8a7d84b631c6"/>
    <w:p>
      <w:pPr>
        <w:pStyle w:val="Heading3"/>
      </w:pPr>
      <w:r>
        <w:t xml:space="preserve">2.3.5 M-09 Disciplina</w:t>
      </w:r>
    </w:p>
    <w:p>
      <w:pPr>
        <w:pStyle w:val="FirstParagraph"/>
        <w:jc w:val="center"/>
      </w:pPr>
      <w:r>
        <w:drawing>
          <wp:inline>
            <wp:extent cx="5972400" cy="1906367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/tmp/claude-0/-home-claude/eebdd6ec-6534-54e0-875b-f2e2895ea31f/scratchpad/arq/mmd/a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400" cy="1906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Cs/>
          <w:i/>
          <w:sz w:val="18"/>
        </w:rPr>
        <w:t xml:space="preserve">Figura 8. IPO de M-09 Disciplina (RF-057 a RF-068, RF-128 a RF-133).</w:t>
      </w:r>
    </w:p>
    <w:bookmarkEnd w:id="52"/>
    <w:bookmarkStart w:id="56" w:name="X0b157e7770661b3ec33d5f7cbaef772c548983a"/>
    <w:p>
      <w:pPr>
        <w:pStyle w:val="Heading3"/>
      </w:pPr>
      <w:r>
        <w:t xml:space="preserve">2.3.6 M-11 Portal público y publicación</w:t>
      </w:r>
    </w:p>
    <w:p>
      <w:pPr>
        <w:pStyle w:val="FirstParagraph"/>
        <w:jc w:val="center"/>
      </w:pPr>
      <w:r>
        <w:drawing>
          <wp:inline>
            <wp:extent cx="5972400" cy="1586417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/tmp/claude-0/-home-claude/eebdd6ec-6534-54e0-875b-f2e2895ea31f/scratchpad/arq/mmd/a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400" cy="1586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Cs/>
          <w:i/>
          <w:sz w:val="18"/>
        </w:rPr>
        <w:t xml:space="preserve">Figura 9. IPO de M-11 Portal y publicación (RF-056, RF-082 a RF-090, RF-145).</w:t>
      </w:r>
    </w:p>
    <w:bookmarkEnd w:id="56"/>
    <w:bookmarkStart w:id="60" w:name="X2dc9e2d98861df00adbd42e21435447d019bfa3"/>
    <w:p>
      <w:pPr>
        <w:pStyle w:val="Heading3"/>
      </w:pPr>
      <w:r>
        <w:t xml:space="preserve">2.3.7 M-13 Tesorería y cobros</w:t>
      </w:r>
    </w:p>
    <w:p>
      <w:pPr>
        <w:pStyle w:val="FirstParagraph"/>
        <w:jc w:val="center"/>
      </w:pPr>
      <w:r>
        <w:drawing>
          <wp:inline>
            <wp:extent cx="5972400" cy="1746392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/tmp/claude-0/-home-claude/eebdd6ec-6534-54e0-875b-f2e2895ea31f/scratchpad/arq/mmd/a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400" cy="1746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Cs/>
          <w:i/>
          <w:sz w:val="18"/>
        </w:rPr>
        <w:t xml:space="preserve">Figura 10. IPO de M-13 Tesorería y cobros (RF-135 a RF-141).</w:t>
      </w:r>
    </w:p>
    <w:bookmarkEnd w:id="60"/>
    <w:bookmarkEnd w:id="61"/>
    <w:bookmarkEnd w:id="62"/>
    <w:bookmarkStart w:id="66" w:name="X7f6785105eb7ff5af4cd16397564b94a56e3906"/>
    <w:p>
      <w:pPr>
        <w:pStyle w:val="Heading1"/>
      </w:pPr>
      <w:r>
        <w:t xml:space="preserve">3. Vista de contexto y contenedores</w:t>
      </w:r>
    </w:p>
    <w:p>
      <w:pPr>
        <w:pStyle w:val="FirstParagraph"/>
      </w:pPr>
      <w:r>
        <w:t xml:space="preserve">El contexto del sistema (usuarios y servicios externos) está en la Figura 1 del ERS (§2.1). La</w:t>
      </w:r>
      <w:r>
        <w:t xml:space="preserve"> </w:t>
      </w:r>
      <w:r>
        <w:t xml:space="preserve">Figura 11 muestra los</w:t>
      </w:r>
      <w:r>
        <w:t xml:space="preserve"> </w:t>
      </w:r>
      <w:r>
        <w:rPr>
          <w:bCs/>
          <w:b/>
        </w:rPr>
        <w:t xml:space="preserve">contenedores</w:t>
      </w:r>
      <w:r>
        <w:t xml:space="preserve"> </w:t>
      </w:r>
      <w:r>
        <w:t xml:space="preserve">(modelo C4): las piezas que se despliegan por separado y cómo</w:t>
      </w:r>
      <w:r>
        <w:t xml:space="preserve"> </w:t>
      </w:r>
      <w:r>
        <w:t xml:space="preserve">se comunican.</w:t>
      </w:r>
    </w:p>
    <w:p>
      <w:pPr>
        <w:pStyle w:val="BodyText"/>
        <w:jc w:val="center"/>
      </w:pPr>
      <w:r>
        <w:drawing>
          <wp:inline>
            <wp:extent cx="5972400" cy="5308209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/tmp/claude-0/-home-claude/eebdd6ec-6534-54e0-875b-f2e2895ea31f/scratchpad/arq/mmd/a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400" cy="5308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Cs/>
          <w:i/>
          <w:sz w:val="18"/>
        </w:rPr>
        <w:t xml:space="preserve">Figura 11. Diagrama de contenedores.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458"/>
        <w:gridCol w:w="2543"/>
        <w:gridCol w:w="3774"/>
        <w:gridCol w:w="1629"/>
      </w:tblGrid>
      <w:tr>
        <w:trPr>
          <w:tblHeader w:val="true"/>
          <w:tblHeader/>
        </w:trPr>
        <w:tc>
          <w:tcPr>
            <w:tcW w:type="dxa" w:w="14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Contenedor</w:t>
            </w:r>
          </w:p>
        </w:tc>
        <w:tc>
          <w:tcPr>
            <w:tcW w:type="dxa" w:w="25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Tecnología</w:t>
            </w:r>
          </w:p>
        </w:tc>
        <w:tc>
          <w:tcPr>
            <w:tcW w:type="dxa" w:w="37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Responsabilidad</w:t>
            </w:r>
          </w:p>
        </w:tc>
        <w:tc>
          <w:tcPr>
            <w:tcW w:type="dxa" w:w="1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Decisiones</w:t>
            </w:r>
          </w:p>
        </w:tc>
      </w:tr>
      <w:tr>
        <w:tc>
          <w:tcPr>
            <w:tcW w:type="dxa" w:w="14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SPA</w:t>
            </w:r>
          </w:p>
        </w:tc>
        <w:tc>
          <w:tcPr>
            <w:tcW w:type="dxa" w:w="25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React 19, TypeScript, Vite, Tailwind CSS 4, TanStack Query</w:t>
            </w:r>
          </w:p>
        </w:tc>
        <w:tc>
          <w:tcPr>
            <w:tcW w:type="dxa" w:w="37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Portal público (</w:t>
            </w:r>
            <w:r>
              <w:rPr>
                <w:rStyle w:val="VerbatimChar"/>
                <w:rFonts w:ascii="Arial" w:hAnsi="Arial"/>
                <w:sz w:val="17"/>
              </w:rPr>
              <w:t xml:space="preserve">/</w:t>
            </w:r>
            <w:r>
              <w:rPr>
                <w:rFonts w:ascii="Arial" w:hAnsi="Arial"/>
                <w:sz w:val="17"/>
              </w:rPr>
              <w:t xml:space="preserve">) y aplicación interna (</w:t>
            </w:r>
            <w:r>
              <w:rPr>
                <w:rStyle w:val="VerbatimChar"/>
                <w:rFonts w:ascii="Arial" w:hAnsi="Arial"/>
                <w:sz w:val="17"/>
              </w:rPr>
              <w:t xml:space="preserve">/app</w:t>
            </w:r>
            <w:r>
              <w:rPr>
                <w:rFonts w:ascii="Arial" w:hAnsi="Arial"/>
                <w:sz w:val="17"/>
              </w:rPr>
              <w:t xml:space="preserve">). Usa Supabase solo para iniciar sesión; todos los datos los pide a la API.</w:t>
            </w:r>
          </w:p>
        </w:tc>
        <w:tc>
          <w:tcPr>
            <w:tcW w:type="dxa" w:w="1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ADR-0001, ADR-0003</w:t>
            </w:r>
          </w:p>
        </w:tc>
      </w:tr>
      <w:tr>
        <w:tc>
          <w:tcPr>
            <w:tcW w:type="dxa" w:w="14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API</w:t>
            </w:r>
          </w:p>
        </w:tc>
        <w:tc>
          <w:tcPr>
            <w:tcW w:type="dxa" w:w="25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Spring Boot 4.1, Java 21, Spring Security (Resource Server), Spring JDBC</w:t>
            </w:r>
          </w:p>
        </w:tc>
        <w:tc>
          <w:tcPr>
            <w:tcW w:type="dxa" w:w="37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Reglas de negocio, autorización, transacciones, auditoría, eventos, tareas programadas e integraciones.</w:t>
            </w:r>
          </w:p>
        </w:tc>
        <w:tc>
          <w:tcPr>
            <w:tcW w:type="dxa" w:w="1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ADR-0002, ADR-0005 a ADR-0012</w:t>
            </w:r>
          </w:p>
        </w:tc>
      </w:tr>
      <w:tr>
        <w:tc>
          <w:tcPr>
            <w:tcW w:type="dxa" w:w="14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Supabase Auth</w:t>
            </w:r>
          </w:p>
        </w:tc>
        <w:tc>
          <w:tcPr>
            <w:tcW w:type="dxa" w:w="25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Servicio administrado</w:t>
            </w:r>
          </w:p>
        </w:tc>
        <w:tc>
          <w:tcPr>
            <w:tcW w:type="dxa" w:w="37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Credenciales, sesiones y emisión del JWT; nunca se guardan contraseñas en SIGLIM.</w:t>
            </w:r>
          </w:p>
        </w:tc>
        <w:tc>
          <w:tcPr>
            <w:tcW w:type="dxa" w:w="1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ADR-0003</w:t>
            </w:r>
          </w:p>
        </w:tc>
      </w:tr>
      <w:tr>
        <w:tc>
          <w:tcPr>
            <w:tcW w:type="dxa" w:w="14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PostgreSQL</w:t>
            </w:r>
          </w:p>
        </w:tc>
        <w:tc>
          <w:tcPr>
            <w:tcW w:type="dxa" w:w="25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Supabase (PostgreSQL)</w:t>
            </w:r>
          </w:p>
        </w:tc>
        <w:tc>
          <w:tcPr>
            <w:tcW w:type="dxa" w:w="37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Datos, restricciones, triggers de historial, función de tabla, vistas de datos publicados y RLS.</w:t>
            </w:r>
          </w:p>
        </w:tc>
        <w:tc>
          <w:tcPr>
            <w:tcW w:type="dxa" w:w="1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ADR-0004, ADR-0007, ADR-0011</w:t>
            </w:r>
          </w:p>
        </w:tc>
      </w:tr>
      <w:tr>
        <w:tc>
          <w:tcPr>
            <w:tcW w:type="dxa" w:w="14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Storage</w:t>
            </w:r>
          </w:p>
        </w:tc>
        <w:tc>
          <w:tcPr>
            <w:tcW w:type="dxa" w:w="25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Supabase Storage</w:t>
            </w:r>
          </w:p>
        </w:tc>
        <w:tc>
          <w:tcPr>
            <w:tcW w:type="dxa" w:w="37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Documentos, fotos, evidencias y comprobantes en un bucket privado.</w:t>
            </w:r>
          </w:p>
        </w:tc>
        <w:tc>
          <w:tcPr>
            <w:tcW w:type="dxa" w:w="1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ADR-0008</w:t>
            </w:r>
          </w:p>
        </w:tc>
      </w:tr>
      <w:tr>
        <w:tc>
          <w:tcPr>
            <w:tcW w:type="dxa" w:w="145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Proveedor SMTP</w:t>
            </w:r>
          </w:p>
        </w:tc>
        <w:tc>
          <w:tcPr>
            <w:tcW w:type="dxa" w:w="254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Brevo (demostración)</w:t>
            </w:r>
          </w:p>
        </w:tc>
        <w:tc>
          <w:tcPr>
            <w:tcW w:type="dxa" w:w="37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Entrega de correos de la API y de Supabase Auth.</w:t>
            </w:r>
          </w:p>
        </w:tc>
        <w:tc>
          <w:tcPr>
            <w:tcW w:type="dxa" w:w="163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ADR-0010</w:t>
            </w:r>
          </w:p>
        </w:tc>
      </w:tr>
    </w:tbl>
    <w:p>
      <w:pPr>
        <w:pStyle w:val="BodyText"/>
      </w:pPr>
      <w:r>
        <w:t xml:space="preserve">No existe flujo inverso del portal hacia la API de escritura: las rutas públicas son de solo</w:t>
      </w:r>
      <w:r>
        <w:t xml:space="preserve"> </w:t>
      </w:r>
      <w:r>
        <w:t xml:space="preserve">lectura (</w:t>
      </w:r>
      <w:r>
        <w:rPr>
          <w:rStyle w:val="VerbatimChar"/>
        </w:rPr>
        <w:t xml:space="preserve">/api/v1/publico/**</w:t>
      </w:r>
      <w:r>
        <w:t xml:space="preserve">).</w:t>
      </w:r>
    </w:p>
    <w:bookmarkEnd w:id="66"/>
    <w:bookmarkStart w:id="73" w:name="Xc1b1adc03fb218a3012d800f9030268f425854a"/>
    <w:p>
      <w:pPr>
        <w:pStyle w:val="Heading1"/>
      </w:pPr>
      <w:r>
        <w:t xml:space="preserve">4. Vista de componentes del backend</w:t>
      </w:r>
    </w:p>
    <w:bookmarkStart w:id="67" w:name="Xee35d9b23d2f0ca93708981039d979edd773ee7"/>
    <w:p>
      <w:pPr>
        <w:pStyle w:val="Heading2"/>
      </w:pPr>
      <w:r>
        <w:t xml:space="preserve">4.1 Capas dentro de cada módulo</w:t>
      </w:r>
    </w:p>
    <w:p>
      <w:pPr>
        <w:pStyle w:val="FirstParagraph"/>
      </w:pPr>
      <w:r>
        <w:t xml:space="preserve">Cada paquete de módulo tiene las mismas capas (ADR-0002):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770"/>
        <w:gridCol w:w="2604"/>
        <w:gridCol w:w="5030"/>
      </w:tblGrid>
      <w:tr>
        <w:trPr>
          <w:tblHeader w:val="true"/>
          <w:tblHeader/>
        </w:trPr>
        <w:tc>
          <w:tcPr>
            <w:tcW w:type="dxa" w:w="17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Capa</w:t>
            </w:r>
          </w:p>
        </w:tc>
        <w:tc>
          <w:tcPr>
            <w:tcW w:type="dxa" w:w="26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Clases</w:t>
            </w:r>
          </w:p>
        </w:tc>
        <w:tc>
          <w:tcPr>
            <w:tcW w:type="dxa" w:w="50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Responsabilidad</w:t>
            </w:r>
          </w:p>
        </w:tc>
      </w:tr>
      <w:tr>
        <w:tc>
          <w:tcPr>
            <w:tcW w:type="dxa" w:w="17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Controlador</w:t>
            </w:r>
          </w:p>
        </w:tc>
        <w:tc>
          <w:tcPr>
            <w:tcW w:type="dxa" w:w="26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XxxController</w:t>
            </w:r>
          </w:p>
        </w:tc>
        <w:tc>
          <w:tcPr>
            <w:tcW w:type="dxa" w:w="50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HTTP ↔ DTO, validación de formato, códigos de estado. Sin reglas de negocio.</w:t>
            </w:r>
          </w:p>
        </w:tc>
      </w:tr>
      <w:tr>
        <w:tc>
          <w:tcPr>
            <w:tcW w:type="dxa" w:w="17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Servicio</w:t>
            </w:r>
          </w:p>
        </w:tc>
        <w:tc>
          <w:tcPr>
            <w:tcW w:type="dxa" w:w="26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XxxService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(público)</w:t>
            </w:r>
          </w:p>
        </w:tc>
        <w:tc>
          <w:tcPr>
            <w:tcW w:type="dxa" w:w="50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Autorización (ADR-0007), reglas de negocio, máquinas de estado (DP-003), transacción, auditoría y eventos. Es lo único que otros módulos pueden usar.</w:t>
            </w:r>
          </w:p>
        </w:tc>
      </w:tr>
      <w:tr>
        <w:tc>
          <w:tcPr>
            <w:tcW w:type="dxa" w:w="17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Repositorio</w:t>
            </w:r>
          </w:p>
        </w:tc>
        <w:tc>
          <w:tcPr>
            <w:tcW w:type="dxa" w:w="26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XxxRepository</w:t>
            </w:r>
          </w:p>
        </w:tc>
        <w:tc>
          <w:tcPr>
            <w:tcW w:type="dxa" w:w="50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SQL con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JdbcClient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y parámetros con nombre; nombres del diccionario de datos.</w:t>
            </w:r>
          </w:p>
        </w:tc>
      </w:tr>
      <w:tr>
        <w:tc>
          <w:tcPr>
            <w:tcW w:type="dxa" w:w="17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Modelo</w:t>
            </w:r>
          </w:p>
        </w:tc>
        <w:tc>
          <w:tcPr>
            <w:tcW w:type="dxa" w:w="26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record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de DTO, solicitudes, eventos (</w:t>
            </w:r>
            <w:r>
              <w:rPr>
                <w:rStyle w:val="VerbatimChar"/>
                <w:rFonts w:ascii="Arial" w:hAnsi="Arial"/>
                <w:sz w:val="17"/>
              </w:rPr>
              <w:t xml:space="preserve">eventos/</w:t>
            </w:r>
            <w:r>
              <w:rPr>
                <w:rFonts w:ascii="Arial" w:hAnsi="Arial"/>
                <w:sz w:val="17"/>
              </w:rPr>
              <w:t xml:space="preserve">)</w:t>
            </w:r>
          </w:p>
        </w:tc>
        <w:tc>
          <w:tcPr>
            <w:tcW w:type="dxa" w:w="50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Datos inmutables.</w:t>
            </w:r>
          </w:p>
        </w:tc>
      </w:tr>
    </w:tbl>
    <w:bookmarkEnd w:id="67"/>
    <w:bookmarkStart w:id="71" w:name="X2aaab98c2eac9de7606f7f040e308c8c5242224"/>
    <w:p>
      <w:pPr>
        <w:pStyle w:val="Heading2"/>
      </w:pPr>
      <w:r>
        <w:t xml:space="preserve">4.2 Dependencias entre módulos</w:t>
      </w:r>
    </w:p>
    <w:p>
      <w:pPr>
        <w:pStyle w:val="FirstParagraph"/>
      </w:pPr>
      <w:r>
        <w:t xml:space="preserve">La Figura 12 muestra la dirección permitida de las dependencias (ADR-0006). Las flechas continuas</w:t>
      </w:r>
      <w:r>
        <w:t xml:space="preserve"> </w:t>
      </w:r>
      <w:r>
        <w:t xml:space="preserve">son llamadas a servicios; las discontinuas, eventos o interfaces implementadas por el módulo</w:t>
      </w:r>
      <w:r>
        <w:t xml:space="preserve"> </w:t>
      </w:r>
      <w:r>
        <w:t xml:space="preserve">superior. Todos los módulos usan además</w:t>
      </w:r>
      <w:r>
        <w:t xml:space="preserve"> </w:t>
      </w:r>
      <w:r>
        <w:rPr>
          <w:rStyle w:val="VerbatimChar"/>
        </w:rPr>
        <w:t xml:space="preserve">compartido</w:t>
      </w:r>
      <w:r>
        <w:t xml:space="preserve">,</w:t>
      </w:r>
      <w:r>
        <w:t xml:space="preserve"> </w:t>
      </w:r>
      <w:r>
        <w:rPr>
          <w:rStyle w:val="VerbatimChar"/>
        </w:rPr>
        <w:t xml:space="preserve">seguridad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auditoria</w:t>
      </w:r>
      <w:r>
        <w:t xml:space="preserve">, que se omiten.</w:t>
      </w:r>
    </w:p>
    <w:p>
      <w:pPr>
        <w:pStyle w:val="BodyText"/>
        <w:jc w:val="center"/>
      </w:pPr>
      <w:r>
        <w:drawing>
          <wp:inline>
            <wp:extent cx="4679341" cy="720000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/tmp/claude-0/-home-claude/eebdd6ec-6534-54e0-875b-f2e2895ea31f/scratchpad/arq/mmd/a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341" cy="72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Cs/>
          <w:i/>
          <w:sz w:val="18"/>
        </w:rPr>
        <w:t xml:space="preserve">Figura 12. Niveles de dependencia entre módulos (se muestran las relaciones principales).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3463"/>
        <w:gridCol w:w="3709"/>
        <w:gridCol w:w="2232"/>
      </w:tblGrid>
      <w:tr>
        <w:trPr>
          <w:tblHeader w:val="true"/>
          <w:tblHeader/>
        </w:trPr>
        <w:tc>
          <w:tcPr>
            <w:tcW w:type="dxa" w:w="34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Flujo que cruza módulos</w:t>
            </w:r>
          </w:p>
        </w:tc>
        <w:tc>
          <w:tcPr>
            <w:tcW w:type="dxa" w:w="37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Mecanismo</w:t>
            </w:r>
          </w:p>
        </w:tc>
        <w:tc>
          <w:tcPr>
            <w:tcW w:type="dxa" w:w="22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Atomicidad</w:t>
            </w:r>
          </w:p>
        </w:tc>
      </w:tr>
      <w:tr>
        <w:tc>
          <w:tcPr>
            <w:tcW w:type="dxa" w:w="34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Cédula aprobada → abrir expedientes (RF-125, RN-046)</w:t>
            </w:r>
          </w:p>
        </w:tc>
        <w:tc>
          <w:tcPr>
            <w:tcW w:type="dxa" w:w="37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Evento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CedulaAprobada</w:t>
            </w:r>
            <w:r>
              <w:rPr>
                <w:rFonts w:ascii="Arial" w:hAnsi="Arial"/>
                <w:sz w:val="17"/>
              </w:rPr>
              <w:t xml:space="preserve">, oyente síncrono en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disciplina</w:t>
            </w:r>
          </w:p>
        </w:tc>
        <w:tc>
          <w:tcPr>
            <w:tcW w:type="dxa" w:w="22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Misma transacción</w:t>
            </w:r>
          </w:p>
        </w:tc>
      </w:tr>
      <w:tr>
        <w:tc>
          <w:tcPr>
            <w:tcW w:type="dxa" w:w="34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Jornada publicada → cobros de arbitraje y cancha (RF-136)</w:t>
            </w:r>
          </w:p>
        </w:tc>
        <w:tc>
          <w:tcPr>
            <w:tcW w:type="dxa" w:w="37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Evento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JornadaPublicada</w:t>
            </w:r>
            <w:r>
              <w:rPr>
                <w:rFonts w:ascii="Arial" w:hAnsi="Arial"/>
                <w:sz w:val="17"/>
              </w:rPr>
              <w:t xml:space="preserve">, oyente síncrono en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tesoreria</w:t>
            </w:r>
          </w:p>
        </w:tc>
        <w:tc>
          <w:tcPr>
            <w:tcW w:type="dxa" w:w="22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Misma transacción</w:t>
            </w:r>
          </w:p>
        </w:tc>
      </w:tr>
      <w:tr>
        <w:tc>
          <w:tcPr>
            <w:tcW w:type="dxa" w:w="34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Sanción de multa → cobro (RF-133)</w:t>
            </w:r>
          </w:p>
        </w:tc>
        <w:tc>
          <w:tcPr>
            <w:tcW w:type="dxa" w:w="37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disciplina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llama a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TesoreriaService</w:t>
            </w:r>
          </w:p>
        </w:tc>
        <w:tc>
          <w:tcPr>
            <w:tcW w:type="dxa" w:w="22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Misma transacción</w:t>
            </w:r>
          </w:p>
        </w:tc>
      </w:tr>
      <w:tr>
        <w:tc>
          <w:tcPr>
            <w:tcW w:type="dxa" w:w="34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Cobro vencido → baja por falta de pago (RF-130, RF-141)</w:t>
            </w:r>
          </w:p>
        </w:tc>
        <w:tc>
          <w:tcPr>
            <w:tcW w:type="dxa" w:w="37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Evento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CobroVencido</w:t>
            </w:r>
            <w:r>
              <w:rPr>
                <w:rFonts w:ascii="Arial" w:hAnsi="Arial"/>
                <w:sz w:val="17"/>
              </w:rPr>
              <w:t xml:space="preserve">, oyente en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disciplina</w:t>
            </w:r>
          </w:p>
        </w:tc>
        <w:tc>
          <w:tcPr>
            <w:tcW w:type="dxa" w:w="22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Misma transacción</w:t>
            </w:r>
          </w:p>
        </w:tc>
      </w:tr>
      <w:tr>
        <w:tc>
          <w:tcPr>
            <w:tcW w:type="dxa" w:w="34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Resolución con efecto retroactivo → resultados (RF-052, RF-131)</w:t>
            </w:r>
          </w:p>
        </w:tc>
        <w:tc>
          <w:tcPr>
            <w:tcW w:type="dxa" w:w="37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disciplina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llama a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PartidosService</w:t>
            </w:r>
          </w:p>
        </w:tc>
        <w:tc>
          <w:tcPr>
            <w:tcW w:type="dxa" w:w="22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Misma transacción</w:t>
            </w:r>
          </w:p>
        </w:tc>
      </w:tr>
      <w:tr>
        <w:tc>
          <w:tcPr>
            <w:tcW w:type="dxa" w:w="34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Sanción vigente → conflicto de programación o alineación (RF-020, RF-039)</w:t>
            </w:r>
          </w:p>
        </w:tc>
        <w:tc>
          <w:tcPr>
            <w:tcW w:type="dxa" w:w="37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Interfaces de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programacion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y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partidos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implementadas por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disciplina</w:t>
            </w:r>
          </w:p>
        </w:tc>
        <w:tc>
          <w:tcPr>
            <w:tcW w:type="dxa" w:w="22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Solo lectura</w:t>
            </w:r>
          </w:p>
        </w:tc>
      </w:tr>
      <w:tr>
        <w:tc>
          <w:tcPr>
            <w:tcW w:type="dxa" w:w="346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Cualquier evento → avisos y correo (RF-142, RF-143)</w:t>
            </w:r>
          </w:p>
        </w:tc>
        <w:tc>
          <w:tcPr>
            <w:tcW w:type="dxa" w:w="37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Oyentes de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notificaciones</w:t>
            </w:r>
            <w:r>
              <w:rPr>
                <w:rFonts w:ascii="Arial" w:hAnsi="Arial"/>
                <w:sz w:val="17"/>
              </w:rPr>
              <w:t xml:space="preserve">; correo por bandeja de salida</w:t>
            </w:r>
          </w:p>
        </w:tc>
        <w:tc>
          <w:tcPr>
            <w:tcW w:type="dxa" w:w="22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Aviso en la misma transacción; correo después</w:t>
            </w:r>
          </w:p>
        </w:tc>
      </w:tr>
    </w:tbl>
    <w:bookmarkEnd w:id="71"/>
    <w:bookmarkStart w:id="72" w:name="X8b89085884c1f827d944613b35a5b944c9142c6"/>
    <w:p>
      <w:pPr>
        <w:pStyle w:val="Heading2"/>
      </w:pPr>
      <w:r>
        <w:t xml:space="preserve">4.3 Componentes transversales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980"/>
        <w:gridCol w:w="1913"/>
        <w:gridCol w:w="3860"/>
        <w:gridCol w:w="1651"/>
      </w:tblGrid>
      <w:tr>
        <w:trPr>
          <w:tblHeader w:val="true"/>
          <w:tblHeader/>
        </w:trPr>
        <w:tc>
          <w:tcPr>
            <w:tcW w:type="dxa" w:w="19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Componente</w:t>
            </w:r>
          </w:p>
        </w:tc>
        <w:tc>
          <w:tcPr>
            <w:tcW w:type="dxa" w:w="19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Paquete</w:t>
            </w:r>
          </w:p>
        </w:tc>
        <w:tc>
          <w:tcPr>
            <w:tcW w:type="dxa" w:w="38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Función</w:t>
            </w:r>
          </w:p>
        </w:tc>
        <w:tc>
          <w:tcPr>
            <w:tcW w:type="dxa" w:w="16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Decisión</w:t>
            </w:r>
          </w:p>
        </w:tc>
      </w:tr>
      <w:tr>
        <w:tc>
          <w:tcPr>
            <w:tcW w:type="dxa" w:w="19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Filtro de seguridad</w:t>
            </w:r>
          </w:p>
        </w:tc>
        <w:tc>
          <w:tcPr>
            <w:tcW w:type="dxa" w:w="19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compartido</w:t>
            </w:r>
          </w:p>
        </w:tc>
        <w:tc>
          <w:tcPr>
            <w:tcW w:type="dxa" w:w="38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Valida el JWT y rechaza peticiones sin token en rutas internas (401).</w:t>
            </w:r>
          </w:p>
        </w:tc>
        <w:tc>
          <w:tcPr>
            <w:tcW w:type="dxa" w:w="16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ADR-0003</w:t>
            </w:r>
          </w:p>
        </w:tc>
      </w:tr>
      <w:tr>
        <w:tc>
          <w:tcPr>
            <w:tcW w:type="dxa" w:w="19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Contexto de usuario</w:t>
            </w:r>
          </w:p>
        </w:tc>
        <w:tc>
          <w:tcPr>
            <w:tcW w:type="dxa" w:w="19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compartido</w:t>
            </w:r>
          </w:p>
        </w:tc>
        <w:tc>
          <w:tcPr>
            <w:tcW w:type="dxa" w:w="38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Fija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request.jwt.claims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y el rol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authenticated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en cada transacción.</w:t>
            </w:r>
          </w:p>
        </w:tc>
        <w:tc>
          <w:tcPr>
            <w:tcW w:type="dxa" w:w="16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ADR-0005</w:t>
            </w:r>
          </w:p>
        </w:tc>
      </w:tr>
      <w:tr>
        <w:tc>
          <w:tcPr>
            <w:tcW w:type="dxa" w:w="19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Autorización</w:t>
            </w:r>
          </w:p>
        </w:tc>
        <w:tc>
          <w:tcPr>
            <w:tcW w:type="dxa" w:w="19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seguridad</w:t>
            </w:r>
          </w:p>
        </w:tc>
        <w:tc>
          <w:tcPr>
            <w:tcW w:type="dxa" w:w="38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exigir(permiso, objetivo)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con ámbito; control dual.</w:t>
            </w:r>
          </w:p>
        </w:tc>
        <w:tc>
          <w:tcPr>
            <w:tcW w:type="dxa" w:w="16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ADR-0007</w:t>
            </w:r>
          </w:p>
        </w:tc>
      </w:tr>
      <w:tr>
        <w:tc>
          <w:tcPr>
            <w:tcW w:type="dxa" w:w="19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Auditoría</w:t>
            </w:r>
          </w:p>
        </w:tc>
        <w:tc>
          <w:tcPr>
            <w:tcW w:type="dxa" w:w="19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auditoria</w:t>
            </w:r>
          </w:p>
        </w:tc>
        <w:tc>
          <w:tcPr>
            <w:tcW w:type="dxa" w:w="38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Registro de acción crítica con usuario, fecha, módulo, acción, registro y motivo.</w:t>
            </w:r>
          </w:p>
        </w:tc>
        <w:tc>
          <w:tcPr>
            <w:tcW w:type="dxa" w:w="16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RF-093</w:t>
            </w:r>
          </w:p>
        </w:tc>
      </w:tr>
      <w:tr>
        <w:tc>
          <w:tcPr>
            <w:tcW w:type="dxa" w:w="19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Eventos de dominio</w:t>
            </w:r>
          </w:p>
        </w:tc>
        <w:tc>
          <w:tcPr>
            <w:tcW w:type="dxa" w:w="19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cada módulo (</w:t>
            </w:r>
            <w:r>
              <w:rPr>
                <w:rStyle w:val="VerbatimChar"/>
                <w:rFonts w:ascii="Arial" w:hAnsi="Arial"/>
                <w:sz w:val="17"/>
              </w:rPr>
              <w:t xml:space="preserve">eventos/</w:t>
            </w:r>
            <w:r>
              <w:rPr>
                <w:rFonts w:ascii="Arial" w:hAnsi="Arial"/>
                <w:sz w:val="17"/>
              </w:rPr>
              <w:t xml:space="preserve">)</w:t>
            </w:r>
          </w:p>
        </w:tc>
        <w:tc>
          <w:tcPr>
            <w:tcW w:type="dxa" w:w="38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ApplicationEventPublisher</w:t>
            </w:r>
            <w:r>
              <w:rPr>
                <w:rFonts w:ascii="Arial" w:hAnsi="Arial"/>
                <w:sz w:val="17"/>
              </w:rPr>
              <w:t xml:space="preserve">; oyentes síncronos o bandeja de salida.</w:t>
            </w:r>
          </w:p>
        </w:tc>
        <w:tc>
          <w:tcPr>
            <w:tcW w:type="dxa" w:w="16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ADR-0006</w:t>
            </w:r>
          </w:p>
        </w:tc>
      </w:tr>
      <w:tr>
        <w:tc>
          <w:tcPr>
            <w:tcW w:type="dxa" w:w="19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Tareas programadas</w:t>
            </w:r>
          </w:p>
        </w:tc>
        <w:tc>
          <w:tcPr>
            <w:tcW w:type="dxa" w:w="19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módulo dueño</w:t>
            </w:r>
          </w:p>
        </w:tc>
        <w:tc>
          <w:tcPr>
            <w:tcW w:type="dxa" w:w="38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Inicio de partidos, plazo de cédula, vencimiento de cobros, envío de correos.</w:t>
            </w:r>
          </w:p>
        </w:tc>
        <w:tc>
          <w:tcPr>
            <w:tcW w:type="dxa" w:w="16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ADR-0009</w:t>
            </w:r>
          </w:p>
        </w:tc>
      </w:tr>
      <w:tr>
        <w:tc>
          <w:tcPr>
            <w:tcW w:type="dxa" w:w="19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Almacenamiento</w:t>
            </w:r>
          </w:p>
        </w:tc>
        <w:tc>
          <w:tcPr>
            <w:tcW w:type="dxa" w:w="19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compartido</w:t>
            </w:r>
          </w:p>
        </w:tc>
        <w:tc>
          <w:tcPr>
            <w:tcW w:type="dxa" w:w="38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Carga validada y URL firmadas de Supabase Storage.</w:t>
            </w:r>
          </w:p>
        </w:tc>
        <w:tc>
          <w:tcPr>
            <w:tcW w:type="dxa" w:w="16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ADR-0008</w:t>
            </w:r>
          </w:p>
        </w:tc>
      </w:tr>
      <w:tr>
        <w:tc>
          <w:tcPr>
            <w:tcW w:type="dxa" w:w="19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Correo</w:t>
            </w:r>
          </w:p>
        </w:tc>
        <w:tc>
          <w:tcPr>
            <w:tcW w:type="dxa" w:w="19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notificaciones</w:t>
            </w:r>
          </w:p>
        </w:tc>
        <w:tc>
          <w:tcPr>
            <w:tcW w:type="dxa" w:w="38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Plantillas y envío SMTP desde la bandeja de salida.</w:t>
            </w:r>
          </w:p>
        </w:tc>
        <w:tc>
          <w:tcPr>
            <w:tcW w:type="dxa" w:w="16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ADR-0010</w:t>
            </w:r>
          </w:p>
        </w:tc>
      </w:tr>
      <w:tr>
        <w:tc>
          <w:tcPr>
            <w:tcW w:type="dxa" w:w="19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Pasarela de pago</w:t>
            </w:r>
          </w:p>
        </w:tc>
        <w:tc>
          <w:tcPr>
            <w:tcW w:type="dxa" w:w="19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tesoreria</w:t>
            </w:r>
          </w:p>
        </w:tc>
        <w:tc>
          <w:tcPr>
            <w:tcW w:type="dxa" w:w="38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PasarelaDePago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con implementación simulada.</w:t>
            </w:r>
          </w:p>
        </w:tc>
        <w:tc>
          <w:tcPr>
            <w:tcW w:type="dxa" w:w="16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ADR-0012</w:t>
            </w:r>
          </w:p>
        </w:tc>
      </w:tr>
      <w:tr>
        <w:tc>
          <w:tcPr>
            <w:tcW w:type="dxa" w:w="19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Manejo de errores</w:t>
            </w:r>
          </w:p>
        </w:tc>
        <w:tc>
          <w:tcPr>
            <w:tcW w:type="dxa" w:w="19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compartido</w:t>
            </w:r>
          </w:p>
        </w:tc>
        <w:tc>
          <w:tcPr>
            <w:tcW w:type="dxa" w:w="38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Respuestas RFC 9457 con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codigo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del ERS (VAL-xxx).</w:t>
            </w:r>
          </w:p>
        </w:tc>
        <w:tc>
          <w:tcPr>
            <w:tcW w:type="dxa" w:w="16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Convenciones de API</w:t>
            </w:r>
          </w:p>
        </w:tc>
      </w:tr>
      <w:tr>
        <w:tc>
          <w:tcPr>
            <w:tcW w:type="dxa" w:w="19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Reloj</w:t>
            </w:r>
          </w:p>
        </w:tc>
        <w:tc>
          <w:tcPr>
            <w:tcW w:type="dxa" w:w="191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compartido</w:t>
            </w:r>
          </w:p>
        </w:tc>
        <w:tc>
          <w:tcPr>
            <w:tcW w:type="dxa" w:w="38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java.time.Clock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inyectable para reglas por tiempo y pruebas.</w:t>
            </w:r>
          </w:p>
        </w:tc>
        <w:tc>
          <w:tcPr>
            <w:tcW w:type="dxa" w:w="16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ADR-0009</w:t>
            </w:r>
          </w:p>
        </w:tc>
      </w:tr>
    </w:tbl>
    <w:bookmarkEnd w:id="72"/>
    <w:bookmarkEnd w:id="73"/>
    <w:bookmarkStart w:id="86" w:name="X5884aacf4d6ed7ed91df1b4294d7d0fb6d230ef"/>
    <w:p>
      <w:pPr>
        <w:pStyle w:val="Heading1"/>
      </w:pPr>
      <w:r>
        <w:t xml:space="preserve">5. Vista dinámica</w:t>
      </w:r>
    </w:p>
    <w:bookmarkStart w:id="77" w:name="X62b293bf1a34b602aa75b2e7c35c1055eca6209"/>
    <w:p>
      <w:pPr>
        <w:pStyle w:val="Heading2"/>
      </w:pPr>
      <w:r>
        <w:t xml:space="preserve">5.1 Aprobar una cédula</w:t>
      </w:r>
    </w:p>
    <w:p>
      <w:pPr>
        <w:pStyle w:val="FirstParagraph"/>
      </w:pPr>
      <w:r>
        <w:t xml:space="preserve">Es la operación más crítica del núcleo (RNF-004): oficializa el resultado, finaliza el partido y</w:t>
      </w:r>
      <w:r>
        <w:t xml:space="preserve"> </w:t>
      </w:r>
      <w:r>
        <w:t xml:space="preserve">abre expedientes en una sola transacción. La tabla no se recalcula aparte porque se calcula al</w:t>
      </w:r>
      <w:r>
        <w:t xml:space="preserve"> </w:t>
      </w:r>
      <w:r>
        <w:t xml:space="preserve">consultarse a partir de los resultados oficiales.</w:t>
      </w:r>
    </w:p>
    <w:p>
      <w:pPr>
        <w:pStyle w:val="BodyText"/>
        <w:jc w:val="center"/>
      </w:pPr>
      <w:r>
        <w:drawing>
          <wp:inline>
            <wp:extent cx="5972400" cy="2563298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/tmp/claude-0/-home-claude/eebdd6ec-6534-54e0-875b-f2e2895ea31f/scratchpad/arq/mmd/a13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400" cy="2563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Cs/>
          <w:i/>
          <w:sz w:val="18"/>
        </w:rPr>
        <w:t xml:space="preserve">Figura 13. Secuencia de aprobación de la cédula (P-05; RF-123, RF-125, RF-127).</w:t>
      </w:r>
    </w:p>
    <w:p>
      <w:pPr>
        <w:pStyle w:val="BodyText"/>
      </w:pPr>
      <w:r>
        <w:t xml:space="preserve">Si cualquier paso falla (por ejemplo, un catálogo de incidencias incompleto), la transacción se</w:t>
      </w:r>
      <w:r>
        <w:t xml:space="preserve"> </w:t>
      </w:r>
      <w:r>
        <w:t xml:space="preserve">revierte completa y la cédula sigue Pendiente de validación.</w:t>
      </w:r>
    </w:p>
    <w:bookmarkEnd w:id="77"/>
    <w:bookmarkStart w:id="81" w:name="X0a769cb0ebbee161abf108ca3f5f940276714a8"/>
    <w:p>
      <w:pPr>
        <w:pStyle w:val="Heading2"/>
      </w:pPr>
      <w:r>
        <w:t xml:space="preserve">5.2 Cargar y consultar un documento</w:t>
      </w:r>
    </w:p>
    <w:p>
      <w:pPr>
        <w:pStyle w:val="FirstParagraph"/>
        <w:jc w:val="center"/>
      </w:pPr>
      <w:r>
        <w:drawing>
          <wp:inline>
            <wp:extent cx="5972400" cy="2705703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/tmp/claude-0/-home-claude/eebdd6ec-6534-54e0-875b-f2e2895ea31f/scratchpad/arq/mmd/a14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400" cy="2705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Cs/>
          <w:i/>
          <w:sz w:val="18"/>
        </w:rPr>
        <w:t xml:space="preserve">Figura 14. Secuencia de carga y consulta de un documento (RF-108, RF-109, RNF-018).</w:t>
      </w:r>
    </w:p>
    <w:p>
      <w:pPr>
        <w:pStyle w:val="BodyText"/>
      </w:pPr>
      <w:r>
        <w:t xml:space="preserve">Si la subida a Storage tiene éxito pero la transacción falla, queda un objeto sin fila; una tarea de</w:t>
      </w:r>
      <w:r>
        <w:t xml:space="preserve"> </w:t>
      </w:r>
      <w:r>
        <w:t xml:space="preserve">limpieza lo detecta comparando el bucket con la tabla. El caso inverso no ocurre porque la fila se</w:t>
      </w:r>
      <w:r>
        <w:t xml:space="preserve"> </w:t>
      </w:r>
      <w:r>
        <w:t xml:space="preserve">escribe después de la subida.</w:t>
      </w:r>
    </w:p>
    <w:bookmarkEnd w:id="81"/>
    <w:bookmarkStart w:id="85" w:name="Xb58a6663cd160eb5462892c4f1e5a0dd285cb31"/>
    <w:p>
      <w:pPr>
        <w:pStyle w:val="Heading2"/>
      </w:pPr>
      <w:r>
        <w:t xml:space="preserve">5.3 Vencimiento del plazo de la cédula</w:t>
      </w:r>
    </w:p>
    <w:p>
      <w:pPr>
        <w:pStyle w:val="FirstParagraph"/>
        <w:jc w:val="center"/>
      </w:pPr>
      <w:r>
        <w:drawing>
          <wp:inline>
            <wp:extent cx="5972400" cy="2062721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/tmp/claude-0/-home-claude/eebdd6ec-6534-54e0-875b-f2e2895ea31f/scratchpad/arq/mmd/a15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400" cy="2062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Cs/>
          <w:i/>
          <w:sz w:val="18"/>
        </w:rPr>
        <w:t xml:space="preserve">Figura 15. Secuencia de vencimiento del plazo de validación (RF-124, DEC-20).</w:t>
      </w:r>
    </w:p>
    <w:bookmarkEnd w:id="85"/>
    <w:bookmarkEnd w:id="86"/>
    <w:bookmarkStart w:id="88" w:name="X9d05f3602ebb1d1ae03d6a77455e90dfdf3d39a"/>
    <w:p>
      <w:pPr>
        <w:pStyle w:val="Heading1"/>
      </w:pPr>
      <w:r>
        <w:t xml:space="preserve">6. Vista de datos</w:t>
      </w:r>
    </w:p>
    <w:p>
      <w:pPr>
        <w:pStyle w:val="FirstParagraph"/>
      </w:pPr>
      <w:r>
        <w:t xml:space="preserve">El modelo conceptual está en el ERS (§4.4) y el físico en el</w:t>
      </w:r>
      <w:r>
        <w:t xml:space="preserve"> </w:t>
      </w:r>
      <w:hyperlink r:id="rId87">
        <w:r>
          <w:rPr>
            <w:rStyle w:val="Hyperlink"/>
          </w:rPr>
          <w:t xml:space="preserve">diccionario de datos</w:t>
        </w:r>
      </w:hyperlink>
      <w:r>
        <w:t xml:space="preserve">, que se reescribe en el paso 4</w:t>
      </w:r>
      <w:r>
        <w:t xml:space="preserve"> </w:t>
      </w:r>
      <w:r>
        <w:t xml:space="preserve">junto con la nueva migración inicial (DEC-42). La arquitectura le impone estos principios: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2384"/>
        <w:gridCol w:w="5294"/>
        <w:gridCol w:w="1725"/>
      </w:tblGrid>
      <w:tr>
        <w:trPr>
          <w:tblHeader w:val="true"/>
          <w:tblHeader/>
        </w:trPr>
        <w:tc>
          <w:tcPr>
            <w:tcW w:type="dxa" w:w="23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Principio</w:t>
            </w:r>
          </w:p>
        </w:tc>
        <w:tc>
          <w:tcPr>
            <w:tcW w:type="dxa" w:w="52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Aplicación</w:t>
            </w:r>
          </w:p>
        </w:tc>
        <w:tc>
          <w:tcPr>
            <w:tcW w:type="dxa" w:w="17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Origen</w:t>
            </w:r>
          </w:p>
        </w:tc>
      </w:tr>
      <w:tr>
        <w:tc>
          <w:tcPr>
            <w:tcW w:type="dxa" w:w="23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Nada con historial se borra</w:t>
            </w:r>
          </w:p>
        </w:tc>
        <w:tc>
          <w:tcPr>
            <w:tcW w:type="dxa" w:w="52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Bajas, cancelaciones y reemplazos son cambios de estado; sin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DELETE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en tablas con historial.</w:t>
            </w:r>
          </w:p>
        </w:tc>
        <w:tc>
          <w:tcPr>
            <w:tcW w:type="dxa" w:w="17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RF-003, RF-044, RN-005, RN-020</w:t>
            </w:r>
          </w:p>
        </w:tc>
      </w:tr>
      <w:tr>
        <w:tc>
          <w:tcPr>
            <w:tcW w:type="dxa" w:w="23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Estados explícitos</w:t>
            </w:r>
          </w:p>
        </w:tc>
        <w:tc>
          <w:tcPr>
            <w:tcW w:type="dxa" w:w="52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Enumeraciones para partido, cédula, registro, expediente, cobro, publicación, afiliación y solicitudes; transiciones validadas en el servicio y registradas en tablas de historial.</w:t>
            </w:r>
          </w:p>
        </w:tc>
        <w:tc>
          <w:tcPr>
            <w:tcW w:type="dxa" w:w="17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DP-003, ERS §4.3</w:t>
            </w:r>
          </w:p>
        </w:tc>
      </w:tr>
      <w:tr>
        <w:tc>
          <w:tcPr>
            <w:tcW w:type="dxa" w:w="23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Resultados versionados</w:t>
            </w:r>
          </w:p>
        </w:tc>
        <w:tc>
          <w:tcPr>
            <w:tcW w:type="dxa" w:w="52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Cada resultado oficial tiene versión y origen (cédula o resolución); corregir crea una versión nueva.</w:t>
            </w:r>
          </w:p>
        </w:tc>
        <w:tc>
          <w:tcPr>
            <w:tcW w:type="dxa" w:w="17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RF-052, RN-024</w:t>
            </w:r>
          </w:p>
        </w:tc>
      </w:tr>
      <w:tr>
        <w:tc>
          <w:tcPr>
            <w:tcW w:type="dxa" w:w="23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Tabla calculada</w:t>
            </w:r>
          </w:p>
        </w:tc>
        <w:tc>
          <w:tcPr>
            <w:tcW w:type="dxa" w:w="52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La tabla se calcula con una función a partir de resultados oficiales y parámetros de la temporada; nunca se guarda. El histórico por jornada (RF-051) guarda instantáneas solo de lectura.</w:t>
            </w:r>
          </w:p>
        </w:tc>
        <w:tc>
          <w:tcPr>
            <w:tcW w:type="dxa" w:w="17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RN-022, RF-049, RF-050</w:t>
            </w:r>
          </w:p>
        </w:tc>
      </w:tr>
      <w:tr>
        <w:tc>
          <w:tcPr>
            <w:tcW w:type="dxa" w:w="23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Parámetros versionados</w:t>
            </w:r>
          </w:p>
        </w:tc>
        <w:tc>
          <w:tcPr>
            <w:tcW w:type="dxa" w:w="52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Los cálculos referencian la versión de parámetros que los produjo.</w:t>
            </w:r>
          </w:p>
        </w:tc>
        <w:tc>
          <w:tcPr>
            <w:tcW w:type="dxa" w:w="17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DP-002, RF-006, RF-075</w:t>
            </w:r>
          </w:p>
        </w:tc>
      </w:tr>
      <w:tr>
        <w:tc>
          <w:tcPr>
            <w:tcW w:type="dxa" w:w="23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Liga en entidades raíz</w:t>
            </w:r>
          </w:p>
        </w:tc>
        <w:tc>
          <w:tcPr>
            <w:tcW w:type="dxa" w:w="52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liga_id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y unicidad por liga.</w:t>
            </w:r>
          </w:p>
        </w:tc>
        <w:tc>
          <w:tcPr>
            <w:tcW w:type="dxa" w:w="17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ADR-0011</w:t>
            </w:r>
          </w:p>
        </w:tc>
      </w:tr>
      <w:tr>
        <w:tc>
          <w:tcPr>
            <w:tcW w:type="dxa" w:w="23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Permisos como datos</w:t>
            </w:r>
          </w:p>
        </w:tc>
        <w:tc>
          <w:tcPr>
            <w:tcW w:type="dxa" w:w="52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Catálogo de permisos, roles, asignaciones con ámbito y pares incompatibles.</w:t>
            </w:r>
          </w:p>
        </w:tc>
        <w:tc>
          <w:tcPr>
            <w:tcW w:type="dxa" w:w="17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ADR-0007</w:t>
            </w:r>
          </w:p>
        </w:tc>
      </w:tr>
      <w:tr>
        <w:tc>
          <w:tcPr>
            <w:tcW w:type="dxa" w:w="23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Datos publicados separados</w:t>
            </w:r>
          </w:p>
        </w:tc>
        <w:tc>
          <w:tcPr>
            <w:tcW w:type="dxa" w:w="52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Vistas o funciones de solo lectura para el portal, sin datos personales.</w:t>
            </w:r>
          </w:p>
        </w:tc>
        <w:tc>
          <w:tcPr>
            <w:tcW w:type="dxa" w:w="17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DP-006, RNF-012</w:t>
            </w:r>
          </w:p>
        </w:tc>
      </w:tr>
      <w:tr>
        <w:tc>
          <w:tcPr>
            <w:tcW w:type="dxa" w:w="23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Auditoría inalterable</w:t>
            </w:r>
          </w:p>
        </w:tc>
        <w:tc>
          <w:tcPr>
            <w:tcW w:type="dxa" w:w="52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Tabla de auditoría solo con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INSERT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y lectura.</w:t>
            </w:r>
          </w:p>
        </w:tc>
        <w:tc>
          <w:tcPr>
            <w:tcW w:type="dxa" w:w="17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RNF-015</w:t>
            </w:r>
          </w:p>
        </w:tc>
      </w:tr>
      <w:tr>
        <w:tc>
          <w:tcPr>
            <w:tcW w:type="dxa" w:w="23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Bandeja de salida</w:t>
            </w:r>
          </w:p>
        </w:tc>
        <w:tc>
          <w:tcPr>
            <w:tcW w:type="dxa" w:w="52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Tabla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correo_saliente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con estado e intentos.</w:t>
            </w:r>
          </w:p>
        </w:tc>
        <w:tc>
          <w:tcPr>
            <w:tcW w:type="dxa" w:w="17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ADR-0010</w:t>
            </w:r>
          </w:p>
        </w:tc>
      </w:tr>
      <w:tr>
        <w:tc>
          <w:tcPr>
            <w:tcW w:type="dxa" w:w="23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Restricciones en la base</w:t>
            </w:r>
          </w:p>
        </w:tc>
        <w:tc>
          <w:tcPr>
            <w:tcW w:type="dxa" w:w="52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Unicidad de CURP activa por temporada, no traslape de partidos por cancha y equipo (exclusión con rangos de tiempo), llaves foráneas. El servicio valida antes y explica; la base es la última garantía.</w:t>
            </w:r>
          </w:p>
        </w:tc>
        <w:tc>
          <w:tcPr>
            <w:tcW w:type="dxa" w:w="17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RF-039, RF-107, VAL-003 a VAL-005</w:t>
            </w:r>
          </w:p>
        </w:tc>
      </w:tr>
    </w:tbl>
    <w:bookmarkEnd w:id="88"/>
    <w:bookmarkStart w:id="89" w:name="Xbaf74ee31ddd96c9104cfe286824840b735ae46"/>
    <w:p>
      <w:pPr>
        <w:pStyle w:val="Heading1"/>
      </w:pPr>
      <w:r>
        <w:t xml:space="preserve">7. Seguridad y datos personales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2203"/>
        <w:gridCol w:w="5363"/>
        <w:gridCol w:w="1837"/>
      </w:tblGrid>
      <w:tr>
        <w:trPr>
          <w:tblHeader w:val="true"/>
          <w:tblHeader/>
        </w:trPr>
        <w:tc>
          <w:tcPr>
            <w:tcW w:type="dxa" w:w="22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Amenaza o requisito</w:t>
            </w:r>
          </w:p>
        </w:tc>
        <w:tc>
          <w:tcPr>
            <w:tcW w:type="dxa" w:w="53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Control</w:t>
            </w:r>
          </w:p>
        </w:tc>
        <w:tc>
          <w:tcPr>
            <w:tcW w:type="dxa" w:w="18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Origen</w:t>
            </w:r>
          </w:p>
        </w:tc>
      </w:tr>
      <w:tr>
        <w:tc>
          <w:tcPr>
            <w:tcW w:type="dxa" w:w="22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Suplantación</w:t>
            </w:r>
          </w:p>
        </w:tc>
        <w:tc>
          <w:tcPr>
            <w:tcW w:type="dxa" w:w="53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Supabase Auth; JWT firmado con claves asimétricas y validado por JWKS; alta solo por invitación; contraseña de 15 caracteres mínimo.</w:t>
            </w:r>
          </w:p>
        </w:tc>
        <w:tc>
          <w:tcPr>
            <w:tcW w:type="dxa" w:w="18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ADR-0003, RNF-013, RNF-014</w:t>
            </w:r>
          </w:p>
        </w:tc>
      </w:tr>
      <w:tr>
        <w:tc>
          <w:tcPr>
            <w:tcW w:type="dxa" w:w="22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Escalamiento de privilegios</w:t>
            </w:r>
          </w:p>
        </w:tc>
        <w:tc>
          <w:tcPr>
            <w:tcW w:type="dxa" w:w="53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Permiso y ámbito en cada servicio; RLS en tablas sensibles; nunca por nombre de rol; control dual de pares incompatibles.</w:t>
            </w:r>
          </w:p>
        </w:tc>
        <w:tc>
          <w:tcPr>
            <w:tcW w:type="dxa" w:w="18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ADR-0007, RNF-003, RN-053</w:t>
            </w:r>
          </w:p>
        </w:tc>
      </w:tr>
      <w:tr>
        <w:tc>
          <w:tcPr>
            <w:tcW w:type="dxa" w:w="22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Acceso a datos de otro club</w:t>
            </w:r>
          </w:p>
        </w:tc>
        <w:tc>
          <w:tcPr>
            <w:tcW w:type="dxa" w:w="53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Listados filtrados por ámbito; 404 fuera de ámbito; RLS.</w:t>
            </w:r>
          </w:p>
        </w:tc>
        <w:tc>
          <w:tcPr>
            <w:tcW w:type="dxa" w:w="18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RN-054, VAL-024</w:t>
            </w:r>
          </w:p>
        </w:tc>
      </w:tr>
      <w:tr>
        <w:tc>
          <w:tcPr>
            <w:tcW w:type="dxa" w:w="22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Fuga de documentos</w:t>
            </w:r>
          </w:p>
        </w:tc>
        <w:tc>
          <w:tcPr>
            <w:tcW w:type="dxa" w:w="53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Bucket privado sin acceso del cliente; URL firmadas de 60 s; rutas sin datos personales.</w:t>
            </w:r>
          </w:p>
        </w:tc>
        <w:tc>
          <w:tcPr>
            <w:tcW w:type="dxa" w:w="18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ADR-0008, RNF-018</w:t>
            </w:r>
          </w:p>
        </w:tc>
      </w:tr>
      <w:tr>
        <w:tc>
          <w:tcPr>
            <w:tcW w:type="dxa" w:w="22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Exposición en el portal</w:t>
            </w:r>
          </w:p>
        </w:tc>
        <w:tc>
          <w:tcPr>
            <w:tcW w:type="dxa" w:w="53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Solo vistas de datos publicados; estadísticas con nombre solo con consentimiento de difusión.</w:t>
            </w:r>
          </w:p>
        </w:tc>
        <w:tc>
          <w:tcPr>
            <w:tcW w:type="dxa" w:w="18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DP-006, RNF-012, RF-145</w:t>
            </w:r>
          </w:p>
        </w:tc>
      </w:tr>
      <w:tr>
        <w:tc>
          <w:tcPr>
            <w:tcW w:type="dxa" w:w="22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Manipulación de la auditoría</w:t>
            </w:r>
          </w:p>
        </w:tc>
        <w:tc>
          <w:tcPr>
            <w:tcW w:type="dxa" w:w="53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Tabla solo de inserción; la escriben servicios y triggers.</w:t>
            </w:r>
          </w:p>
        </w:tc>
        <w:tc>
          <w:tcPr>
            <w:tcW w:type="dxa" w:w="18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RNF-015</w:t>
            </w:r>
          </w:p>
        </w:tc>
      </w:tr>
      <w:tr>
        <w:tc>
          <w:tcPr>
            <w:tcW w:type="dxa" w:w="22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Intercepción</w:t>
            </w:r>
          </w:p>
        </w:tc>
        <w:tc>
          <w:tcPr>
            <w:tcW w:type="dxa" w:w="53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HTTPS en navegador y API; JDBC con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sslmode=require</w:t>
            </w:r>
            <w:r>
              <w:rPr>
                <w:rFonts w:ascii="Arial" w:hAnsi="Arial"/>
                <w:sz w:val="17"/>
              </w:rPr>
              <w:t xml:space="preserve">; SMTP con TLS.</w:t>
            </w:r>
          </w:p>
        </w:tc>
        <w:tc>
          <w:tcPr>
            <w:tcW w:type="dxa" w:w="18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RNF-019</w:t>
            </w:r>
          </w:p>
        </w:tc>
      </w:tr>
      <w:tr>
        <w:tc>
          <w:tcPr>
            <w:tcW w:type="dxa" w:w="22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Inyección SQL</w:t>
            </w:r>
          </w:p>
        </w:tc>
        <w:tc>
          <w:tcPr>
            <w:tcW w:type="dxa" w:w="53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Solo SQL parametrizado (</w:t>
            </w:r>
            <w:r>
              <w:rPr>
                <w:rStyle w:val="VerbatimChar"/>
                <w:rFonts w:ascii="Arial" w:hAnsi="Arial"/>
                <w:sz w:val="17"/>
              </w:rPr>
              <w:t xml:space="preserve">JdbcClient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con parámetros con nombre).</w:t>
            </w:r>
          </w:p>
        </w:tc>
        <w:tc>
          <w:tcPr>
            <w:tcW w:type="dxa" w:w="18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AGENTS.md §9</w:t>
            </w:r>
          </w:p>
        </w:tc>
      </w:tr>
      <w:tr>
        <w:tc>
          <w:tcPr>
            <w:tcW w:type="dxa" w:w="22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Secretos</w:t>
            </w:r>
          </w:p>
        </w:tc>
        <w:tc>
          <w:tcPr>
            <w:tcW w:type="dxa" w:w="53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backend/.env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y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frontend/.env.local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fuera de git; la clave secreta de Supabase solo en el backend.</w:t>
            </w:r>
          </w:p>
        </w:tc>
        <w:tc>
          <w:tcPr>
            <w:tcW w:type="dxa" w:w="18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AGENTS.md §9</w:t>
            </w:r>
          </w:p>
        </w:tc>
      </w:tr>
      <w:tr>
        <w:tc>
          <w:tcPr>
            <w:tcW w:type="dxa" w:w="22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Datos de menores</w:t>
            </w:r>
          </w:p>
        </w:tc>
        <w:tc>
          <w:tcPr>
            <w:tcW w:type="dxa" w:w="53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Consentimiento expreso e INE del tutor; el menor no tiene credenciales; el tutor consulta.</w:t>
            </w:r>
          </w:p>
        </w:tc>
        <w:tc>
          <w:tcPr>
            <w:tcW w:type="dxa" w:w="18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RN-055, RF-097, RF-106</w:t>
            </w:r>
          </w:p>
        </w:tc>
      </w:tr>
      <w:tr>
        <w:tc>
          <w:tcPr>
            <w:tcW w:type="dxa" w:w="220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Bitácoras</w:t>
            </w:r>
          </w:p>
        </w:tc>
        <w:tc>
          <w:tcPr>
            <w:tcW w:type="dxa" w:w="53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Sin contraseñas, tokens, CURP ni URL firmadas.</w:t>
            </w:r>
          </w:p>
        </w:tc>
        <w:tc>
          <w:tcPr>
            <w:tcW w:type="dxa" w:w="18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RNF-011</w:t>
            </w:r>
          </w:p>
        </w:tc>
      </w:tr>
    </w:tbl>
    <w:p>
      <w:pPr>
        <w:pStyle w:val="BodyText"/>
      </w:pPr>
      <w:r>
        <w:t xml:space="preserve">El tratamiento de datos personales sigue la LFPDPPP (ERS §3.4.4). La ley aplicable definitiva</w:t>
      </w:r>
      <w:r>
        <w:t xml:space="preserve"> </w:t>
      </w:r>
      <w:r>
        <w:t xml:space="preserve">depende de la naturaleza jurídica de la Liga (PEN-039) y la retención, de PEN-040.</w:t>
      </w:r>
    </w:p>
    <w:bookmarkEnd w:id="89"/>
    <w:bookmarkStart w:id="93" w:name="Xaa29f70250079ba049e23646d1a5d8214e3ca1d"/>
    <w:p>
      <w:pPr>
        <w:pStyle w:val="Heading1"/>
      </w:pPr>
      <w:r>
        <w:t xml:space="preserve">8. Atributos de calidad y despliegue</w:t>
      </w:r>
    </w:p>
    <w:bookmarkStart w:id="90" w:name="X590b1452d4a56818bb596d31d00bab1edd2e119"/>
    <w:p>
      <w:pPr>
        <w:pStyle w:val="Heading2"/>
      </w:pPr>
      <w:r>
        <w:t xml:space="preserve">8.1 Requisitos no funcionales y tácticas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2337"/>
        <w:gridCol w:w="2323"/>
        <w:gridCol w:w="3834"/>
        <w:gridCol w:w="909"/>
      </w:tblGrid>
      <w:tr>
        <w:trPr>
          <w:tblHeader w:val="true"/>
          <w:tblHeader/>
        </w:trPr>
        <w:tc>
          <w:tcPr>
            <w:tcW w:type="dxa" w:w="23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RNF</w:t>
            </w:r>
          </w:p>
        </w:tc>
        <w:tc>
          <w:tcPr>
            <w:tcW w:type="dxa" w:w="2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Meta</w:t>
            </w:r>
          </w:p>
        </w:tc>
        <w:tc>
          <w:tcPr>
            <w:tcW w:type="dxa" w:w="38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Táctica de arquitectura</w:t>
            </w:r>
          </w:p>
        </w:tc>
        <w:tc>
          <w:tcPr>
            <w:tcW w:type="dxa" w:w="9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Entrega</w:t>
            </w:r>
          </w:p>
        </w:tc>
      </w:tr>
      <w:tr>
        <w:tc>
          <w:tcPr>
            <w:tcW w:type="dxa" w:w="23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RNF-001 Disponibilidad</w:t>
            </w:r>
          </w:p>
        </w:tc>
        <w:tc>
          <w:tcPr>
            <w:tcW w:type="dxa" w:w="2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99 % sábados y domingos 7:00–21:00</w:t>
            </w:r>
          </w:p>
        </w:tc>
        <w:tc>
          <w:tcPr>
            <w:tcW w:type="dxa" w:w="38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API siempre encendida; Supabase en plan que no se pausa; punto de salud para monitoreo externo.</w:t>
            </w:r>
          </w:p>
        </w:tc>
        <w:tc>
          <w:tcPr>
            <w:tcW w:type="dxa" w:w="9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</w:t>
            </w:r>
          </w:p>
        </w:tc>
      </w:tr>
      <w:tr>
        <w:tc>
          <w:tcPr>
            <w:tcW w:type="dxa" w:w="23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RNF-002 Consultas públicas</w:t>
            </w:r>
          </w:p>
        </w:tc>
        <w:tc>
          <w:tcPr>
            <w:tcW w:type="dxa" w:w="2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p95 &lt; 2 s con 300 usuarios</w:t>
            </w:r>
          </w:p>
        </w:tc>
        <w:tc>
          <w:tcPr>
            <w:tcW w:type="dxa" w:w="38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Vistas públicas indexadas por temporada, grupo y fecha; paginación;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Cache-Control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de 60 s en GET públicos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bCs/>
                <w:rFonts w:ascii="Arial" w:hAnsi="Arial"/>
                <w:b/>
                <w:sz w:val="17"/>
              </w:rPr>
              <w:t xml:space="preserve">[PROPUESTA]</w:t>
            </w:r>
            <w:r>
              <w:rPr>
                <w:rFonts w:ascii="Arial" w:hAnsi="Arial"/>
                <w:sz w:val="17"/>
              </w:rPr>
              <w:t xml:space="preserve">.</w:t>
            </w:r>
          </w:p>
        </w:tc>
        <w:tc>
          <w:tcPr>
            <w:tcW w:type="dxa" w:w="9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</w:t>
            </w:r>
          </w:p>
        </w:tc>
      </w:tr>
      <w:tr>
        <w:tc>
          <w:tcPr>
            <w:tcW w:type="dxa" w:w="23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RNF-003 Mínimo privilegio</w:t>
            </w:r>
          </w:p>
        </w:tc>
        <w:tc>
          <w:tcPr>
            <w:tcW w:type="dxa" w:w="2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Denegación por defecto</w:t>
            </w:r>
          </w:p>
        </w:tc>
        <w:tc>
          <w:tcPr>
            <w:tcW w:type="dxa" w:w="38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ADR-0007; pruebas de 401, 403 y fuera de ámbito por endpoint.</w:t>
            </w:r>
          </w:p>
        </w:tc>
        <w:tc>
          <w:tcPr>
            <w:tcW w:type="dxa" w:w="9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</w:t>
            </w:r>
          </w:p>
        </w:tc>
      </w:tr>
      <w:tr>
        <w:tc>
          <w:tcPr>
            <w:tcW w:type="dxa" w:w="23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RNF-004 Integridad</w:t>
            </w:r>
          </w:p>
        </w:tc>
        <w:tc>
          <w:tcPr>
            <w:tcW w:type="dxa" w:w="2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Operaciones críticas atómicas</w:t>
            </w:r>
          </w:p>
        </w:tc>
        <w:tc>
          <w:tcPr>
            <w:tcW w:type="dxa" w:w="38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Transacción en el servicio; eventos síncronos en la misma transacción; restricciones en la base.</w:t>
            </w:r>
          </w:p>
        </w:tc>
        <w:tc>
          <w:tcPr>
            <w:tcW w:type="dxa" w:w="9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</w:t>
            </w:r>
          </w:p>
        </w:tc>
      </w:tr>
      <w:tr>
        <w:tc>
          <w:tcPr>
            <w:tcW w:type="dxa" w:w="23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RNF-005 Escalabilidad funcional</w:t>
            </w:r>
          </w:p>
        </w:tc>
        <w:tc>
          <w:tcPr>
            <w:tcW w:type="dxa" w:w="2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Catálogos sin cambio de código</w:t>
            </w:r>
          </w:p>
        </w:tc>
        <w:tc>
          <w:tcPr>
            <w:tcW w:type="dxa" w:w="38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Categorías, artículos, tipos de incidencia, desempates y parámetros como datos.</w:t>
            </w:r>
          </w:p>
        </w:tc>
        <w:tc>
          <w:tcPr>
            <w:tcW w:type="dxa" w:w="9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</w:t>
            </w:r>
          </w:p>
        </w:tc>
      </w:tr>
      <w:tr>
        <w:tc>
          <w:tcPr>
            <w:tcW w:type="dxa" w:w="23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RNF-009 Mantenibilidad</w:t>
            </w:r>
          </w:p>
        </w:tc>
        <w:tc>
          <w:tcPr>
            <w:tcW w:type="dxa" w:w="2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Sin ciclos entre módulos</w:t>
            </w:r>
          </w:p>
        </w:tc>
        <w:tc>
          <w:tcPr>
            <w:tcW w:type="dxa" w:w="38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ADR-0006 con prueba ArchUnit en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./mvnw verify</w:t>
            </w:r>
            <w:r>
              <w:rPr>
                <w:rFonts w:ascii="Arial" w:hAnsi="Arial"/>
                <w:sz w:val="17"/>
              </w:rPr>
              <w:t xml:space="preserve">.</w:t>
            </w:r>
          </w:p>
        </w:tc>
        <w:tc>
          <w:tcPr>
            <w:tcW w:type="dxa" w:w="9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</w:t>
            </w:r>
          </w:p>
        </w:tc>
      </w:tr>
      <w:tr>
        <w:tc>
          <w:tcPr>
            <w:tcW w:type="dxa" w:w="23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RNF-010 Respaldo</w:t>
            </w:r>
          </w:p>
        </w:tc>
        <w:tc>
          <w:tcPr>
            <w:tcW w:type="dxa" w:w="2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RPO 24 h, RTO 4 h</w:t>
            </w:r>
          </w:p>
        </w:tc>
        <w:tc>
          <w:tcPr>
            <w:tcW w:type="dxa" w:w="38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Ver 8.3.</w:t>
            </w:r>
          </w:p>
        </w:tc>
        <w:tc>
          <w:tcPr>
            <w:tcW w:type="dxa" w:w="9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</w:t>
            </w:r>
          </w:p>
        </w:tc>
      </w:tr>
      <w:tr>
        <w:tc>
          <w:tcPr>
            <w:tcW w:type="dxa" w:w="23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RNF-011 Observabilidad</w:t>
            </w:r>
          </w:p>
        </w:tc>
        <w:tc>
          <w:tcPr>
            <w:tcW w:type="dxa" w:w="2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Bitácora estructurada y salud</w:t>
            </w:r>
          </w:p>
        </w:tc>
        <w:tc>
          <w:tcPr>
            <w:tcW w:type="dxa" w:w="38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Spring Boot Actuator (</w:t>
            </w:r>
            <w:r>
              <w:rPr>
                <w:rStyle w:val="VerbatimChar"/>
                <w:rFonts w:ascii="Arial" w:hAnsi="Arial"/>
                <w:sz w:val="17"/>
              </w:rPr>
              <w:t xml:space="preserve">/actuator/health</w:t>
            </w:r>
            <w:r>
              <w:rPr>
                <w:rFonts w:ascii="Arial" w:hAnsi="Arial"/>
                <w:sz w:val="17"/>
              </w:rPr>
              <w:t xml:space="preserve">); bitácora JSON estructurada sin datos personales.</w:t>
            </w:r>
          </w:p>
        </w:tc>
        <w:tc>
          <w:tcPr>
            <w:tcW w:type="dxa" w:w="9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</w:t>
            </w:r>
          </w:p>
        </w:tc>
      </w:tr>
      <w:tr>
        <w:tc>
          <w:tcPr>
            <w:tcW w:type="dxa" w:w="23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RNF-012 Datos personales</w:t>
            </w:r>
          </w:p>
        </w:tc>
        <w:tc>
          <w:tcPr>
            <w:tcW w:type="dxa" w:w="2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Portal sin datos personales</w:t>
            </w:r>
          </w:p>
        </w:tc>
        <w:tc>
          <w:tcPr>
            <w:tcW w:type="dxa" w:w="38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DP-006, RLS, consentimiento por finalidad.</w:t>
            </w:r>
          </w:p>
        </w:tc>
        <w:tc>
          <w:tcPr>
            <w:tcW w:type="dxa" w:w="9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</w:t>
            </w:r>
          </w:p>
        </w:tc>
      </w:tr>
      <w:tr>
        <w:tc>
          <w:tcPr>
            <w:tcW w:type="dxa" w:w="23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RNF-013, RNF-014</w:t>
            </w:r>
          </w:p>
        </w:tc>
        <w:tc>
          <w:tcPr>
            <w:tcW w:type="dxa" w:w="2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Sin contraseñas propias; sesiones seguras</w:t>
            </w:r>
          </w:p>
        </w:tc>
        <w:tc>
          <w:tcPr>
            <w:tcW w:type="dxa" w:w="38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ADR-0003.</w:t>
            </w:r>
          </w:p>
        </w:tc>
        <w:tc>
          <w:tcPr>
            <w:tcW w:type="dxa" w:w="9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</w:t>
            </w:r>
          </w:p>
        </w:tc>
      </w:tr>
      <w:tr>
        <w:tc>
          <w:tcPr>
            <w:tcW w:type="dxa" w:w="23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RNF-015 Auditoría</w:t>
            </w:r>
          </w:p>
        </w:tc>
        <w:tc>
          <w:tcPr>
            <w:tcW w:type="dxa" w:w="2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Inalterable</w:t>
            </w:r>
          </w:p>
        </w:tc>
        <w:tc>
          <w:tcPr>
            <w:tcW w:type="dxa" w:w="38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Tabla solo de inserción.</w:t>
            </w:r>
          </w:p>
        </w:tc>
        <w:tc>
          <w:tcPr>
            <w:tcW w:type="dxa" w:w="9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</w:t>
            </w:r>
          </w:p>
        </w:tc>
      </w:tr>
      <w:tr>
        <w:tc>
          <w:tcPr>
            <w:tcW w:type="dxa" w:w="23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RNF-016 Operaciones internas</w:t>
            </w:r>
          </w:p>
        </w:tc>
        <w:tc>
          <w:tcPr>
            <w:tcW w:type="dxa" w:w="2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p95 &lt; 3 s; reporte &lt; 10 s</w:t>
            </w:r>
          </w:p>
        </w:tc>
        <w:tc>
          <w:tcPr>
            <w:tcW w:type="dxa" w:w="38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Índices por liga, temporada y club; paginación; exportación por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iCs/>
                <w:rFonts w:ascii="Arial" w:hAnsi="Arial"/>
                <w:i/>
                <w:sz w:val="17"/>
              </w:rPr>
              <w:t xml:space="preserve">streaming</w:t>
            </w:r>
            <w:r>
              <w:rPr>
                <w:rFonts w:ascii="Arial" w:hAnsi="Arial"/>
                <w:sz w:val="17"/>
              </w:rPr>
              <w:t xml:space="preserve">.</w:t>
            </w:r>
          </w:p>
        </w:tc>
        <w:tc>
          <w:tcPr>
            <w:tcW w:type="dxa" w:w="9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</w:t>
            </w:r>
          </w:p>
        </w:tc>
      </w:tr>
      <w:tr>
        <w:tc>
          <w:tcPr>
            <w:tcW w:type="dxa" w:w="23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RNF-017 Volumen</w:t>
            </w:r>
          </w:p>
        </w:tc>
        <w:tc>
          <w:tcPr>
            <w:tcW w:type="dxa" w:w="2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250 clubes, 800 equipos, 15,000 personas</w:t>
            </w:r>
          </w:p>
        </w:tc>
        <w:tc>
          <w:tcPr>
            <w:tcW w:type="dxa" w:w="38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Índices y paginación; capacidad de Storage según ADR-0008.</w:t>
            </w:r>
          </w:p>
        </w:tc>
        <w:tc>
          <w:tcPr>
            <w:tcW w:type="dxa" w:w="9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</w:t>
            </w:r>
          </w:p>
        </w:tc>
      </w:tr>
      <w:tr>
        <w:tc>
          <w:tcPr>
            <w:tcW w:type="dxa" w:w="23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RNF-018 Documentos</w:t>
            </w:r>
          </w:p>
        </w:tc>
        <w:tc>
          <w:tcPr>
            <w:tcW w:type="dxa" w:w="2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Repositorio privado y URL firmadas</w:t>
            </w:r>
          </w:p>
        </w:tc>
        <w:tc>
          <w:tcPr>
            <w:tcW w:type="dxa" w:w="38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ADR-0008.</w:t>
            </w:r>
          </w:p>
        </w:tc>
        <w:tc>
          <w:tcPr>
            <w:tcW w:type="dxa" w:w="9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</w:t>
            </w:r>
          </w:p>
        </w:tc>
      </w:tr>
      <w:tr>
        <w:tc>
          <w:tcPr>
            <w:tcW w:type="dxa" w:w="23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RNF-019 Cifrado en tránsito</w:t>
            </w:r>
          </w:p>
        </w:tc>
        <w:tc>
          <w:tcPr>
            <w:tcW w:type="dxa" w:w="2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TLS en todo</w:t>
            </w:r>
          </w:p>
        </w:tc>
        <w:tc>
          <w:tcPr>
            <w:tcW w:type="dxa" w:w="38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HTTPS, JDBC con TLS, SMTP con TLS.</w:t>
            </w:r>
          </w:p>
        </w:tc>
        <w:tc>
          <w:tcPr>
            <w:tcW w:type="dxa" w:w="9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</w:t>
            </w:r>
          </w:p>
        </w:tc>
      </w:tr>
      <w:tr>
        <w:tc>
          <w:tcPr>
            <w:tcW w:type="dxa" w:w="23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RNF-006 a RNF-008</w:t>
            </w:r>
          </w:p>
        </w:tc>
        <w:tc>
          <w:tcPr>
            <w:tcW w:type="dxa" w:w="2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Usabilidad, responsive, WCAG 2.1 AA</w:t>
            </w:r>
          </w:p>
        </w:tc>
        <w:tc>
          <w:tcPr>
            <w:tcW w:type="dxa" w:w="38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Sistema de diseño del frontend (paso 5).</w:t>
            </w:r>
          </w:p>
        </w:tc>
        <w:tc>
          <w:tcPr>
            <w:tcW w:type="dxa" w:w="9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</w:t>
            </w:r>
          </w:p>
        </w:tc>
      </w:tr>
    </w:tbl>
    <w:bookmarkEnd w:id="90"/>
    <w:bookmarkStart w:id="91" w:name="X8e580aa7bcbc510c10a6959eacbded27dc4a4cd"/>
    <w:p>
      <w:pPr>
        <w:pStyle w:val="Heading2"/>
      </w:pPr>
      <w:r>
        <w:t xml:space="preserve">8.2 Ambientes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571"/>
        <w:gridCol w:w="1696"/>
        <w:gridCol w:w="2014"/>
        <w:gridCol w:w="2217"/>
        <w:gridCol w:w="1905"/>
      </w:tblGrid>
      <w:tr>
        <w:trPr>
          <w:tblHeader w:val="true"/>
          <w:tblHeader/>
        </w:trPr>
        <w:tc>
          <w:tcPr>
            <w:tcW w:type="dxa" w:w="15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Ambiente</w:t>
            </w:r>
          </w:p>
        </w:tc>
        <w:tc>
          <w:tcPr>
            <w:tcW w:type="dxa" w:w="16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Frontend</w:t>
            </w:r>
          </w:p>
        </w:tc>
        <w:tc>
          <w:tcPr>
            <w:tcW w:type="dxa" w:w="20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Backend</w:t>
            </w:r>
          </w:p>
        </w:tc>
        <w:tc>
          <w:tcPr>
            <w:tcW w:type="dxa" w:w="22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Supabase</w:t>
            </w:r>
          </w:p>
        </w:tc>
        <w:tc>
          <w:tcPr>
            <w:tcW w:type="dxa" w:w="19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Uso</w:t>
            </w:r>
          </w:p>
        </w:tc>
      </w:tr>
      <w:tr>
        <w:tc>
          <w:tcPr>
            <w:tcW w:type="dxa" w:w="15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Local</w:t>
            </w:r>
          </w:p>
        </w:tc>
        <w:tc>
          <w:tcPr>
            <w:tcW w:type="dxa" w:w="16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npm run dev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(proxy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/api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→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:8080</w:t>
            </w:r>
            <w:r>
              <w:rPr>
                <w:rFonts w:ascii="Arial" w:hAnsi="Arial"/>
                <w:sz w:val="17"/>
              </w:rPr>
              <w:t xml:space="preserve">)</w:t>
            </w:r>
          </w:p>
        </w:tc>
        <w:tc>
          <w:tcPr>
            <w:tcW w:type="dxa" w:w="20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./mvnw spring-boot:run</w:t>
            </w:r>
          </w:p>
        </w:tc>
        <w:tc>
          <w:tcPr>
            <w:tcW w:type="dxa" w:w="22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Proyecto de desarrollo compartido o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supabase start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(CLI y Docker)</w:t>
            </w:r>
          </w:p>
        </w:tc>
        <w:tc>
          <w:tcPr>
            <w:tcW w:type="dxa" w:w="19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Desarrollo de cada integrante</w:t>
            </w:r>
          </w:p>
        </w:tc>
      </w:tr>
      <w:tr>
        <w:tc>
          <w:tcPr>
            <w:tcW w:type="dxa" w:w="15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Demostración</w:t>
            </w:r>
          </w:p>
        </w:tc>
        <w:tc>
          <w:tcPr>
            <w:tcW w:type="dxa" w:w="169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Por definir (PEN-036, PEN-037)</w:t>
            </w:r>
          </w:p>
        </w:tc>
        <w:tc>
          <w:tcPr>
            <w:tcW w:type="dxa" w:w="20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Por definir</w:t>
            </w:r>
          </w:p>
        </w:tc>
        <w:tc>
          <w:tcPr>
            <w:tcW w:type="dxa" w:w="22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Proyecto de demostración</w:t>
            </w:r>
          </w:p>
        </w:tc>
        <w:tc>
          <w:tcPr>
            <w:tcW w:type="dxa" w:w="19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Revisiones de Sprint con el profesor y la Liga</w:t>
            </w:r>
          </w:p>
        </w:tc>
      </w:tr>
    </w:tbl>
    <w:p>
      <w:pPr>
        <w:pStyle w:val="BodyText"/>
      </w:pPr>
      <w:r>
        <w:t xml:space="preserve">Las variables de cada ambiente se documentan en</w:t>
      </w:r>
      <w:r>
        <w:t xml:space="preserve"> </w:t>
      </w:r>
      <w:r>
        <w:rPr>
          <w:rStyle w:val="VerbatimChar"/>
        </w:rPr>
        <w:t xml:space="preserve">backend/.env.example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frontend/.env.example</w:t>
      </w:r>
      <w:r>
        <w:t xml:space="preserve">.</w:t>
      </w:r>
      <w:r>
        <w:t xml:space="preserve"> </w:t>
      </w:r>
      <w:r>
        <w:t xml:space="preserve">CI/CD y contenedores están fuera del alcance (ERS §2.6); el despliegue de demostración es manual.</w:t>
      </w:r>
    </w:p>
    <w:bookmarkEnd w:id="91"/>
    <w:bookmarkStart w:id="92" w:name="Xbef9642e4215139435c6648986c2d364015569f"/>
    <w:p>
      <w:pPr>
        <w:pStyle w:val="Heading2"/>
      </w:pPr>
      <w:r>
        <w:t xml:space="preserve">8.3 Respaldo y recuperación (RNF-010)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Plan Pro de Supabase:</w:t>
      </w:r>
      <w:r>
        <w:t xml:space="preserve"> </w:t>
      </w:r>
      <w:r>
        <w:t xml:space="preserve">respaldo diario automático con 7 días de retención; cumple el RPO de</w:t>
      </w:r>
      <w:r>
        <w:t xml:space="preserve"> </w:t>
      </w:r>
      <w:r>
        <w:t xml:space="preserve">24 h. La restauración se hace desde el panel del proyecto.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Plan gratuito:</w:t>
      </w:r>
      <w:r>
        <w:t xml:space="preserve"> </w:t>
      </w:r>
      <w:r>
        <w:t xml:space="preserve">no incluye respaldos automáticos. Mientras se use, se ejecuta</w:t>
      </w:r>
      <w:r>
        <w:t xml:space="preserve"> </w:t>
      </w:r>
      <w:r>
        <w:rPr>
          <w:rStyle w:val="VerbatimChar"/>
        </w:rPr>
        <w:t xml:space="preserve">supabase db dump</w:t>
      </w:r>
      <w:r>
        <w:t xml:space="preserve"> </w:t>
      </w:r>
      <w:r>
        <w:t xml:space="preserve">(esquema y datos) antes de cada demostración y al cierre de cada Sprint, y el</w:t>
      </w:r>
      <w:r>
        <w:t xml:space="preserve"> </w:t>
      </w:r>
      <w:r>
        <w:t xml:space="preserve">archivo se guarda fuera del repositorio porque contiene datos personales.</w:t>
      </w:r>
    </w:p>
    <w:p>
      <w:pPr>
        <w:numPr>
          <w:ilvl w:val="0"/>
          <w:numId w:val="1001"/>
        </w:numPr>
        <w:pStyle w:val="Compact"/>
      </w:pPr>
      <w:r>
        <w:t xml:space="preserve">Los respaldos de la base</w:t>
      </w:r>
      <w:r>
        <w:t xml:space="preserve"> </w:t>
      </w:r>
      <w:r>
        <w:rPr>
          <w:bCs/>
          <w:b/>
        </w:rPr>
        <w:t xml:space="preserve">no incluyen los archivos de Storage</w:t>
      </w:r>
      <w:r>
        <w:t xml:space="preserve">: los documentos se copian aparte</w:t>
      </w:r>
      <w:r>
        <w:t xml:space="preserve"> </w:t>
      </w:r>
      <w:r>
        <w:t xml:space="preserve">con un script que descarga el bucket mediante la API.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Prueba de restauración:</w:t>
      </w:r>
      <w:r>
        <w:t xml:space="preserve"> </w:t>
      </w:r>
      <w:r>
        <w:t xml:space="preserve">una vez por entrega, restaurar el último respaldo en un proyecto vacío,</w:t>
      </w:r>
      <w:r>
        <w:t xml:space="preserve"> </w:t>
      </w:r>
      <w:r>
        <w:t xml:space="preserve">aplicar la configuración y comprobar inicio de sesión, consulta de tabla y descarga de un</w:t>
      </w:r>
      <w:r>
        <w:t xml:space="preserve"> </w:t>
      </w:r>
      <w:r>
        <w:t xml:space="preserve">documento; registrar el tiempo para verificar el RTO de 4 h.</w:t>
      </w:r>
    </w:p>
    <w:p>
      <w:pPr>
        <w:numPr>
          <w:ilvl w:val="0"/>
          <w:numId w:val="1001"/>
        </w:numPr>
        <w:pStyle w:val="Compact"/>
      </w:pPr>
      <w:r>
        <w:t xml:space="preserve">Además, el plan gratuito pausa el proyecto tras una semana sin actividad; antes de una</w:t>
      </w:r>
      <w:r>
        <w:t xml:space="preserve"> </w:t>
      </w:r>
      <w:r>
        <w:t xml:space="preserve">demostración se verifica que esté activo.</w:t>
      </w:r>
    </w:p>
    <w:bookmarkEnd w:id="92"/>
    <w:bookmarkEnd w:id="93"/>
    <w:bookmarkStart w:id="94" w:name="X411936b1f716aa95ebb81bcc0de5e6aa503ad5c"/>
    <w:p>
      <w:pPr>
        <w:pStyle w:val="Heading1"/>
      </w:pPr>
      <w:r>
        <w:t xml:space="preserve">9. Pendientes y riesgos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177"/>
        <w:gridCol w:w="2539"/>
        <w:gridCol w:w="4521"/>
        <w:gridCol w:w="1166"/>
      </w:tblGrid>
      <w:tr>
        <w:trPr>
          <w:tblHeader w:val="true"/>
          <w:tblHeader/>
        </w:trPr>
        <w:tc>
          <w:tcPr>
            <w:tcW w:type="dxa" w:w="11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ID</w:t>
            </w:r>
          </w:p>
        </w:tc>
        <w:tc>
          <w:tcPr>
            <w:tcW w:type="dxa" w:w="25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Tema</w:t>
            </w:r>
          </w:p>
        </w:tc>
        <w:tc>
          <w:tcPr>
            <w:tcW w:type="dxa" w:w="45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Impacto en la arquitectura</w:t>
            </w:r>
          </w:p>
        </w:tc>
        <w:tc>
          <w:tcPr>
            <w:tcW w:type="dxa" w:w="116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Quién decide</w:t>
            </w:r>
          </w:p>
        </w:tc>
      </w:tr>
      <w:tr>
        <w:tc>
          <w:tcPr>
            <w:tcW w:type="dxa" w:w="11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PEN-036</w:t>
            </w:r>
          </w:p>
        </w:tc>
        <w:tc>
          <w:tcPr>
            <w:tcW w:type="dxa" w:w="25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Ambientes de desarrollo, pruebas y producción</w:t>
            </w:r>
          </w:p>
        </w:tc>
        <w:tc>
          <w:tcPr>
            <w:tcW w:type="dxa" w:w="45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Dónde corre la API (debe estar siempre encendida por ADR-0009) y el frontend.</w:t>
            </w:r>
          </w:p>
        </w:tc>
        <w:tc>
          <w:tcPr>
            <w:tcW w:type="dxa" w:w="116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Equipo</w:t>
            </w:r>
          </w:p>
        </w:tc>
      </w:tr>
      <w:tr>
        <w:tc>
          <w:tcPr>
            <w:tcW w:type="dxa" w:w="11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PEN-037</w:t>
            </w:r>
          </w:p>
        </w:tc>
        <w:tc>
          <w:tcPr>
            <w:tcW w:type="dxa" w:w="25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Dominio y alojamiento</w:t>
            </w:r>
          </w:p>
        </w:tc>
        <w:tc>
          <w:tcPr>
            <w:tcW w:type="dxa" w:w="45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Dominio para el correo (SPF, DKIM, DMARC) y para la SPA.</w:t>
            </w:r>
          </w:p>
        </w:tc>
        <w:tc>
          <w:tcPr>
            <w:tcW w:type="dxa" w:w="116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Liga y equipo</w:t>
            </w:r>
          </w:p>
        </w:tc>
      </w:tr>
      <w:tr>
        <w:tc>
          <w:tcPr>
            <w:tcW w:type="dxa" w:w="11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PEN-039</w:t>
            </w:r>
          </w:p>
        </w:tc>
        <w:tc>
          <w:tcPr>
            <w:tcW w:type="dxa" w:w="25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Naturaleza jurídica de la Liga</w:t>
            </w:r>
          </w:p>
        </w:tc>
        <w:tc>
          <w:tcPr>
            <w:tcW w:type="dxa" w:w="45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Ley de datos personales aplicable; aviso de privacidad.</w:t>
            </w:r>
          </w:p>
        </w:tc>
        <w:tc>
          <w:tcPr>
            <w:tcW w:type="dxa" w:w="116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Liga</w:t>
            </w:r>
          </w:p>
        </w:tc>
      </w:tr>
      <w:tr>
        <w:tc>
          <w:tcPr>
            <w:tcW w:type="dxa" w:w="11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PEN-040</w:t>
            </w:r>
          </w:p>
        </w:tc>
        <w:tc>
          <w:tcPr>
            <w:tcW w:type="dxa" w:w="25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Retención de datos, documentos y auditoría</w:t>
            </w:r>
          </w:p>
        </w:tc>
        <w:tc>
          <w:tcPr>
            <w:tcW w:type="dxa" w:w="45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Tareas de depuración y borrado definitivo en Storage.</w:t>
            </w:r>
          </w:p>
        </w:tc>
        <w:tc>
          <w:tcPr>
            <w:tcW w:type="dxa" w:w="116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Liga y equipo</w:t>
            </w:r>
          </w:p>
        </w:tc>
      </w:tr>
      <w:tr>
        <w:tc>
          <w:tcPr>
            <w:tcW w:type="dxa" w:w="11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—</w:t>
            </w:r>
          </w:p>
        </w:tc>
        <w:tc>
          <w:tcPr>
            <w:tcW w:type="dxa" w:w="25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Plan de Supabase</w:t>
            </w:r>
          </w:p>
        </w:tc>
        <w:tc>
          <w:tcPr>
            <w:tcW w:type="dxa" w:w="45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El plan gratuito no cumple RNF-001 ni RNF-010 y su capacidad de archivos (1 GB) no alcanza para una temporada real (ADR-0008).</w:t>
            </w:r>
          </w:p>
        </w:tc>
        <w:tc>
          <w:tcPr>
            <w:tcW w:type="dxa" w:w="116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Liga</w:t>
            </w:r>
          </w:p>
        </w:tc>
      </w:tr>
      <w:tr>
        <w:tc>
          <w:tcPr>
            <w:tcW w:type="dxa" w:w="11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—</w:t>
            </w:r>
          </w:p>
        </w:tc>
        <w:tc>
          <w:tcPr>
            <w:tcW w:type="dxa" w:w="25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Volumen de correo</w:t>
            </w:r>
          </w:p>
        </w:tc>
        <w:tc>
          <w:tcPr>
            <w:tcW w:type="dxa" w:w="45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Los planes gratuitos no alcanzan para la operación real (ADR-0010).</w:t>
            </w:r>
          </w:p>
        </w:tc>
        <w:tc>
          <w:tcPr>
            <w:tcW w:type="dxa" w:w="116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Liga</w:t>
            </w:r>
          </w:p>
        </w:tc>
      </w:tr>
      <w:tr>
        <w:tc>
          <w:tcPr>
            <w:tcW w:type="dxa" w:w="117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RSK-009</w:t>
            </w:r>
          </w:p>
        </w:tc>
        <w:tc>
          <w:tcPr>
            <w:tcW w:type="dxa" w:w="25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83 RF de núcleo en 8 semanas</w:t>
            </w:r>
          </w:p>
        </w:tc>
        <w:tc>
          <w:tcPr>
            <w:tcW w:type="dxa" w:w="45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La arquitectura prioriza lo transversal (seguridad, auditoría, eventos) en el Sprint 1 para no bloquear a los módulos.</w:t>
            </w:r>
          </w:p>
        </w:tc>
        <w:tc>
          <w:tcPr>
            <w:tcW w:type="dxa" w:w="116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Equipo</w:t>
            </w:r>
          </w:p>
        </w:tc>
      </w:tr>
    </w:tbl>
    <w:bookmarkEnd w:id="94"/>
    <w:bookmarkStart w:id="95" w:name="X4764f24dcf3a3f7c44a1f83a34f1d7d47a99515"/>
    <w:p>
      <w:pPr>
        <w:pStyle w:val="Heading1"/>
      </w:pPr>
      <w:r>
        <w:t xml:space="preserve">10. Decisiones arquitectónicas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2069"/>
        <w:gridCol w:w="3351"/>
        <w:gridCol w:w="3058"/>
        <w:gridCol w:w="925"/>
      </w:tblGrid>
      <w:tr>
        <w:trPr>
          <w:tblHeader w:val="true"/>
          <w:tblHeader/>
        </w:trPr>
        <w:tc>
          <w:tcPr>
            <w:tcW w:type="dxa" w:w="20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Tema</w:t>
            </w:r>
          </w:p>
        </w:tc>
        <w:tc>
          <w:tcPr>
            <w:tcW w:type="dxa" w:w="33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Decisión</w:t>
            </w:r>
          </w:p>
        </w:tc>
        <w:tc>
          <w:tcPr>
            <w:tcW w:type="dxa" w:w="305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Justificación</w:t>
            </w:r>
          </w:p>
        </w:tc>
        <w:tc>
          <w:tcPr>
            <w:tcW w:type="dxa" w:w="9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ADR</w:t>
            </w:r>
          </w:p>
        </w:tc>
      </w:tr>
      <w:tr>
        <w:tc>
          <w:tcPr>
            <w:tcW w:type="dxa" w:w="20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Repositorio</w:t>
            </w:r>
          </w:p>
        </w:tc>
        <w:tc>
          <w:tcPr>
            <w:tcW w:type="dxa" w:w="33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Monorepo con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docs/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supabase/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backend/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y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frontend/</w:t>
            </w:r>
          </w:p>
        </w:tc>
        <w:tc>
          <w:tcPr>
            <w:tcW w:type="dxa" w:w="305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Un cambio de requisito toca esquema, API y pantalla; equipo de tres.</w:t>
            </w:r>
          </w:p>
        </w:tc>
        <w:tc>
          <w:tcPr>
            <w:tcW w:type="dxa" w:w="9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0001</w:t>
            </w:r>
          </w:p>
        </w:tc>
      </w:tr>
      <w:tr>
        <w:tc>
          <w:tcPr>
            <w:tcW w:type="dxa" w:w="20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Estilo</w:t>
            </w:r>
          </w:p>
        </w:tc>
        <w:tc>
          <w:tcPr>
            <w:tcW w:type="dxa" w:w="33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Monolito modular en capas, un paquete por módulo</w:t>
            </w:r>
          </w:p>
        </w:tc>
        <w:tc>
          <w:tcPr>
            <w:tcW w:type="dxa" w:w="305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DD-002; equipo pequeño; transacciones locales.</w:t>
            </w:r>
          </w:p>
        </w:tc>
        <w:tc>
          <w:tcPr>
            <w:tcW w:type="dxa" w:w="9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0002, 0006</w:t>
            </w:r>
          </w:p>
        </w:tc>
      </w:tr>
      <w:tr>
        <w:tc>
          <w:tcPr>
            <w:tcW w:type="dxa" w:w="20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Presentación</w:t>
            </w:r>
          </w:p>
        </w:tc>
        <w:tc>
          <w:tcPr>
            <w:tcW w:type="dxa" w:w="33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SPA React + TypeScript</w:t>
            </w:r>
          </w:p>
        </w:tc>
        <w:tc>
          <w:tcPr>
            <w:tcW w:type="dxa" w:w="305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DD-001, RNF-007; portal y aplicación interna en una plataforma; DEC-43.</w:t>
            </w:r>
          </w:p>
        </w:tc>
        <w:tc>
          <w:tcPr>
            <w:tcW w:type="dxa" w:w="9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—</w:t>
            </w:r>
          </w:p>
        </w:tc>
      </w:tr>
      <w:tr>
        <w:tc>
          <w:tcPr>
            <w:tcW w:type="dxa" w:w="20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Acceso a datos</w:t>
            </w:r>
          </w:p>
        </w:tc>
        <w:tc>
          <w:tcPr>
            <w:tcW w:type="dxa" w:w="33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Spring JDBC con SQL explícito; sin JPA</w:t>
            </w:r>
          </w:p>
        </w:tc>
        <w:tc>
          <w:tcPr>
            <w:tcW w:type="dxa" w:w="305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Enumeraciones, rangos, RLS y funciones del esquema.</w:t>
            </w:r>
          </w:p>
        </w:tc>
        <w:tc>
          <w:tcPr>
            <w:tcW w:type="dxa" w:w="9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0002</w:t>
            </w:r>
          </w:p>
        </w:tc>
      </w:tr>
      <w:tr>
        <w:tc>
          <w:tcPr>
            <w:tcW w:type="dxa" w:w="20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Esquema</w:t>
            </w:r>
          </w:p>
        </w:tc>
        <w:tc>
          <w:tcPr>
            <w:tcW w:type="dxa" w:w="33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Solo migraciones versionadas</w:t>
            </w:r>
          </w:p>
        </w:tc>
        <w:tc>
          <w:tcPr>
            <w:tcW w:type="dxa" w:w="305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Trazabilidad del esquema; DD-003.</w:t>
            </w:r>
          </w:p>
        </w:tc>
        <w:tc>
          <w:tcPr>
            <w:tcW w:type="dxa" w:w="9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0004</w:t>
            </w:r>
          </w:p>
        </w:tc>
      </w:tr>
      <w:tr>
        <w:tc>
          <w:tcPr>
            <w:tcW w:type="dxa" w:w="20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Identidad</w:t>
            </w:r>
          </w:p>
        </w:tc>
        <w:tc>
          <w:tcPr>
            <w:tcW w:type="dxa" w:w="33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Supabase Auth, JWT con JWKS, alta por invitación</w:t>
            </w:r>
          </w:p>
        </w:tc>
        <w:tc>
          <w:tcPr>
            <w:tcW w:type="dxa" w:w="305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DD-012, RNF-013, RNF-014; PEN-030.</w:t>
            </w:r>
          </w:p>
        </w:tc>
        <w:tc>
          <w:tcPr>
            <w:tcW w:type="dxa" w:w="9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0003</w:t>
            </w:r>
          </w:p>
        </w:tc>
      </w:tr>
      <w:tr>
        <w:tc>
          <w:tcPr>
            <w:tcW w:type="dxa" w:w="20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Contexto en la base</w:t>
            </w:r>
          </w:p>
        </w:tc>
        <w:tc>
          <w:tcPr>
            <w:tcW w:type="dxa" w:w="33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Claims y rol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authenticated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por transacción</w:t>
            </w:r>
          </w:p>
        </w:tc>
        <w:tc>
          <w:tcPr>
            <w:tcW w:type="dxa" w:w="305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Historial con usuario y RLS efectivo.</w:t>
            </w:r>
          </w:p>
        </w:tc>
        <w:tc>
          <w:tcPr>
            <w:tcW w:type="dxa" w:w="9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0005</w:t>
            </w:r>
          </w:p>
        </w:tc>
      </w:tr>
      <w:tr>
        <w:tc>
          <w:tcPr>
            <w:tcW w:type="dxa" w:w="20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Autorización</w:t>
            </w:r>
          </w:p>
        </w:tc>
        <w:tc>
          <w:tcPr>
            <w:tcW w:type="dxa" w:w="33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Permiso y ámbito en servicios; RLS como defensa</w:t>
            </w:r>
          </w:p>
        </w:tc>
        <w:tc>
          <w:tcPr>
            <w:tcW w:type="dxa" w:w="305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DD-009, DP-008, RN-053, RN-054.</w:t>
            </w:r>
          </w:p>
        </w:tc>
        <w:tc>
          <w:tcPr>
            <w:tcW w:type="dxa" w:w="9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0007</w:t>
            </w:r>
          </w:p>
        </w:tc>
      </w:tr>
      <w:tr>
        <w:tc>
          <w:tcPr>
            <w:tcW w:type="dxa" w:w="20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Documentos</w:t>
            </w:r>
          </w:p>
        </w:tc>
        <w:tc>
          <w:tcPr>
            <w:tcW w:type="dxa" w:w="33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Supabase Storage privado por el backend; URL firmadas</w:t>
            </w:r>
          </w:p>
        </w:tc>
        <w:tc>
          <w:tcPr>
            <w:tcW w:type="dxa" w:w="305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RNF-018, DEC-10.</w:t>
            </w:r>
          </w:p>
        </w:tc>
        <w:tc>
          <w:tcPr>
            <w:tcW w:type="dxa" w:w="9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0008</w:t>
            </w:r>
          </w:p>
        </w:tc>
      </w:tr>
      <w:tr>
        <w:tc>
          <w:tcPr>
            <w:tcW w:type="dxa" w:w="20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Procesos por tiempo</w:t>
            </w:r>
          </w:p>
        </w:tc>
        <w:tc>
          <w:tcPr>
            <w:tcW w:type="dxa" w:w="33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@Scheduled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idempotente por estado</w:t>
            </w:r>
          </w:p>
        </w:tc>
        <w:tc>
          <w:tcPr>
            <w:tcW w:type="dxa" w:w="305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DP-007; RF-124, RF-127, RF-141.</w:t>
            </w:r>
          </w:p>
        </w:tc>
        <w:tc>
          <w:tcPr>
            <w:tcW w:type="dxa" w:w="9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0009</w:t>
            </w:r>
          </w:p>
        </w:tc>
      </w:tr>
      <w:tr>
        <w:tc>
          <w:tcPr>
            <w:tcW w:type="dxa" w:w="20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Avisos y correo</w:t>
            </w:r>
          </w:p>
        </w:tc>
        <w:tc>
          <w:tcPr>
            <w:tcW w:type="dxa" w:w="33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Avisos en la base; correo SMTP con bandeja de salida</w:t>
            </w:r>
          </w:p>
        </w:tc>
        <w:tc>
          <w:tcPr>
            <w:tcW w:type="dxa" w:w="305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RF-142, RF-143, PEN-034.</w:t>
            </w:r>
          </w:p>
        </w:tc>
        <w:tc>
          <w:tcPr>
            <w:tcW w:type="dxa" w:w="9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0010</w:t>
            </w:r>
          </w:p>
        </w:tc>
      </w:tr>
      <w:tr>
        <w:tc>
          <w:tcPr>
            <w:tcW w:type="dxa" w:w="20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Varias ligas</w:t>
            </w:r>
          </w:p>
        </w:tc>
        <w:tc>
          <w:tcPr>
            <w:tcW w:type="dxa" w:w="33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Una liga con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liga_id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en entidades raíz</w:t>
            </w:r>
          </w:p>
        </w:tc>
        <w:tc>
          <w:tcPr>
            <w:tcW w:type="dxa" w:w="305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DD-011, DEC-07.</w:t>
            </w:r>
          </w:p>
        </w:tc>
        <w:tc>
          <w:tcPr>
            <w:tcW w:type="dxa" w:w="9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0011</w:t>
            </w:r>
          </w:p>
        </w:tc>
      </w:tr>
      <w:tr>
        <w:tc>
          <w:tcPr>
            <w:tcW w:type="dxa" w:w="20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Pagos</w:t>
            </w:r>
          </w:p>
        </w:tc>
        <w:tc>
          <w:tcPr>
            <w:tcW w:type="dxa" w:w="33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Pasarela simulada detrás de una interfaz</w:t>
            </w:r>
          </w:p>
        </w:tc>
        <w:tc>
          <w:tcPr>
            <w:tcW w:type="dxa" w:w="305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DEC-37.</w:t>
            </w:r>
          </w:p>
        </w:tc>
        <w:tc>
          <w:tcPr>
            <w:tcW w:type="dxa" w:w="9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0012</w:t>
            </w:r>
          </w:p>
        </w:tc>
      </w:tr>
      <w:tr>
        <w:tc>
          <w:tcPr>
            <w:tcW w:type="dxa" w:w="20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Integraciones fuera</w:t>
            </w:r>
          </w:p>
        </w:tc>
        <w:tc>
          <w:tcPr>
            <w:tcW w:type="dxa" w:w="33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Sin WhatsApp/SMS, mapas, API pública ni proveedores externos de identidad</w:t>
            </w:r>
          </w:p>
        </w:tc>
        <w:tc>
          <w:tcPr>
            <w:tcW w:type="dxa" w:w="305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ERS §2.6.</w:t>
            </w:r>
          </w:p>
        </w:tc>
        <w:tc>
          <w:tcPr>
            <w:tcW w:type="dxa" w:w="9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—</w:t>
            </w:r>
          </w:p>
        </w:tc>
      </w:tr>
    </w:tbl>
    <w:bookmarkEnd w:id="95"/>
    <w:bookmarkStart w:id="96" w:name="X261ea10d57d46f6dadd0576198d05c0a92b7f81"/>
    <w:p>
      <w:pPr>
        <w:pStyle w:val="Heading1"/>
      </w:pPr>
      <w:r>
        <w:t xml:space="preserve">11. Cambios respecto a la versión 1.0</w:t>
      </w:r>
    </w:p>
    <w:tbl>
      <w:tblPr>
        <w:tblStyle w:val="Table"/>
        <w:jc w:val="center"/>
        <w:tblLook w:firstRow="1" w:lastRow="0" w:firstColumn="0" w:lastColumn="0" w:noHBand="0" w:noVBand="0" w:val="0020"/>
        <w:tblW w:w="9405" w:type="dxa"/>
        <w:tblLayout w:type="fixed"/>
      </w:tblPr>
      <w:tblGrid>
        <w:gridCol w:w="1849"/>
        <w:gridCol w:w="3244"/>
        <w:gridCol w:w="4312"/>
      </w:tblGrid>
      <w:tr>
        <w:trPr>
          <w:tblHeader w:val="true"/>
          <w:tblHeader/>
        </w:trPr>
        <w:tc>
          <w:tcPr>
            <w:tcW w:type="dxa" w:w="18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Aspecto</w:t>
            </w:r>
          </w:p>
        </w:tc>
        <w:tc>
          <w:tcPr>
            <w:tcW w:type="dxa" w:w="32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Versión 1.0</w:t>
            </w:r>
          </w:p>
        </w:tc>
        <w:tc>
          <w:tcPr>
            <w:tcW w:type="dxa" w:w="43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Versión 2.0</w:t>
            </w:r>
          </w:p>
        </w:tc>
      </w:tr>
      <w:tr>
        <w:tc>
          <w:tcPr>
            <w:tcW w:type="dxa" w:w="18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Módulos</w:t>
            </w:r>
          </w:p>
        </w:tc>
        <w:tc>
          <w:tcPr>
            <w:tcW w:type="dxa" w:w="32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8 módulos; M-05, M-10 y M-12 fuera; M-09 condicionado.</w:t>
            </w:r>
          </w:p>
        </w:tc>
        <w:tc>
          <w:tcPr>
            <w:tcW w:type="dxa" w:w="43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14 módulos con 56 submódulos y su entrega N o B.</w:t>
            </w:r>
          </w:p>
        </w:tc>
      </w:tr>
      <w:tr>
        <w:tc>
          <w:tcPr>
            <w:tcW w:type="dxa" w:w="18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Diseño jerárquico</w:t>
            </w:r>
          </w:p>
        </w:tc>
        <w:tc>
          <w:tcPr>
            <w:tcW w:type="dxa" w:w="32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Imágenes exportadas de Word con texto de OCR.</w:t>
            </w:r>
          </w:p>
        </w:tc>
        <w:tc>
          <w:tcPr>
            <w:tcW w:type="dxa" w:w="43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Diagramas en el propio documento, editables y versionados.</w:t>
            </w:r>
          </w:p>
        </w:tc>
      </w:tr>
      <w:tr>
        <w:tc>
          <w:tcPr>
            <w:tcW w:type="dxa" w:w="18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Autorización</w:t>
            </w:r>
          </w:p>
        </w:tc>
        <w:tc>
          <w:tcPr>
            <w:tcW w:type="dxa" w:w="32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Rol y acción; RLS por nombre de rol.</w:t>
            </w:r>
          </w:p>
        </w:tc>
        <w:tc>
          <w:tcPr>
            <w:tcW w:type="dxa" w:w="43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Permiso y ámbito como datos; control dual; RLS con las mismas reglas.</w:t>
            </w:r>
          </w:p>
        </w:tc>
      </w:tr>
      <w:tr>
        <w:tc>
          <w:tcPr>
            <w:tcW w:type="dxa" w:w="18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Componentes</w:t>
            </w:r>
          </w:p>
        </w:tc>
        <w:tc>
          <w:tcPr>
            <w:tcW w:type="dxa" w:w="32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Filtro, controladores, servicios, repositorios.</w:t>
            </w:r>
          </w:p>
        </w:tc>
        <w:tc>
          <w:tcPr>
            <w:tcW w:type="dxa" w:w="43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Además: eventos de dominio, tareas programadas, almacenamiento, correo y pasarela simulada.</w:t>
            </w:r>
          </w:p>
        </w:tc>
      </w:tr>
      <w:tr>
        <w:tc>
          <w:tcPr>
            <w:tcW w:type="dxa" w:w="18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Vistas</w:t>
            </w:r>
          </w:p>
        </w:tc>
        <w:tc>
          <w:tcPr>
            <w:tcW w:type="dxa" w:w="32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Componentes y despliegue.</w:t>
            </w:r>
          </w:p>
        </w:tc>
        <w:tc>
          <w:tcPr>
            <w:tcW w:type="dxa" w:w="43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Contenedores, componentes, dependencias, secuencias, datos, seguridad, calidad y respaldo.</w:t>
            </w:r>
          </w:p>
        </w:tc>
      </w:tr>
      <w:tr>
        <w:tc>
          <w:tcPr>
            <w:tcW w:type="dxa" w:w="18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Decisiones</w:t>
            </w:r>
          </w:p>
        </w:tc>
        <w:tc>
          <w:tcPr>
            <w:tcW w:type="dxa" w:w="32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Tabla con [PROPUESTA] y pendientes PEN-024 a PEN-030.</w:t>
            </w:r>
          </w:p>
        </w:tc>
        <w:tc>
          <w:tcPr>
            <w:tcW w:type="dxa" w:w="43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ADR-0001 a ADR-0012; PEN-024 a PEN-026, PEN-030, PEN-031 y PEN-034 resueltos.</w:t>
            </w:r>
          </w:p>
        </w:tc>
      </w:tr>
    </w:tbl>
    <w:bookmarkEnd w:id="96"/>
    <w:sectPr>
      <w:headerReference w:type="default" r:id="rId10"/>
      <w:footerReference w:type="default" r:id="rId11"/>
      <w:pgSz w:w="12240" w:h="15840"/>
      <w:pgMar w:left="1417" w:right="1417" w:top="1417" w:bottom="141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Borrador para seguimiento · Octubre de 2026 · Pág. </w:t>
    </w:r>
    <w:r>
      <w:rPr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Arquitectura y diseño jerárquico · SIGLIM · Versión 2.0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18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/>
      <w:spacing w:after="120" w:before="280"/>
      <w:outlineLvl w:val="0"/>
    </w:pPr>
    <w:rPr>
      <w:rFonts w:asciiTheme="majorHAnsi" w:cstheme="majorBidi" w:eastAsiaTheme="majorEastAsia" w:hAnsiTheme="majorHAnsi" w:ascii="Arial" w:hAnsi="Arial" w:eastAsia="Arial"/>
      <w:b/>
      <w:bCs/>
      <w:color w:val="006837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00"/>
      <w:outlineLvl w:val="1"/>
    </w:pPr>
    <w:rPr>
      <w:rFonts w:asciiTheme="majorHAnsi" w:cstheme="majorBidi" w:eastAsiaTheme="majorEastAsia" w:hAnsiTheme="majorHAnsi" w:ascii="Arial" w:hAnsi="Arial" w:eastAsia="Arial"/>
      <w:b/>
      <w:bCs/>
      <w:color w:val="006837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00"/>
      <w:outlineLvl w:val="2"/>
    </w:pPr>
    <w:rPr>
      <w:rFonts w:asciiTheme="majorHAnsi" w:cstheme="majorBidi" w:eastAsiaTheme="majorEastAsia" w:hAnsiTheme="majorHAnsi" w:ascii="Arial" w:hAnsi="Arial" w:eastAsia="Arial"/>
      <w:b/>
      <w:bCs/>
      <w:color w:val="006837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00"/>
      <w:outlineLvl w:val="3"/>
    </w:pPr>
    <w:rPr>
      <w:rFonts w:asciiTheme="majorHAnsi" w:cstheme="majorBidi" w:eastAsiaTheme="majorEastAsia" w:hAnsiTheme="majorHAnsi" w:ascii="Arial" w:hAnsi="Arial" w:eastAsia="Arial"/>
      <w:i/>
      <w:b/>
      <w:bCs/>
      <w:color w:val="006837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hAnsi="Arial" w:eastAsia="Arial"/>
      <w:sz w:val="21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 w:eastAsia="Arial"/>
      <w:sz w:val="21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image" Target="media/rId22.png"/><Relationship Id="rId25" Type="http://schemas.openxmlformats.org/officeDocument/2006/relationships/image" Target="media/rId25.png"/><Relationship Id="rId28" Type="http://schemas.openxmlformats.org/officeDocument/2006/relationships/image" Target="media/rId28.png"/><Relationship Id="rId33" Type="http://schemas.openxmlformats.org/officeDocument/2006/relationships/image" Target="media/rId33.png"/><Relationship Id="rId37" Type="http://schemas.openxmlformats.org/officeDocument/2006/relationships/image" Target="media/rId37.png"/><Relationship Id="rId41" Type="http://schemas.openxmlformats.org/officeDocument/2006/relationships/image" Target="media/rId41.png"/><Relationship Id="rId45" Type="http://schemas.openxmlformats.org/officeDocument/2006/relationships/image" Target="media/rId45.png"/><Relationship Id="rId49" Type="http://schemas.openxmlformats.org/officeDocument/2006/relationships/image" Target="media/rId49.png"/><Relationship Id="rId53" Type="http://schemas.openxmlformats.org/officeDocument/2006/relationships/image" Target="media/rId53.png"/><Relationship Id="rId57" Type="http://schemas.openxmlformats.org/officeDocument/2006/relationships/image" Target="media/rId57.png"/><Relationship Id="rId63" Type="http://schemas.openxmlformats.org/officeDocument/2006/relationships/image" Target="media/rId63.png"/><Relationship Id="rId68" Type="http://schemas.openxmlformats.org/officeDocument/2006/relationships/image" Target="media/rId68.png"/><Relationship Id="rId74" Type="http://schemas.openxmlformats.org/officeDocument/2006/relationships/image" Target="media/rId74.png"/><Relationship Id="rId78" Type="http://schemas.openxmlformats.org/officeDocument/2006/relationships/image" Target="media/rId78.png"/><Relationship Id="rId82" Type="http://schemas.openxmlformats.org/officeDocument/2006/relationships/image" Target="media/rId82.png"/><Relationship Id="rId87" Type="http://schemas.openxmlformats.org/officeDocument/2006/relationships/hyperlink" Target="../base-de-datos/diccionario-de-datos.md" TargetMode="Externa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87" Type="http://schemas.openxmlformats.org/officeDocument/2006/relationships/hyperlink" Target="../base-de-datos/diccionario-de-dato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 y diseño jerárquico — SIGLIM · v2.0</dc:title>
  <dc:creator>López Meza Leonardo; Olvera Bucio Jose Israel; Olvera Lobato David Geovani</dc:creator>
  <cp:keywords/>
  <dcterms:created xsi:type="dcterms:W3CDTF">2026-10-20T03:30:55Z</dcterms:created>
  <dcterms:modified xsi:type="dcterms:W3CDTF">2026-10-20T03:30:55Z</dcterms:modified>
  <dc:subject>Arquitectura de software y diseño jerárquico (HIPO)</dc:subject>
  <dc:language>es-MX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Contenido</vt:lpwstr>
  </property>
</Properties>
</file>