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1. Diseño jerárquico (HIPO)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diseño jerárquico se presenta con la técnica HIPO (Hierarchy plus Input-Process-Output), compuesta por un diagrama de jerarquía que descompone el sistema en módulos y submódulos, una tabla que vincula cada elemento con los requisitos que lo justifican y diagramas IPO que describen las entradas, el proceso y las salidas de los módulos principales. Los módulos se derivan de los requisitos funcionales (RF) y casos de uso (CU) incluidos en la entrega y conservan la numeración del ERS; los módulos fuera del alcance (M-05, M-10 y M-12, sección 2.6 del ERS) no se representan. La notación </w:t>
      </w:r>
      <w:r>
        <w:rPr>
          <w:rFonts w:ascii="Arial" w:cs="Arial" w:eastAsia="Arial" w:hAnsi="Arial"/>
          <w:b/>
          <w:bCs/>
        </w:rPr>
        <w:t xml:space="preserve">M-xx.n</w:t>
      </w:r>
      <w:r>
        <w:rPr>
          <w:rFonts w:ascii="Arial" w:cs="Arial" w:eastAsia="Arial" w:hAnsi="Arial"/>
        </w:rPr>
        <w:t xml:space="preserve"> identifica los submódulos, y </w:t>
      </w:r>
      <w:r>
        <w:rPr>
          <w:rFonts w:ascii="Arial" w:cs="Arial" w:eastAsia="Arial" w:hAnsi="Arial"/>
          <w:b/>
          <w:bCs/>
        </w:rPr>
        <w:t xml:space="preserve">[P]</w:t>
      </w:r>
      <w:r>
        <w:rPr>
          <w:rFonts w:ascii="Arial" w:cs="Arial" w:eastAsia="Arial" w:hAnsi="Arial"/>
        </w:rPr>
        <w:t xml:space="preserve"> marca los elementos pendientes de decisión.</w:t>
      </w:r>
    </w:p>
    <w:p>
      <w:pPr>
        <w:pStyle w:val="Heading2"/>
      </w:pPr>
      <w:r>
        <w:rPr>
          <w:rFonts w:ascii="Arial" w:cs="Arial" w:eastAsia="Arial" w:hAnsi="Arial"/>
        </w:rPr>
        <w:t xml:space="preserve">1.1 Diagrama de jerarquía de módulos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Figura 1 muestra el sistema como nodo raíz, los módulos funcionales de la entrega como ramas y sus submódulos como sub-ramas. Se lee de arriba hacia abajo y de izquierda a derecha, siguiendo el orden del flujo vertical del ERS (configuración → organización → registro → recursos → programación → resultados → publicación); M-09 se ubica al final con trazo discontinuo por estar condicionado a Q-05.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8134350" cy="5429250"/>
            <wp:effectExtent t="0" r="0" b="0" l="0"/>
            <wp:docPr id="1" name="fig1_jerarquia.png" descr="Diagrama de jerarquía de módulos (structure chart) de la entrega." title="Diagrama de jerarquía de módulos (structure chart) de la entre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1. </w:t>
      </w:r>
      <w:r>
        <w:rPr>
          <w:rFonts w:ascii="Arial" w:cs="Arial" w:eastAsia="Arial" w:hAnsi="Arial"/>
          <w:sz w:val="20"/>
          <w:szCs w:val="20"/>
        </w:rPr>
        <w:t xml:space="preserve">Diagrama de jerarquía de módulos (structure chart) de la entrega.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</w:rPr>
        <w:t xml:space="preserve">1.2 Tabla complementaria de módulos y requisitos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Tabla 1 describe cada módulo y submódulo e indica los RF que cubre. Los casos de uso asociados se citan entre paréntesis en la descripción. Las filas sombreadas en gris claro corresponden a elementos pendientes de decisión [P].</w:t>
      </w:r>
    </w:p>
    <w:p>
      <w:pPr>
        <w:keepNext/>
        <w:spacing w:after="80" w:before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1. </w:t>
      </w:r>
      <w:r>
        <w:rPr>
          <w:rFonts w:ascii="Arial" w:cs="Arial" w:eastAsia="Arial" w:hAnsi="Arial"/>
          <w:sz w:val="20"/>
          <w:szCs w:val="20"/>
        </w:rPr>
        <w:t xml:space="preserve">Módulos, submódulos y requisitos funcionales que cubren.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Requisito(s) funcional(es)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M-01 Administración y seguridad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M-01.1 Autenticación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Inicio de sesión de usuarios internos (UI-001). No tiene RF propio; deriva de RNF-013 y RNF-014.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 (RNF-013, RNF-014)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M-01.2 Perfiles, roles y permisos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Control de acceso por módulo y acción con denegación por defecto (VAL-015, DD-009).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RF-040, RF-090 (acciones autorizadas); RNF-003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M-01.3 Auditoría de acciones críticas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de usuario, fecha, acción y motivo de cambios críticos (VAL-016, RN-018).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RF-093, RF-045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M-02 Temporadas y normativa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M-02.1 Temporada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de la temporada de trabajo sin sobrescribir históricos (CU-001).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RF-001, RF-003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M-02.2 Convocatoria (referencia)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Asociación de la convocatoria como documento normativo de referencia (CU-001).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M-02.3 Categorías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de la categoría de la temporada; el modelo admite otras (CU-002).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M-02.4 Grupos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de uno o varios grupos por categoría (CU-002).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M-02.5 Referencia de reglas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Versión o referencia de las reglas usadas (puntuación y desempates); interpretaciones como pendientes de validación.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RF-006, RF-007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M-03 Organización deportiva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M-03.1 Clubes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y administración de clubes afiliados (CU-003).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M-03.2 Equipos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Equipo como representación de un club en categoría/grupo/temporada (CU-003).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M-03.3 Personas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Identidad reutilizable, separada de sus roles, con historial de pertenencia (CU-004).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RF-010, RF-011, RF-012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M-04 Registros y elegibilidad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M-04.1 Alta de jugador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Alta básica del jugador en un equipo (CU-004).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RF-013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M-04.2 Baja de jugador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Baja conservando el historial (CU-004).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M-04.3 Estado de elegibilidad [P]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Estados y verificación de elegibilidad; bloqueo por sanción. Condicionado a Q-16 y Q-17.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RF-017, RF-019, RF-020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M-06 Canchas y recursos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M-06.1 Catálogo de canchas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de canchas y características conocidas (CU-005).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M-06.2 Disponibilidad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Disponibilidad por fecha y hora (CU-005).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RF-029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M-06.3 Bloqueos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Bloqueo de una cancha por intervalo (CU-005).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RF-030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M-07 Programación manual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M-07.1 Registro manual de partidos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Captura de jornadas y partidos por categoría, grupo, equipos, cancha, fecha y hora (CU-006).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RF-033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M-07.2 Asignación de cancha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Asignación manual de una cancha disponible (CU-006).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RF-036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M-07.3 Validación de conflictos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Detección de equipo duplicado, cancha ocupada y cancha no disponible (VAL-003 a VAL-005).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RF-039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M-07.4 Ajuste autorizado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Modificación manual con traza del cambio y envío a revisión (CU-006, CU-007).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RF-040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M-08 Partidos y resultados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M-08.1 Estado del partido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Ciclo de vida, conservación del historial y restricción de acciones por estado (P-04).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RF-043, RF-044, RF-045, RF-046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M-08.2 Captura de resultado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del marcador y del estado del resultado (CU-008).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RF-047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M-08.3 Validación y corrección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Oficialización del resultado y corrección autorizada con recálculo (CU-008).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RF-048, RF-052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M-08.4 Tabla y estadísticas de equipo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Cálculo de PJ, PG, PE, PP, GF, GC, DG, puntos y posición; desempates; separación de dato oficial e indicador (CU-009).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RF-049, RF-050 [P], RF-053, RF-055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M-11 Portal público y publicación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M-11.1 Flujo de publicación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Borrador → Revisión → Publicado; solo se publica información validada (P-09, CU-007).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RF-090, RF-056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M-11.2 Programación pública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Consulta de la programación semanal publicada (CU-016).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RF-082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M-11.3 Resultados públicos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Consulta de resultados validados y publicados (CU-016).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RF-083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M-11.4 Tabla pública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Consulta de la tabla publicada (CU-016).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RF-084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M-11.5 Filtros de consulta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Filtros por fecha, categoría/grupo y equipo; sin buscador general (CU-016).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RF-089</w:t>
            </w:r>
          </w:p>
        </w:tc>
      </w:tr>
      <w:tr>
        <w:tc>
          <w:tcPr>
            <w:tcW w:type="dxa" w:w="9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M-09 Disciplina reducida [P] (condicionado a Q-05)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M-09.1 Registro de incidente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manual de un incidente relacionado con personas o equipos (CU-010).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RF-057, RF-058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M-09.2 Resolución y vigencia</w:t>
            </w:r>
          </w:p>
        </w:tc>
        <w:tc>
          <w:tcPr>
            <w:tcW w:type="dxa" w:w="45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de la resolución y su vigencia por la autoridad; resolución inmutable (CU-011).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RF-062, RF-063, RF-065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Diagramas IPO de los módulos principales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Se presentan seis diagramas IPO (Figuras 2 a 7) correspondientes a los módulos que sostienen el flujo central de la entrega. M-03 y M-06 se omiten por limitarse a operaciones de registro y consulta de catálogos, y M-09 por estar pendiente de decisión.</w:t>
      </w:r>
    </w:p>
    <w:p>
      <w:pPr>
        <w:pStyle w:val="Heading3"/>
      </w:pPr>
      <w:r>
        <w:rPr>
          <w:rFonts w:ascii="Arial" w:cs="Arial" w:eastAsia="Arial" w:hAnsi="Arial"/>
        </w:rPr>
        <w:t xml:space="preserve">1.3.1 M-01 Administración y seguridad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Concentra la autenticación, la autorización por módulo y acción y el registro de auditoría que exigen las demás operaciones críticas.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33600"/>
            <wp:effectExtent t="0" r="0" b="0" l="0"/>
            <wp:docPr id="1" name="ipo_M-01.png" descr="Diagrama IPO del módulo M-01 Administración y seguridad." title="Diagrama IPO del módulo M-01 Administración y segur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2. </w:t>
      </w:r>
      <w:r>
        <w:rPr>
          <w:rFonts w:ascii="Arial" w:cs="Arial" w:eastAsia="Arial" w:hAnsi="Arial"/>
          <w:sz w:val="20"/>
          <w:szCs w:val="20"/>
        </w:rPr>
        <w:t xml:space="preserve">Diagrama IPO del módulo M-01 Administración y seguridad.</w:t>
      </w:r>
    </w:p>
    <w:p>
      <w:pPr>
        <w:pStyle w:val="Heading3"/>
      </w:pPr>
      <w:r>
        <w:rPr>
          <w:rFonts w:ascii="Arial" w:cs="Arial" w:eastAsia="Arial" w:hAnsi="Arial"/>
        </w:rPr>
        <w:t xml:space="preserve">1.3.2 M-02 Temporadas y normativa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Prepara el marco deportivo y normativo sobre el que operan los demás módulos (proceso P-01).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33600"/>
            <wp:effectExtent t="0" r="0" b="0" l="0"/>
            <wp:docPr id="1" name="ipo_M-02.png" descr="Diagrama IPO del módulo M-02 Temporadas y normativa." title="Diagrama IPO del módulo M-02 Temporadas y normati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3. </w:t>
      </w:r>
      <w:r>
        <w:rPr>
          <w:rFonts w:ascii="Arial" w:cs="Arial" w:eastAsia="Arial" w:hAnsi="Arial"/>
          <w:sz w:val="20"/>
          <w:szCs w:val="20"/>
        </w:rPr>
        <w:t xml:space="preserve">Diagrama IPO del módulo M-02 Temporadas y normativa.</w:t>
      </w:r>
    </w:p>
    <w:p>
      <w:pPr>
        <w:pStyle w:val="Heading3"/>
      </w:pPr>
      <w:r>
        <w:rPr>
          <w:rFonts w:ascii="Arial" w:cs="Arial" w:eastAsia="Arial" w:hAnsi="Arial"/>
        </w:rPr>
        <w:t xml:space="preserve">1.3.3 M-04 Registros y elegibilidad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Gestiona la pertenencia de una persona a un equipo; la evaluación de elegibilidad queda condicionada a reglas confirmadas (proceso P-02).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33600"/>
            <wp:effectExtent t="0" r="0" b="0" l="0"/>
            <wp:docPr id="1" name="ipo_M-04.png" descr="Diagrama IPO del módulo M-04 Registros y elegibilidad." title="Diagrama IPO del módulo M-04 Registros y elegibi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4. </w:t>
      </w:r>
      <w:r>
        <w:rPr>
          <w:rFonts w:ascii="Arial" w:cs="Arial" w:eastAsia="Arial" w:hAnsi="Arial"/>
          <w:sz w:val="20"/>
          <w:szCs w:val="20"/>
        </w:rPr>
        <w:t xml:space="preserve">Diagrama IPO del módulo M-04 Registros y elegibilidad.</w:t>
      </w:r>
    </w:p>
    <w:p>
      <w:pPr>
        <w:pStyle w:val="Heading3"/>
      </w:pPr>
      <w:r>
        <w:rPr>
          <w:rFonts w:ascii="Arial" w:cs="Arial" w:eastAsia="Arial" w:hAnsi="Arial"/>
        </w:rPr>
        <w:t xml:space="preserve">1.3.4 M-07 Programación manual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Registra y ajusta manualmente los partidos de una jornada sin conflictos duros (proceso P-03).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33600"/>
            <wp:effectExtent t="0" r="0" b="0" l="0"/>
            <wp:docPr id="1" name="ipo_M-07.png" descr="Diagrama IPO del módulo M-07 Programación manual." title="Diagrama IPO del módulo M-07 Programación man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5. </w:t>
      </w:r>
      <w:r>
        <w:rPr>
          <w:rFonts w:ascii="Arial" w:cs="Arial" w:eastAsia="Arial" w:hAnsi="Arial"/>
          <w:sz w:val="20"/>
          <w:szCs w:val="20"/>
        </w:rPr>
        <w:t xml:space="preserve">Diagrama IPO del módulo M-07 Programación manual.</w:t>
      </w:r>
    </w:p>
    <w:p>
      <w:pPr>
        <w:pStyle w:val="Heading3"/>
      </w:pPr>
      <w:r>
        <w:rPr>
          <w:rFonts w:ascii="Arial" w:cs="Arial" w:eastAsia="Arial" w:hAnsi="Arial"/>
        </w:rPr>
        <w:t xml:space="preserve">1.3.5 M-08 Partidos y resultados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Controla el ciclo de vida del partido y convierte el marcador capturado en resultado oficial y tabla (procesos P-04 y P-05).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33600"/>
            <wp:effectExtent t="0" r="0" b="0" l="0"/>
            <wp:docPr id="1" name="ipo_M-08.png" descr="Diagrama IPO del módulo M-08 Partidos y resultados." title="Diagrama IPO del módulo M-08 Partidos y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6. </w:t>
      </w:r>
      <w:r>
        <w:rPr>
          <w:rFonts w:ascii="Arial" w:cs="Arial" w:eastAsia="Arial" w:hAnsi="Arial"/>
          <w:sz w:val="20"/>
          <w:szCs w:val="20"/>
        </w:rPr>
        <w:t xml:space="preserve">Diagrama IPO del módulo M-08 Partidos y resultados.</w:t>
      </w:r>
    </w:p>
    <w:p>
      <w:pPr>
        <w:pStyle w:val="Heading3"/>
      </w:pPr>
      <w:r>
        <w:rPr>
          <w:rFonts w:ascii="Arial" w:cs="Arial" w:eastAsia="Arial" w:hAnsi="Arial"/>
        </w:rPr>
        <w:t xml:space="preserve">1.3.6 M-11 Portal público y publicación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Gobierna el paso de la información interna al portal de solo lectura (proceso P-09).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33600"/>
            <wp:effectExtent t="0" r="0" b="0" l="0"/>
            <wp:docPr id="1" name="ipo_M-11.png" descr="Diagrama IPO del módulo M-11 Portal público y publicación." title="Diagrama IPO del módulo M-11 Portal público y publ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7. </w:t>
      </w:r>
      <w:r>
        <w:rPr>
          <w:rFonts w:ascii="Arial" w:cs="Arial" w:eastAsia="Arial" w:hAnsi="Arial"/>
          <w:sz w:val="20"/>
          <w:szCs w:val="20"/>
        </w:rPr>
        <w:t xml:space="preserve">Diagrama IPO del módulo M-11 Portal público y publicación.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Arquitectura del sistema</w:t>
      </w:r>
    </w:p>
    <w:p>
      <w:pPr>
        <w:pStyle w:val="Heading2"/>
      </w:pPr>
      <w:r>
        <w:rPr>
          <w:rFonts w:ascii="Arial" w:cs="Arial" w:eastAsia="Arial" w:hAnsi="Arial"/>
        </w:rPr>
        <w:t xml:space="preserve">2.1 Diagrama de componentes y despliegue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Se adopta una arquitectura cliente-servidor de tres niveles: un cliente web (React), un servidor de aplicación organizado como monolito modular en capas (Spring Boot) y un servicio administrado de datos e identidad (Supabase). La Figura 8 la representa con notación de componentes y nodos de UML 2.5; las flechas indican la dirección de la solicitud y el protocolo de comunicación. El ERS no fija el stack (PEN-024 a PEN-026): React y Spring Boot son una selección del equipo, y PostgreSQL sobre Supabase proviene del diseño de la base de datos.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48350" cy="4286250"/>
            <wp:effectExtent t="0" r="0" b="0" l="0"/>
            <wp:docPr id="1" name="fig_arquitectura.png" descr="Diagrama de componentes y despliegue (UML) de la arquitectura propuesta." title="Diagrama de componentes y despliegue (UML) de la arquitectura propue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8. </w:t>
      </w:r>
      <w:r>
        <w:rPr>
          <w:rFonts w:ascii="Arial" w:cs="Arial" w:eastAsia="Arial" w:hAnsi="Arial"/>
          <w:sz w:val="20"/>
          <w:szCs w:val="20"/>
        </w:rPr>
        <w:t xml:space="preserve">Diagrama de componentes y despliegue (UML) de la arquitectura propuesta.</w:t>
      </w:r>
    </w:p>
    <w:p>
      <w:pPr>
        <w:pStyle w:val="Heading2"/>
      </w:pPr>
      <w:r>
        <w:rPr>
          <w:rFonts w:ascii="Arial" w:cs="Arial" w:eastAsia="Arial" w:hAnsi="Arial"/>
        </w:rPr>
        <w:t xml:space="preserve">2.2 Descripción de las capas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Capa de presentación (React).</w:t>
      </w:r>
      <w:r>
        <w:rPr>
          <w:rFonts w:ascii="Arial" w:cs="Arial" w:eastAsia="Arial" w:hAnsi="Arial"/>
        </w:rPr>
        <w:t xml:space="preserve"> Aplicación de una sola página que agrupa el portal público de solo lectura y la aplicación interna autenticada. Muestra conflictos, estados del partido y estado de publicación (ERS 3.1.1) y se comunica con el backend mediante HTTPS/REST.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Filtro de seguridad (Spring Boot).</w:t>
      </w:r>
      <w:r>
        <w:rPr>
          <w:rFonts w:ascii="Arial" w:cs="Arial" w:eastAsia="Arial" w:hAnsi="Arial"/>
        </w:rPr>
        <w:t xml:space="preserve"> Primer componente de cada solicitud interna: valida el token emitido por Supabase Auth y aplica la denegación por defecto según rol y acción. Las rutas del portal público no requieren token.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Capa de controladores (Spring Boot).</w:t>
      </w:r>
      <w:r>
        <w:rPr>
          <w:rFonts w:ascii="Arial" w:cs="Arial" w:eastAsia="Arial" w:hAnsi="Arial"/>
        </w:rPr>
        <w:t xml:space="preserve"> Expone los recursos REST de cada módulo (temporadas, equipos, partidos, resultados, publicación) y transforma solicitudes y respuestas JSON. No contiene reglas de negocio.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Capa de servicios (Spring Boot).</w:t>
      </w:r>
      <w:r>
        <w:rPr>
          <w:rFonts w:ascii="Arial" w:cs="Arial" w:eastAsia="Arial" w:hAnsi="Arial"/>
        </w:rPr>
        <w:t xml:space="preserve"> Implementa reglas de negocio, transiciones de estado del partido, validación de conflictos con mensajes explicativos y registro de auditoría. Delimita las transacciones de las operaciones críticas (RNF-004).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Capa de repositorios (Spring Boot).</w:t>
      </w:r>
      <w:r>
        <w:rPr>
          <w:rFonts w:ascii="Arial" w:cs="Arial" w:eastAsia="Arial" w:hAnsi="Arial"/>
        </w:rPr>
        <w:t xml:space="preserve"> Encapsula el acceso a datos mediante JDBC con el controlador de PostgreSQL; invoca las funciones del esquema, como calcular_tabla() y consultar_*_publica().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Persistencia (PostgreSQL en Supabase).</w:t>
      </w:r>
      <w:r>
        <w:rPr>
          <w:rFonts w:ascii="Arial" w:cs="Arial" w:eastAsia="Arial" w:hAnsi="Arial"/>
        </w:rPr>
        <w:t xml:space="preserve"> Base de datos relacional con restricciones, triggers de historial y de conflictos, funciones de cálculo y consulta pública y políticas RLS definidas en database.sql.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Servicio de identidad (Supabase Auth).</w:t>
      </w:r>
      <w:r>
        <w:rPr>
          <w:rFonts w:ascii="Arial" w:cs="Arial" w:eastAsia="Arial" w:hAnsi="Arial"/>
        </w:rPr>
        <w:t xml:space="preserve"> Administra credenciales en auth.users y emite los tokens JWT; el sistema no almacena contraseñas propias (RNF-013).</w:t>
      </w:r>
    </w:p>
    <w:p>
      <w:pPr>
        <w:pStyle w:val="Heading2"/>
      </w:pPr>
      <w:r>
        <w:rPr>
          <w:rFonts w:ascii="Arial" w:cs="Arial" w:eastAsia="Arial" w:hAnsi="Arial"/>
        </w:rPr>
        <w:t xml:space="preserve">2.3 Decisiones arquitectónicas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Tabla 2 relaciona cada decisión con los requisitos no funcionales (RNF), las decisiones de diseño (DD/DP) y las restricciones del ERS que la justifican. Las decisiones que no provienen del ERS se marcan como [PROPUESTA].</w:t>
      </w:r>
    </w:p>
    <w:p>
      <w:pPr>
        <w:keepNext/>
        <w:spacing w:after="80" w:before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2. </w:t>
      </w:r>
      <w:r>
        <w:rPr>
          <w:rFonts w:ascii="Arial" w:cs="Arial" w:eastAsia="Arial" w:hAnsi="Arial"/>
          <w:sz w:val="20"/>
          <w:szCs w:val="20"/>
        </w:rPr>
        <w:t xml:space="preserve">Decisiones arquitectónicas y su justificación.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Decisión / capa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Tecnología elegida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Justificación (RNF o restricción del ERS)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 de aplicación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Aplicación web responsive de una sola página (SPA)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RNF-007 (responsive); DD-001; ERS 3.1.2: acceso por navegador desde equipos de escritorio y móviles.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Presentación (frontend)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React [PROPUESTA]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ERS 2.1: dos caras (interna y pública) en una misma plataforma; RNF-007; RF-082 a RF-084. El ERS deja el stack abierto (PEN-024); selección del equipo.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Lógica de negocio (backend)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Spring Boot como monolito modular, un paquete por módulo M-xx [PROPUESTA]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DD-002 en su versión simplificada (backend modular dentro de una sola aplicación, sin API pública); DP-001; S-05; RNF-009; restricción de 10 semanas y tres integrantes (ERS 2.4).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Organización interna del backend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Capas controlador → servicio → repositorio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Separación lógica entre interfaz, reglas, autorización y datos (ERS 4.4); DP-001; DP-003 (máquina de estados del partido en servicios); RNF-009.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PostgreSQL sobre Supabase (definido en el diseño de BD)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DD-003 (base relacional); RNF-004 (integridad transaccional); RNF-005 (nuevas temporadas y categorías sin rediseño); RN-005 (no sobrescribir históricos).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Acceso a datos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JDBC con transacciones delimitadas en la capa de servicios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RNF-004; RF-052 y RN-024 (corrección y recálculo trazados); aprovecha restricciones y triggers del esquema.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Supabase Auth con tokens JWT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RNF-013 (sin contraseñas en texto plano); RNF-014 (sesiones); UI-001. Política de sesión y contraseñas pendiente (PEN-030).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Autorización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RBAC por módulo y acción en filtro y servicios; RLS del esquema como defensa adicional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RNF-003 (mínimo privilegio); DD-009; VAL-015. Matriz de permisos pendiente (PEN-010, Q-07).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Comunicación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HTTPS/REST (JSON) entre cliente y servidor; JDBC sobre TLS hacia la base de datos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ERS 3.1.4 (acceso público por HTTPS); RNF-012 (protección de datos personales). Protocolos de interfaces internas pendientes en el ERS.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Validación de conflictos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Validación en la capa de servicios con mensaje explicativo y trigger validar_conflictos_partido como garantía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RF-039; VAL-003 a VAL-005; RN-012 a RN-014; DP-005; RNF-004.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Trazabilidad y auditoría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Servicio transversal de auditoría (tabla auditoria) e historiales por trigger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RF-093; RF-045; RN-018; RN-021; RNF-015; DD-006.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Portal público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Endpoints públicos de solo lectura que consumen las funciones consultar_*_publica()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DD-008; RF-056; VAL-014; RNF-012; DP-006; ERS 2.4: sin flujo inverso desde el portal.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Integraciones externas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Ninguna en la entrega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ERS 2.4 y 3.1.3; sección 2.6 (correo, mensajería, API pública, autenticación externa aplazadas).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Despliegue</w:t>
            </w:r>
          </w:p>
        </w:tc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definido; la Figura 8 muestra nodos lógicos</w:t>
            </w:r>
          </w:p>
        </w:tc>
        <w:tc>
          <w:tcPr>
            <w:tcW w:type="dxa" w:w="4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PEN-036, PEN-037 y Q-09 abiertos; CI/CD y contenedores fuera del alcance (PEN-038).</w:t>
            </w:r>
          </w:p>
        </w:tc>
      </w:tr>
    </w:tbl>
    <w:p>
      <w:pPr>
        <w:spacing w:after="120"/>
      </w:pP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DB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Arquitectura y Diseño Jerárquico · Sistema de Gestión de la Liga Municipal de Futbol Amateur Morelia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DB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Arquitectura y Diseño Jerárquico · Sistema de Gestión de la Liga Municipal de Futbol Amateur Morelia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DB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Arquitectura y Diseño Jerárquico · Sistema de Gestión de la Liga Municipal de Futbol Amateur Morelia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24c79275edd1d2389725ec3043d37d6ad190a4f8.png"/><Relationship Id="rId14" Type="http://schemas.openxmlformats.org/officeDocument/2006/relationships/image" Target="media/17c07a8b1f59d55b1f445989970d8d4f78905aee.png"/><Relationship Id="rId15" Type="http://schemas.openxmlformats.org/officeDocument/2006/relationships/image" Target="media/44946d33715ce8d91f494448f48789e57eaceb06.png"/><Relationship Id="rId16" Type="http://schemas.openxmlformats.org/officeDocument/2006/relationships/image" Target="media/233108b934bb2eb4d603b3c41fe7d9f80baadd17.png"/><Relationship Id="rId17" Type="http://schemas.openxmlformats.org/officeDocument/2006/relationships/image" Target="media/85724d3564554b30173eed663e58afb733ba0b49.png"/><Relationship Id="rId18" Type="http://schemas.openxmlformats.org/officeDocument/2006/relationships/image" Target="media/a73aaf6d09613069263253e77d9ce841de05e6c6.png"/><Relationship Id="rId19" Type="http://schemas.openxmlformats.org/officeDocument/2006/relationships/image" Target="media/c464b15e004711699b5f41d4bb614c6b1aa73ce7.png"/><Relationship Id="rId20" Type="http://schemas.openxmlformats.org/officeDocument/2006/relationships/image" Target="media/e933eb7f71d80c071e3b8be2047ceb5404fb59bf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y Diseño Jerárquico</dc:title>
  <dc:creator>López Meza Leonardo</dc:creator>
  <cp:lastModifiedBy>Un-named</cp:lastModifiedBy>
  <cp:revision>1</cp:revision>
  <dcterms:created xsi:type="dcterms:W3CDTF">2026-10-07T16:24:20.130Z</dcterms:created>
  <dcterms:modified xsi:type="dcterms:W3CDTF">2026-10-07T16:24:20.137Z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