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240"/>
        <w:jc w:val="center"/>
      </w:pPr>
      <w:r>
        <w:drawing>
          <wp:inline>
            <wp:extent cx="1152000" cy="54620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4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sz w:val="24"/>
        </w:rPr>
        <w:t>Tecnológico Nacional de México</w:t>
      </w:r>
    </w:p>
    <w:p>
      <w:pPr>
        <w:spacing w:after="480"/>
        <w:jc w:val="center"/>
      </w:pPr>
      <w:r>
        <w:rPr>
          <w:rFonts w:ascii="Arial" w:hAnsi="Arial"/>
          <w:b/>
          <w:sz w:val="24"/>
        </w:rPr>
        <w:t>Instituto Tecnológico de Morelia</w:t>
      </w:r>
    </w:p>
    <w:p>
      <w:pPr>
        <w:spacing w:after="120"/>
        <w:jc w:val="center"/>
      </w:pPr>
      <w:r>
        <w:rPr>
          <w:rFonts w:ascii="Arial" w:hAnsi="Arial"/>
          <w:b/>
          <w:color w:val="006837"/>
          <w:sz w:val="44"/>
        </w:rPr>
        <w:t>BPMN de los procesos del sistema</w:t>
      </w:r>
    </w:p>
    <w:p>
      <w:pPr>
        <w:spacing w:after="240"/>
        <w:jc w:val="center"/>
      </w:pPr>
      <w:r>
        <w:rPr>
          <w:rFonts w:ascii="Arial" w:hAnsi="Arial"/>
          <w:b w:val="0"/>
          <w:sz w:val="26"/>
        </w:rPr>
        <w:t>SIGLIM · Sistema de Gestión de la Liga Municipal de Futbol Amateur Morelia</w:t>
      </w:r>
    </w:p>
    <w:p>
      <w:pPr>
        <w:spacing w:after="480"/>
        <w:jc w:val="center"/>
      </w:pPr>
      <w:r>
        <w:rPr>
          <w:rFonts w:ascii="Arial" w:hAnsi="Arial"/>
          <w:b w:val="0"/>
          <w:sz w:val="22"/>
        </w:rPr>
        <w:t>Versión 2.0 · BPMN 2.0 (ISO/IEC 19510) · Alineado con el ERS Rev. 0.4</w:t>
      </w:r>
    </w:p>
    <w:p>
      <w:pPr>
        <w:spacing w:after="240"/>
        <w:jc w:val="center"/>
      </w:pPr>
      <w:r>
        <w:rPr>
          <w:rFonts w:ascii="Arial" w:hAnsi="Arial"/>
          <w:b w:val="0"/>
          <w:sz w:val="22"/>
        </w:rPr>
        <w:t>Ingeniería en Sistemas Computacionales · Fundamentos de Ingeniería de Software</w:t>
      </w:r>
    </w:p>
    <w:p>
      <w:pPr>
        <w:spacing w:after="80"/>
        <w:jc w:val="center"/>
      </w:pPr>
      <w:r>
        <w:rPr>
          <w:rFonts w:ascii="Arial" w:hAnsi="Arial"/>
          <w:b w:val="0"/>
          <w:sz w:val="22"/>
        </w:rPr>
        <w:t>Presentan: López Meza Leonardo · Olvera Bucio Jose Israel · Olvera Lobato David Geovani</w:t>
      </w:r>
    </w:p>
    <w:p>
      <w:pPr>
        <w:spacing w:after="480"/>
        <w:jc w:val="center"/>
      </w:pPr>
      <w:r>
        <w:rPr>
          <w:rFonts w:ascii="Arial" w:hAnsi="Arial"/>
          <w:b w:val="0"/>
          <w:sz w:val="22"/>
        </w:rPr>
        <w:t>Profesor: Claudio Ernesto Florian Arenas</w:t>
      </w:r>
    </w:p>
    <w:p>
      <w:pPr>
        <w:spacing w:after="120"/>
        <w:jc w:val="center"/>
      </w:pPr>
      <w:r>
        <w:rPr>
          <w:rFonts w:ascii="Arial" w:hAnsi="Arial"/>
          <w:b w:val="0"/>
          <w:sz w:val="22"/>
        </w:rPr>
        <w:t>Morelia, Michoacán · Octubre de 2026</w:t>
      </w:r>
    </w:p>
    <w:p>
      <w:pPr>
        <w:spacing w:after="120"/>
        <w:jc w:val="center"/>
      </w:pPr>
      <w:r>
        <w:rPr>
          <w:rFonts w:ascii="Arial" w:hAnsi="Arial"/>
          <w:b w:val="0"/>
          <w:sz w:val="18"/>
        </w:rPr>
        <w:t>Borrador para seguimiento académico; pendiente de validación por la Liga.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ntrol-del-documento"/>
    <w:p>
      <w:pPr>
        <w:pStyle w:val="Heading1"/>
      </w:pPr>
      <w:r>
        <w:t xml:space="preserve">Control del documento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1243"/>
        <w:gridCol w:w="3056"/>
        <w:gridCol w:w="9271"/>
      </w:tblGrid>
      <w:tr>
        <w:trPr>
          <w:tblHeader w:val="true"/>
          <w:tblHeader/>
        </w:trPr>
        <w:tc>
          <w:tcPr>
            <w:tcW w:type="dxa" w:w="1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</w:t>
            </w:r>
          </w:p>
        </w:tc>
        <w:tc>
          <w:tcPr>
            <w:tcW w:type="dxa" w:w="3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Fecha</w:t>
            </w:r>
          </w:p>
        </w:tc>
        <w:tc>
          <w:tcPr>
            <w:tcW w:type="dxa" w:w="92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Cambios</w:t>
            </w:r>
          </w:p>
        </w:tc>
      </w:tr>
      <w:tr>
        <w:tc>
          <w:tcPr>
            <w:tcW w:type="dxa" w:w="1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1.0</w:t>
            </w:r>
          </w:p>
        </w:tc>
        <w:tc>
          <w:tcPr>
            <w:tcW w:type="dxa" w:w="3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6 de octubre de 2026</w:t>
            </w:r>
          </w:p>
        </w:tc>
        <w:tc>
          <w:tcPr>
            <w:tcW w:type="dxa" w:w="92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Procesos P-01 a P-09 del levantamiento inicial.</w:t>
            </w:r>
          </w:p>
        </w:tc>
      </w:tr>
      <w:tr>
        <w:tc>
          <w:tcPr>
            <w:tcW w:type="dxa" w:w="12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2.0</w:t>
            </w:r>
          </w:p>
        </w:tc>
        <w:tc>
          <w:tcPr>
            <w:tcW w:type="dxa" w:w="3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19 de octubre de 2026</w:t>
            </w:r>
          </w:p>
        </w:tc>
        <w:tc>
          <w:tcPr>
            <w:tcW w:type="dxa" w:w="92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Procesos P-01 a P-13 alineados con el ERS Rev. 0.4 y el registro de decisiones DEC-01 a DEC-44; archivos BPMN 2.0 editables.</w:t>
            </w:r>
          </w:p>
        </w:tc>
      </w:tr>
    </w:tbl>
    <w:bookmarkEnd w:id="20"/>
    <w:bookmarkStart w:id="21" w:name="Xd0cf40091e9167ab7272f5b791f284e859ca0ee"/>
    <w:p>
      <w:pPr>
        <w:pStyle w:val="Heading1"/>
      </w:pPr>
      <w:r>
        <w:t xml:space="preserve">1. Propósito y alcance</w:t>
      </w:r>
    </w:p>
    <w:p>
      <w:pPr>
        <w:pStyle w:val="FirstParagraph"/>
      </w:pPr>
      <w:r>
        <w:t xml:space="preserve">Este documento modela en BPMN 2.0 los trece procesos de negocio que el ERS Rev. 0.4 resume en su</w:t>
      </w:r>
      <w:r>
        <w:t xml:space="preserve"> </w:t>
      </w:r>
      <w:r>
        <w:t xml:space="preserve">sección 4.2. Su objetivo es que el equipo, el profesor y la Liga revisen</w:t>
      </w:r>
      <w:r>
        <w:t xml:space="preserve"> </w:t>
      </w:r>
      <w:r>
        <w:rPr>
          <w:bCs/>
          <w:b/>
        </w:rPr>
        <w:t xml:space="preserve">quién hace cada paso,</w:t>
      </w:r>
      <w:r>
        <w:rPr>
          <w:bCs/>
          <w:b/>
        </w:rPr>
        <w:t xml:space="preserve"> </w:t>
      </w:r>
      <w:r>
        <w:rPr>
          <w:bCs/>
          <w:b/>
        </w:rPr>
        <w:t xml:space="preserve">en qué orden y qué decide el sistema</w:t>
      </w:r>
      <w:r>
        <w:t xml:space="preserve"> </w:t>
      </w:r>
      <w:r>
        <w:t xml:space="preserve">antes de diseñar la arquitectura, la base de datos y el</w:t>
      </w:r>
      <w:r>
        <w:t xml:space="preserve"> </w:t>
      </w:r>
      <w:r>
        <w:t xml:space="preserve">backlog. Los estados del partido, de la cédula, del registro y del expediente se detallan en las</w:t>
      </w:r>
      <w:r>
        <w:t xml:space="preserve"> </w:t>
      </w:r>
      <w:r>
        <w:t xml:space="preserve">máquinas de estado del ERS (§4.3); aquí aparecen solo los cambios de estado que mueven el flujo.</w:t>
      </w:r>
    </w:p>
    <w:p>
      <w:pPr>
        <w:pStyle w:val="BodyText"/>
      </w:pPr>
      <w:r>
        <w:t xml:space="preserve">Si un diagrama y el ERS no coinciden,</w:t>
      </w:r>
      <w:r>
        <w:t xml:space="preserve"> </w:t>
      </w:r>
      <w:r>
        <w:rPr>
          <w:bCs/>
          <w:b/>
        </w:rPr>
        <w:t xml:space="preserve">prevalece el ERS</w:t>
      </w:r>
      <w:r>
        <w:t xml:space="preserve"> </w:t>
      </w:r>
      <w:r>
        <w:t xml:space="preserve">y el diagrama se corrige.</w:t>
      </w:r>
    </w:p>
    <w:bookmarkEnd w:id="21"/>
    <w:bookmarkStart w:id="22" w:name="X25989feb90ca0eb57f5c45a2065ea1c940199ce"/>
    <w:p>
      <w:pPr>
        <w:pStyle w:val="Heading1"/>
      </w:pPr>
      <w:r>
        <w:t xml:space="preserve">2. Referencias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770"/>
        <w:gridCol w:w="12802"/>
      </w:tblGrid>
      <w:tr>
        <w:trPr>
          <w:tblHeader w:val="true"/>
          <w:tblHeader/>
        </w:trPr>
        <w:tc>
          <w:tcPr>
            <w:tcW w:type="dxa" w:w="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ID</w:t>
            </w:r>
          </w:p>
        </w:tc>
        <w:tc>
          <w:tcPr>
            <w:tcW w:type="dxa" w:w="128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Documento</w:t>
            </w:r>
          </w:p>
        </w:tc>
      </w:tr>
      <w:tr>
        <w:tc>
          <w:tcPr>
            <w:tcW w:type="dxa" w:w="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R1</w:t>
            </w:r>
          </w:p>
        </w:tc>
        <w:tc>
          <w:tcPr>
            <w:tcW w:type="dxa" w:w="128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Especificación de requisitos de software SIGLIM, Rev. 0.4 (</w:t>
            </w:r>
            <w:r>
              <w:rPr>
                <w:rStyle w:val="VerbatimChar"/>
                <w:rFonts w:ascii="Arial" w:hAnsi="Arial"/>
                <w:sz w:val="17"/>
              </w:rPr>
              <w:t xml:space="preserve">docs/requisitos/ERS.md</w:t>
            </w:r>
            <w:r>
              <w:rPr>
                <w:rFonts w:ascii="Arial" w:hAnsi="Arial"/>
                <w:sz w:val="17"/>
              </w:rPr>
              <w:t xml:space="preserve">).</w:t>
            </w:r>
          </w:p>
        </w:tc>
      </w:tr>
      <w:tr>
        <w:tc>
          <w:tcPr>
            <w:tcW w:type="dxa" w:w="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R2</w:t>
            </w:r>
          </w:p>
        </w:tc>
        <w:tc>
          <w:tcPr>
            <w:tcW w:type="dxa" w:w="128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Registro de decisiones DEC-01 a DEC-44 (</w:t>
            </w:r>
            <w:r>
              <w:rPr>
                <w:rStyle w:val="VerbatimChar"/>
                <w:rFonts w:ascii="Arial" w:hAnsi="Arial"/>
                <w:sz w:val="17"/>
              </w:rPr>
              <w:t xml:space="preserve">docs/requisitos/decisiones/registro-de-decisiones.md</w:t>
            </w:r>
            <w:r>
              <w:rPr>
                <w:rFonts w:ascii="Arial" w:hAnsi="Arial"/>
                <w:sz w:val="17"/>
              </w:rPr>
              <w:t xml:space="preserve">).</w:t>
            </w:r>
          </w:p>
        </w:tc>
      </w:tr>
      <w:tr>
        <w:tc>
          <w:tcPr>
            <w:tcW w:type="dxa" w:w="7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R3</w:t>
            </w:r>
          </w:p>
        </w:tc>
        <w:tc>
          <w:tcPr>
            <w:tcW w:type="dxa" w:w="128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OMG,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iCs/>
                <w:rFonts w:ascii="Arial" w:hAnsi="Arial"/>
                <w:i/>
                <w:sz w:val="17"/>
              </w:rPr>
              <w:t xml:space="preserve">Business Process Model and Notation (BPMN)</w:t>
            </w:r>
            <w:r>
              <w:rPr>
                <w:rFonts w:ascii="Arial" w:hAnsi="Arial"/>
                <w:sz w:val="17"/>
              </w:rPr>
              <w:t xml:space="preserve">, versión 2.0.2 (ISO/IEC 19510:2013).</w:t>
            </w:r>
          </w:p>
        </w:tc>
      </w:tr>
    </w:tbl>
    <w:bookmarkEnd w:id="22"/>
    <w:bookmarkStart w:id="24" w:name="Xaf6f77e32ae6c5aa4f79e7e1fb2d6d288232fb5"/>
    <w:p>
      <w:pPr>
        <w:pStyle w:val="Heading1"/>
      </w:pPr>
      <w:r>
        <w:t xml:space="preserve">3. Convenciones de modelado</w:t>
      </w:r>
    </w:p>
    <w:p>
      <w:pPr>
        <w:numPr>
          <w:ilvl w:val="0"/>
          <w:numId w:val="1001"/>
        </w:numPr>
        <w:pStyle w:val="Compact"/>
      </w:pPr>
      <w:r>
        <w:t xml:space="preserve">Cada proceso es un</w:t>
      </w:r>
      <w:r>
        <w:t xml:space="preserve"> </w:t>
      </w:r>
      <w:r>
        <w:rPr>
          <w:bCs/>
          <w:b/>
        </w:rPr>
        <w:t xml:space="preserve">pool</w:t>
      </w:r>
      <w:r>
        <w:t xml:space="preserve"> </w:t>
      </w:r>
      <w:r>
        <w:t xml:space="preserve">(«Liga Municipal de Futbol Amateur Morelia — SIGLIM») con un</w:t>
      </w:r>
      <w:r>
        <w:t xml:space="preserve"> </w:t>
      </w:r>
      <w:r>
        <w:rPr>
          <w:bCs/>
          <w:b/>
        </w:rPr>
        <w:t xml:space="preserve">carril</w:t>
      </w:r>
      <w:r>
        <w:t xml:space="preserve"> </w:t>
      </w:r>
      <w:r>
        <w:t xml:space="preserve">por tipo de usuario que participa y un</w:t>
      </w:r>
      <w:r>
        <w:t xml:space="preserve"> </w:t>
      </w:r>
      <w:r>
        <w:t xml:space="preserve">carril</w:t>
      </w:r>
      <w:r>
        <w:t xml:space="preserve"> </w:t>
      </w:r>
      <w:r>
        <w:rPr>
          <w:bCs/>
          <w:b/>
        </w:rPr>
        <w:t xml:space="preserve">Sistema</w:t>
      </w:r>
      <w:r>
        <w:t xml:space="preserve"> </w:t>
      </w:r>
      <w:r>
        <w:t xml:space="preserve">para lo que SIGLIM ejecuta solo.</w:t>
      </w:r>
    </w:p>
    <w:p>
      <w:pPr>
        <w:numPr>
          <w:ilvl w:val="0"/>
          <w:numId w:val="1001"/>
        </w:numPr>
        <w:pStyle w:val="Compact"/>
      </w:pPr>
      <w:r>
        <w:t xml:space="preserve">Las tareas se nombran con verbo en infinitivo y objeto («Revisar cédula»). Toda compuerta</w:t>
      </w:r>
      <w:r>
        <w:t xml:space="preserve"> </w:t>
      </w:r>
      <w:r>
        <w:t xml:space="preserve">exclusiva lleva una pregunta y cada salida su respuesta.</w:t>
      </w:r>
    </w:p>
    <w:p>
      <w:pPr>
        <w:numPr>
          <w:ilvl w:val="0"/>
          <w:numId w:val="1001"/>
        </w:numPr>
        <w:pStyle w:val="Compact"/>
      </w:pPr>
      <w:r>
        <w:t xml:space="preserve">Los plazos y valores marcados</w:t>
      </w:r>
      <w:r>
        <w:t xml:space="preserve"> </w:t>
      </w:r>
      <w:r>
        <w:rPr>
          <w:bCs/>
          <w:b/>
        </w:rPr>
        <w:t xml:space="preserve">[DEMO]</w:t>
      </w:r>
      <w:r>
        <w:t xml:space="preserve"> </w:t>
      </w:r>
      <w:r>
        <w:t xml:space="preserve">en el ERS (por ejemplo, las 48 horas para aprobar la</w:t>
      </w:r>
      <w:r>
        <w:t xml:space="preserve"> </w:t>
      </w:r>
      <w:r>
        <w:t xml:space="preserve">cédula) son configuración de la temporada, no constantes del sistema.</w:t>
      </w:r>
    </w:p>
    <w:p>
      <w:pPr>
        <w:numPr>
          <w:ilvl w:val="0"/>
          <w:numId w:val="1001"/>
        </w:numPr>
        <w:pStyle w:val="Compact"/>
      </w:pPr>
      <w:r>
        <w:t xml:space="preserve">Los procesos se conectan por eventos de mensaje (por ejemplo, P-05 abre expedientes que inician</w:t>
      </w:r>
      <w:r>
        <w:t xml:space="preserve"> </w:t>
      </w:r>
      <w:r>
        <w:t xml:space="preserve">P-06). La referencia «(P-xx)» en un nombre indica el proceso que produce o recibe el evento.</w:t>
      </w:r>
    </w:p>
    <w:p>
      <w:pPr>
        <w:numPr>
          <w:ilvl w:val="0"/>
          <w:numId w:val="1001"/>
        </w:numPr>
        <w:pStyle w:val="Compact"/>
      </w:pPr>
      <w:r>
        <w:t xml:space="preserve">No se modelan funciones fuera del alcance (ERS §2.6): programación automática, pasarela de pago</w:t>
      </w:r>
      <w:r>
        <w:t xml:space="preserve"> </w:t>
      </w:r>
      <w:r>
        <w:t xml:space="preserve">real, avisos por WhatsApp o SMS, entre otras.</w:t>
      </w:r>
    </w:p>
    <w:bookmarkStart w:id="23" w:name="Xac330dad7fba9c88e0cb54eca35639fb5440180"/>
    <w:p>
      <w:pPr>
        <w:pStyle w:val="Heading2"/>
      </w:pPr>
      <w:r>
        <w:t xml:space="preserve">3.1 Simbología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5344"/>
        <w:gridCol w:w="8227"/>
      </w:tblGrid>
      <w:tr>
        <w:trPr>
          <w:tblHeader w:val="true"/>
          <w:tblHeader/>
        </w:trP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Símbolo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Significado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 de inicio (círculo delgado)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Inicia el proceso. Con sobre: inicia al recibir un mensaje de otro proceso.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 de fin (círculo grueso)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Termina el camino; su nombre indica el resultado.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Tarea de usuario (icono de persona)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 realiza el tipo de usuario del carril, en la interfaz del sistema.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Tarea de servicio (icono de engranes)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 ejecuta el sistema sin intervención de un usuario.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Compuerta exclusiva (rombo vacío)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Toma un solo camino según la pregunta; cada salida va rotulada. Sin nombre, une caminos.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Compuerta basada en eventos (rombo con pentágono)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Espera el primer evento que ocurra entre los que le siguen.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 intermedio de mensaje (sobre)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Espera un aviso de otro proceso o de un usuario.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 intermedio de temporizador (reloj)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Espera una fecha u hora.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Evento de borde de temporizador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Interrumpe la tarea a la que está pegado cuando vence un plazo configurable.</w:t>
            </w:r>
          </w:p>
        </w:tc>
      </w:tr>
      <w:tr>
        <w:tc>
          <w:tcPr>
            <w:tcW w:type="dxa" w:w="53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</w:t>
            </w:r>
          </w:p>
        </w:tc>
        <w:tc>
          <w:tcPr>
            <w:tcW w:type="dxa" w:w="82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Tipo de usuario responsable (ERS §2.3) o el propio sistema.</w:t>
            </w:r>
          </w:p>
        </w:tc>
      </w:tr>
    </w:tbl>
    <w:bookmarkEnd w:id="23"/>
    <w:bookmarkEnd w:id="24"/>
    <w:bookmarkStart w:id="26" w:name="X03eabc560394bffeb263b52eca6a016a203ed55"/>
    <w:p>
      <w:pPr>
        <w:pStyle w:val="Heading1"/>
      </w:pPr>
      <w:r>
        <w:t xml:space="preserve">4. Catálogo de procesos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937"/>
        <w:gridCol w:w="3583"/>
        <w:gridCol w:w="4378"/>
        <w:gridCol w:w="4672"/>
      </w:tblGrid>
      <w:tr>
        <w:trPr>
          <w:tblHeader w:val="true"/>
          <w:tblHeader/>
        </w:trP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ID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Proceso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Disparador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Resultado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Configuración de temporada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Decisión de abrir una nueva temporada.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 configurada, versionada y activa.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Afiliación y registro de jugadores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Apertura del periodo de afiliación de la temporada.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afiliado; registros de jugador activos o rechazados con causa.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Programación manual, designación y publicación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Preparación de una jornada de la temporada activa.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 publicada, cobros generados y participantes notificados.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P-04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Ciclo de vida del partido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Publicación del partido en estado Programado.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 Finalizado o Cancelado, con historial de transiciones.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Cédula, resultado oficial y tabla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 en curso o terminado.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 oficial publicado, tabla actualizada y expedientes abiertos.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P-06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Expediente, resolución y sanción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 abierto por una incidencia de cédula aprobada (P-05) o por un artículo automático.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Sanción vigente aplicada o expediente cerrado.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P-07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Ascenso, descenso y clasificación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Cierre de la fase regular de la temporada.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Determinación de ascensos y descensos validada.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P-08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Liguilla y fases finales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Cierre de la fase regular de la temporada.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Campeón y subcampeón registrados.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P-09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Publicación del portal (comunicados)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Necesidad de difundir un comunicado oficial.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Comunicado publicado en el portal.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P-10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Préstamo, comodato y oferta de cancha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 club necesita cancha o un club o externo ofrece la suya.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 y horarios registrados, o trámite rechazado.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P-11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Cobros y pagos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 publicada, cobro manual del Tesorero o sanción de multa.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 pagado o vencido.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P-12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Venta de equipo y conservación de plaza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Acuerdo de venta entre dos clubes.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Cambio aplicado al cierre de la temporada con historial de propietarios.</w:t>
            </w:r>
          </w:p>
        </w:tc>
      </w:tr>
      <w:tr>
        <w:tc>
          <w:tcPr>
            <w:tcW w:type="dxa" w:w="9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P-13</w:t>
            </w:r>
          </w:p>
        </w:tc>
        <w:tc>
          <w:tcPr>
            <w:tcW w:type="dxa" w:w="3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Cambio de permisos con control dual</w:t>
            </w:r>
          </w:p>
        </w:tc>
        <w:tc>
          <w:tcPr>
            <w:tcW w:type="dxa" w:w="43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Necesidad de ajustar los permisos de un rol.</w:t>
            </w:r>
          </w:p>
        </w:tc>
        <w:tc>
          <w:tcPr>
            <w:tcW w:type="dxa" w:w="46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Cambio aplicado o rechazado, siempre auditado.</w:t>
            </w:r>
          </w:p>
        </w:tc>
      </w:tr>
    </w:tbl>
    <w:bookmarkStart w:id="25" w:name="X6134a9ab3b74ade5cd7643d2d70de6d333d42b9"/>
    <w:p>
      <w:pPr>
        <w:pStyle w:val="Heading2"/>
      </w:pPr>
      <w:r>
        <w:t xml:space="preserve">4.1 Participación por carril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7149"/>
        <w:gridCol w:w="6422"/>
      </w:tblGrid>
      <w:tr>
        <w:trPr>
          <w:tblHeader w:val="true"/>
          <w:tblHeader/>
        </w:trP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Carril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Procesos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Administrador general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P-01, P-13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Presidente del Comité Ejecutivo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P-01, P-02, P-03, P-06, P-07, P-09, P-10, P-12, P-13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Tesorero (liga)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P-01, P-11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Sistema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P-01, P-02, P-03, P-04, P-05, P-06, P-07, P-08, P-09, P-10, P-11, P-12, P-13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Directiva de club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P-02, P-06, P-11, P-12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Secretario (liga)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P-02, P-09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Programador de partidos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P-03, P-04, P-08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Comisión de Arbitraje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P-03, P-05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Capturista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Árbitro designado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Comisión Disciplinaria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P-06</w:t>
            </w:r>
          </w:p>
        </w:tc>
      </w:tr>
      <w:tr>
        <w:tc>
          <w:tcPr>
            <w:tcW w:type="dxa" w:w="71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Directiva de club o Secretario</w:t>
            </w:r>
          </w:p>
        </w:tc>
        <w:tc>
          <w:tcPr>
            <w:tcW w:type="dxa" w:w="642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P-10</w:t>
            </w:r>
          </w:p>
        </w:tc>
      </w:tr>
    </w:tbl>
    <w:p>
      <w:pPr>
        <w:pStyle w:val="BodyText"/>
      </w:pPr>
      <w:r>
        <w:t xml:space="preserve">Los tipos de usuario Jugador (o su tutor) y Usuario público no tienen carril: consultan la</w:t>
      </w:r>
      <w:r>
        <w:t xml:space="preserve"> </w:t>
      </w:r>
      <w:r>
        <w:t xml:space="preserve">información que estos procesos producen (perfil propio y portal) y no deciden ningún paso.</w:t>
      </w:r>
    </w:p>
    <w:bookmarkEnd w:id="25"/>
    <w:bookmarkEnd w:id="26"/>
    <w:bookmarkStart w:id="97" w:name="Xf0fe47a3f1778181f4a545acd57f058340da740"/>
    <w:p>
      <w:pPr>
        <w:pStyle w:val="Heading1"/>
      </w:pPr>
      <w:r>
        <w:t xml:space="preserve">5. Procesos</w:t>
      </w:r>
    </w:p>
    <w:bookmarkStart w:id="33" w:name="Xd87653b8f0494e2e047ff80939153451352ed6a"/>
    <w:p>
      <w:pPr>
        <w:pStyle w:val="Heading2"/>
        <w:pageBreakBefore/>
      </w:pPr>
      <w:r>
        <w:t xml:space="preserve">5.1 P-01 Configuración de temporada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7976170" cy="5112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alida/partes/P-01-configuracion-de-temporada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170" cy="5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1 (parte 1 de 2). P-01 Configuración de temporada.</w:t>
      </w:r>
    </w:p>
    <w:p>
      <w:pPr>
        <w:pStyle w:val="BodyText"/>
        <w:keepNext/>
        <w:pageBreakBefore/>
        <w:jc w:val="center"/>
      </w:pPr>
      <w:r>
        <w:drawing>
          <wp:inline>
            <wp:extent cx="7033532" cy="5112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alida/partes/P-01-configuracion-de-temporada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532" cy="5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1 (parte 2 de 2). P-01 Configuración de temporada.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872"/>
        <w:gridCol w:w="10699"/>
      </w:tblGrid>
      <w:tr>
        <w:trPr>
          <w:tblHeader w:val="true"/>
          <w:tblHeader/>
        </w:trPr>
        <w:tc>
          <w:tcPr>
            <w:tcW w:type="dxa" w:w="2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Preparar el marco deportivo y normativo de una temporada.</w:t>
            </w:r>
          </w:p>
        </w:tc>
      </w:tr>
      <w:tr>
        <w:tc>
          <w:tcPr>
            <w:tcW w:type="dxa" w:w="2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Decisión de abrir una nueva temporada.</w:t>
            </w:r>
          </w:p>
        </w:tc>
      </w:tr>
      <w:tr>
        <w:tc>
          <w:tcPr>
            <w:tcW w:type="dxa" w:w="2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Temporada configurada, versionada y activa.</w:t>
            </w:r>
          </w:p>
        </w:tc>
      </w:tr>
      <w:tr>
        <w:tc>
          <w:tcPr>
            <w:tcW w:type="dxa" w:w="2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Administrador general, Presidente del Comité Ejecutivo, Tesorero (liga), Sistema</w:t>
            </w:r>
          </w:p>
        </w:tc>
      </w:tr>
      <w:tr>
        <w:tc>
          <w:tcPr>
            <w:tcW w:type="dxa" w:w="2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7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RF-001 a RF-007, RF-099, RF-100, RF-135; CU-001, CU-002; RN-001 a RN-006, RN-058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2"/>
        </w:numPr>
        <w:pStyle w:val="Compact"/>
      </w:pPr>
      <w:r>
        <w:t xml:space="preserve">Solo puede existir una temporada activa (RN-058): la anterior debe estar cerrada.</w:t>
      </w:r>
    </w:p>
    <w:p>
      <w:pPr>
        <w:numPr>
          <w:ilvl w:val="0"/>
          <w:numId w:val="1002"/>
        </w:numPr>
        <w:pStyle w:val="Compact"/>
      </w:pPr>
      <w:r>
        <w:t xml:space="preserve">Los parámetros deportivos (puntos, desempates, bloque de cancha, plazo de cédula, marcador por default, liguilla y ascensos) se capturan como configuración con valores [DEMO] hasta contar con el Reglamento.</w:t>
      </w:r>
    </w:p>
    <w:p>
      <w:pPr>
        <w:numPr>
          <w:ilvl w:val="0"/>
          <w:numId w:val="1002"/>
        </w:numPr>
        <w:pStyle w:val="Compact"/>
      </w:pPr>
      <w:r>
        <w:t xml:space="preserve">Una regla que requiera interpretación queda pendiente hasta que el Presidente la autorice (RF-007, RN-006).</w:t>
      </w:r>
    </w:p>
    <w:bookmarkEnd w:id="33"/>
    <w:bookmarkStart w:id="40" w:name="X402102fa8354dc73aefbee7be08c4b40b76c6db"/>
    <w:p>
      <w:pPr>
        <w:pStyle w:val="Heading2"/>
        <w:pageBreakBefore/>
      </w:pPr>
      <w:r>
        <w:t xml:space="preserve">5.2 P-02 Afiliación y registro de jugadores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496754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alida/partes/P-02-afiliacion-y-registro-de-jugadores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496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2 (parte 1 de 2). P-02 Afiliación y registro de jugadores.</w:t>
      </w:r>
    </w:p>
    <w:p>
      <w:pPr>
        <w:pStyle w:val="BodyText"/>
        <w:keepNext/>
        <w:pageBreakBefore/>
        <w:jc w:val="center"/>
      </w:pPr>
      <w:r>
        <w:drawing>
          <wp:inline>
            <wp:extent cx="8068337" cy="5112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alida/partes/P-02-afiliacion-y-registro-de-jugadores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8337" cy="5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2 (parte 2 de 2). P-02 Afiliación y registro de jugadores.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515"/>
        <w:gridCol w:w="11057"/>
      </w:tblGrid>
      <w:tr>
        <w:trPr>
          <w:tblHeader w:val="true"/>
          <w:tblHeader/>
        </w:trPr>
        <w:tc>
          <w:tcPr>
            <w:tcW w:type="dxa" w:w="2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1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1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Afiliar al club en la temporada y registrar a sus jugadores con identidad validada por CURP.</w:t>
            </w:r>
          </w:p>
        </w:tc>
      </w:tr>
      <w:tr>
        <w:tc>
          <w:tcPr>
            <w:tcW w:type="dxa" w:w="2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1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Apertura del periodo de afiliación de la temporada.</w:t>
            </w:r>
          </w:p>
        </w:tc>
      </w:tr>
      <w:tr>
        <w:tc>
          <w:tcPr>
            <w:tcW w:type="dxa" w:w="2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1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Club afiliado; registros de jugador activos o rechazados con causa.</w:t>
            </w:r>
          </w:p>
        </w:tc>
      </w:tr>
      <w:tr>
        <w:tc>
          <w:tcPr>
            <w:tcW w:type="dxa" w:w="2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1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Directiva de club, Secretario (liga), Presidente del Comité Ejecutivo, Sistema</w:t>
            </w:r>
          </w:p>
        </w:tc>
      </w:tr>
      <w:tr>
        <w:tc>
          <w:tcPr>
            <w:tcW w:type="dxa" w:w="2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10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RF-008 a RF-017, RF-097, RF-101, RF-102, RF-106 a RF-109; CU-003, CU-004, CU-018, CU-021; RN-037, RN-055; VAL-001, VAL-017, VAL-025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3"/>
        </w:numPr>
        <w:pStyle w:val="Compact"/>
      </w:pPr>
      <w:r>
        <w:t xml:space="preserve">Una CURP no puede tener dos registros activos en la temporada, en ningún club ni categoría (RN-037, VAL-017).</w:t>
      </w:r>
    </w:p>
    <w:p>
      <w:pPr>
        <w:numPr>
          <w:ilvl w:val="0"/>
          <w:numId w:val="1003"/>
        </w:numPr>
        <w:pStyle w:val="Compact"/>
      </w:pPr>
      <w:r>
        <w:t xml:space="preserve">Si el jugador es menor, el registro exige el consentimiento expreso y el INE del tutor; la cuenta del tutor gestiona al menor (DEC-11, VAL-025).</w:t>
      </w:r>
    </w:p>
    <w:p>
      <w:pPr>
        <w:numPr>
          <w:ilvl w:val="0"/>
          <w:numId w:val="1003"/>
        </w:numPr>
        <w:pStyle w:val="Compact"/>
      </w:pPr>
      <w:r>
        <w:t xml:space="preserve">Los documentos requeridos dependen del tipo de categoría (infantil, libre o veteranos) según R2.</w:t>
      </w:r>
    </w:p>
    <w:bookmarkEnd w:id="40"/>
    <w:bookmarkStart w:id="47" w:name="X0fb2e47aaed6942142356102810a2e6982879e3"/>
    <w:p>
      <w:pPr>
        <w:pStyle w:val="Heading2"/>
        <w:pageBreakBefore/>
      </w:pPr>
      <w:r>
        <w:t xml:space="preserve">5.3 P-03 Programación manual, designación y publicación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310476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alida/partes/P-03-programacion-designacion-y-publicacion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310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3 (parte 1 de 2). P-03 Programación manual, designación y publicación.</w:t>
      </w:r>
    </w:p>
    <w:p>
      <w:pPr>
        <w:pStyle w:val="BodyText"/>
        <w:keepNext/>
        <w:pageBreakBefore/>
        <w:jc w:val="center"/>
      </w:pPr>
      <w:r>
        <w:drawing>
          <wp:inline>
            <wp:extent cx="8618400" cy="337748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alida/partes/P-03-programacion-designacion-y-publicacion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337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3 (parte 2 de 2). P-03 Programación manual, designación y publicación.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371"/>
        <w:gridCol w:w="11200"/>
      </w:tblGrid>
      <w:tr>
        <w:trPr>
          <w:tblHeader w:val="true"/>
          <w:tblHeader/>
        </w:trPr>
        <w:tc>
          <w:tcPr>
            <w:tcW w:type="dxa" w:w="23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12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3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12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la jornada sin conflictos duros, designar árbitros, aprobarla y publicarla.</w:t>
            </w:r>
          </w:p>
        </w:tc>
      </w:tr>
      <w:tr>
        <w:tc>
          <w:tcPr>
            <w:tcW w:type="dxa" w:w="23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12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Preparación de una jornada de la temporada activa.</w:t>
            </w:r>
          </w:p>
        </w:tc>
      </w:tr>
      <w:tr>
        <w:tc>
          <w:tcPr>
            <w:tcW w:type="dxa" w:w="23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12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 publicada, cobros generados y participantes notificados.</w:t>
            </w:r>
          </w:p>
        </w:tc>
      </w:tr>
      <w:tr>
        <w:tc>
          <w:tcPr>
            <w:tcW w:type="dxa" w:w="23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12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Programador de partidos, Comisión de Arbitraje, Presidente del Comité Ejecutivo, Sistema</w:t>
            </w:r>
          </w:p>
        </w:tc>
      </w:tr>
      <w:tr>
        <w:tc>
          <w:tcPr>
            <w:tcW w:type="dxa" w:w="23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12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RF-023, RF-033, RF-036, RF-039, RF-040, RF-115, RF-120, RF-121, RF-136; CU-006, CU-007, CU-020; RN-012 a RN-015, RN-018, RN-043, RN-048 a RN-050; VAL-003 a VAL-006, VAL-019, VAL-027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4"/>
        </w:numPr>
        <w:pStyle w:val="Compact"/>
      </w:pPr>
      <w:r>
        <w:t xml:space="preserve">No hay programación automática (DEC-06): el programador captura cada partido.</w:t>
      </w:r>
    </w:p>
    <w:p>
      <w:pPr>
        <w:numPr>
          <w:ilvl w:val="0"/>
          <w:numId w:val="1004"/>
        </w:numPr>
        <w:pStyle w:val="Compact"/>
      </w:pPr>
      <w:r>
        <w:t xml:space="preserve">Restricciones duras: equipo duplicado, cancha ocupada, cancha no disponible, equipo con baja o sanción, árbitro de un club participante. Se usan los bloques de cancha de cada categoría (RN-050).</w:t>
      </w:r>
    </w:p>
    <w:p>
      <w:pPr>
        <w:numPr>
          <w:ilvl w:val="0"/>
          <w:numId w:val="1004"/>
        </w:numPr>
        <w:pStyle w:val="Compact"/>
      </w:pPr>
      <w:r>
        <w:t xml:space="preserve">Restricciones blandas: localía y canchas externas en las últimas diez fechas; se advierten y se aceptan con motivo (RN-048, RN-049).</w:t>
      </w:r>
    </w:p>
    <w:bookmarkEnd w:id="47"/>
    <w:bookmarkStart w:id="51" w:name="Xc6043d81aefcb3393e3f486bf0ce84dc09a9c0a"/>
    <w:p>
      <w:pPr>
        <w:pStyle w:val="Heading2"/>
        <w:pageBreakBefore/>
      </w:pPr>
      <w:r>
        <w:t xml:space="preserve">5.4 P-04 Ciclo de vida del partido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238442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alida/partes/P-04-ciclo-de-vida-del-partido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2384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4. P-04 Ciclo de vida del partido.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3174"/>
        <w:gridCol w:w="10397"/>
      </w:tblGrid>
      <w:tr>
        <w:trPr>
          <w:tblHeader w:val="true"/>
          <w:tblHeader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Controlar los estados del partido con trazabilidad.</w:t>
            </w:r>
          </w:p>
        </w:tc>
      </w:tr>
      <w:t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Publicación del partido en estado Programado.</w:t>
            </w:r>
          </w:p>
        </w:tc>
      </w:tr>
      <w:t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 Finalizado o Cancelado, con historial de transiciones.</w:t>
            </w:r>
          </w:p>
        </w:tc>
      </w:tr>
      <w:t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Programador de partidos, Sistema</w:t>
            </w:r>
          </w:p>
        </w:tc>
      </w:tr>
      <w:t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3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RF-043 a RF-046, RF-127; RN-019 a RN-021; VAL-008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5"/>
        </w:numPr>
        <w:pStyle w:val="Compact"/>
      </w:pPr>
      <w:r>
        <w:t xml:space="preserve">Estados: Programado, En curso, Finalizado, Suspendido, Reprogramado y Cancelado (DEC-23). La máquina de estados completa está en el ERS §4.3.1.</w:t>
      </w:r>
    </w:p>
    <w:p>
      <w:pPr>
        <w:numPr>
          <w:ilvl w:val="0"/>
          <w:numId w:val="1005"/>
        </w:numPr>
        <w:pStyle w:val="Compact"/>
      </w:pPr>
      <w:r>
        <w:t xml:space="preserve">Toda transición registra usuario, fecha y motivo; las automáticas se registran con el usuario del sistema.</w:t>
      </w:r>
    </w:p>
    <w:p>
      <w:pPr>
        <w:numPr>
          <w:ilvl w:val="0"/>
          <w:numId w:val="1005"/>
        </w:numPr>
        <w:pStyle w:val="Compact"/>
      </w:pPr>
      <w:r>
        <w:t xml:space="preserve">La no presentación se resuelve en la cédula con marcador por default (P-05).</w:t>
      </w:r>
    </w:p>
    <w:bookmarkEnd w:id="51"/>
    <w:bookmarkStart w:id="58" w:name="X7fbe5be51d8704111b8d6bfd22011b648fdd31d"/>
    <w:p>
      <w:pPr>
        <w:pStyle w:val="Heading2"/>
        <w:pageBreakBefore/>
      </w:pPr>
      <w:r>
        <w:t xml:space="preserve">5.5 P-05 Cédula, resultado oficial y tabla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393596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alida/partes/P-05-cedula-resultado-oficial-y-tabla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393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5 (parte 1 de 2). P-05 Cédula, resultado oficial y tabla.</w:t>
      </w:r>
    </w:p>
    <w:p>
      <w:pPr>
        <w:pStyle w:val="BodyText"/>
        <w:keepNext/>
        <w:pageBreakBefore/>
        <w:jc w:val="center"/>
      </w:pPr>
      <w:r>
        <w:drawing>
          <wp:inline>
            <wp:extent cx="8618400" cy="381577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alida/partes/P-05-cedula-resultado-oficial-y-tabla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381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5 (parte 2 de 2). P-05 Cédula, resultado oficial y tabla.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648"/>
        <w:gridCol w:w="10924"/>
      </w:tblGrid>
      <w:tr>
        <w:trPr>
          <w:tblHeader w:val="true"/>
          <w:tblHeader/>
        </w:trP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9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9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Capturar la cédula, validarla y oficializar el resultado.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9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Partido en curso o terminado.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9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 oficial publicado, tabla actualizada y expedientes abiertos.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9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Capturista, Árbitro designado, Comisión de Arbitraje, Sistema</w:t>
            </w:r>
          </w:p>
        </w:tc>
      </w:tr>
      <w:tr>
        <w:tc>
          <w:tcPr>
            <w:tcW w:type="dxa" w:w="26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9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RF-019, RF-020, RF-025, RF-026, RF-047 a RF-056, RF-110, RF-122 a RF-127; CU-008 a CU-010, CU-017; RN-044 a RN-047; VAL-002, VAL-018, VAL-020, VAL-021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6"/>
        </w:numPr>
        <w:pStyle w:val="Compact"/>
      </w:pPr>
      <w:r>
        <w:t xml:space="preserve">El capturista nunca aprueba su propia cédula (RN-044, VAL-021).</w:t>
      </w:r>
    </w:p>
    <w:p>
      <w:pPr>
        <w:numPr>
          <w:ilvl w:val="0"/>
          <w:numId w:val="1006"/>
        </w:numPr>
        <w:pStyle w:val="Compact"/>
      </w:pPr>
      <w:r>
        <w:t xml:space="preserve">El plazo de validación del árbitro es configurable: 48 h [DEMO] (DEC-20). Al vencer, el temporizador de borde pasa la aprobación a la Comisión de Arbitraje.</w:t>
      </w:r>
    </w:p>
    <w:p>
      <w:pPr>
        <w:numPr>
          <w:ilvl w:val="0"/>
          <w:numId w:val="1006"/>
        </w:numPr>
        <w:pStyle w:val="Compact"/>
      </w:pPr>
      <w:r>
        <w:t xml:space="preserve">La cédula aprobada oficializa y publica el resultado sin revisión adicional (DEC-21).</w:t>
      </w:r>
    </w:p>
    <w:bookmarkEnd w:id="58"/>
    <w:bookmarkStart w:id="65" w:name="Xdc4964c3889b25e29140cffd41fac5a1abcc764"/>
    <w:p>
      <w:pPr>
        <w:pStyle w:val="Heading2"/>
        <w:pageBreakBefore/>
      </w:pPr>
      <w:r>
        <w:t xml:space="preserve">5.6 P-06 Expediente, resolución y sanción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6798157" cy="5112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alida/partes/P-06-expediente-resolucion-y-sancio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157" cy="5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6 (parte 1 de 2). P-06 Expediente, resolución y sanción.</w:t>
      </w:r>
    </w:p>
    <w:p>
      <w:pPr>
        <w:pStyle w:val="BodyText"/>
        <w:keepNext/>
        <w:pageBreakBefore/>
        <w:jc w:val="center"/>
      </w:pPr>
      <w:r>
        <w:drawing>
          <wp:inline>
            <wp:extent cx="6102283" cy="5112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alida/partes/P-06-expediente-resolucion-y-sancion-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83" cy="5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6 (parte 2 de 2). P-06 Expediente, resolución y sanción.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501"/>
        <w:gridCol w:w="11070"/>
      </w:tblGrid>
      <w:tr>
        <w:trPr>
          <w:tblHeader w:val="true"/>
          <w:tblHeader/>
        </w:trPr>
        <w:tc>
          <w:tcPr>
            <w:tcW w:type="dxa" w:w="25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1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5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1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Convertir las incidencias en una resolución trazable conforme al reglamento.</w:t>
            </w:r>
          </w:p>
        </w:tc>
      </w:tr>
      <w:tr>
        <w:tc>
          <w:tcPr>
            <w:tcW w:type="dxa" w:w="25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1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Expediente abierto por una incidencia de cédula aprobada (P-05) o por un artículo automático.</w:t>
            </w:r>
          </w:p>
        </w:tc>
      </w:tr>
      <w:tr>
        <w:tc>
          <w:tcPr>
            <w:tcW w:type="dxa" w:w="25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1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Sanción vigente aplicada o expediente cerrado.</w:t>
            </w:r>
          </w:p>
        </w:tc>
      </w:tr>
      <w:tr>
        <w:tc>
          <w:tcPr>
            <w:tcW w:type="dxa" w:w="25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1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Sistema, Comisión Disciplinaria, Directiva de club, Presidente del Comité Ejecutivo</w:t>
            </w:r>
          </w:p>
        </w:tc>
      </w:tr>
      <w:tr>
        <w:tc>
          <w:tcPr>
            <w:tcW w:type="dxa" w:w="25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10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RF-057 a RF-068, RF-128 a RF-133; CU-011 a CU-013; RN-026 a RN-032, RN-046, RN-056, RN-057; VAL-012, VAL-013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7"/>
        </w:numPr>
        <w:pStyle w:val="Compact"/>
      </w:pPr>
      <w:r>
        <w:t xml:space="preserve">El catálogo de artículos define tipo de sanción, sujeto, efecto (hacia adelante o retroactivo) y si se aplica automáticamente (DEC-30).</w:t>
      </w:r>
    </w:p>
    <w:p>
      <w:pPr>
        <w:numPr>
          <w:ilvl w:val="0"/>
          <w:numId w:val="1007"/>
        </w:numPr>
        <w:pStyle w:val="Compact"/>
      </w:pPr>
      <w:r>
        <w:t xml:space="preserve">Baja de equipo: los partidos restantes se otorgan por default al rival; con efecto retroactivo pierde además los partidos en que participó la persona sancionada (RN-056).</w:t>
      </w:r>
    </w:p>
    <w:p>
      <w:pPr>
        <w:numPr>
          <w:ilvl w:val="0"/>
          <w:numId w:val="1007"/>
        </w:numPr>
        <w:pStyle w:val="Compact"/>
      </w:pPr>
      <w:r>
        <w:t xml:space="preserve">Una multa genera un cobro en tesorería (RF-133). El recurso lo resuelve el Presidente como segunda instancia (DEC-31).</w:t>
      </w:r>
    </w:p>
    <w:bookmarkEnd w:id="65"/>
    <w:bookmarkStart w:id="69" w:name="X7c124355932c7a7427aa121284a810493d87a99"/>
    <w:p>
      <w:pPr>
        <w:pStyle w:val="Heading2"/>
        <w:pageBreakBefore/>
      </w:pPr>
      <w:r>
        <w:t xml:space="preserve">5.7 P-07 Ascenso, descenso y clasificación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149660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alida/partes/P-07-ascenso-descenso-y-clasificacion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149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7. P-07 Ascenso, descenso y clasificación.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3132"/>
        <w:gridCol w:w="10439"/>
      </w:tblGrid>
      <w:tr>
        <w:trPr>
          <w:tblHeader w:val="true"/>
          <w:tblHeader/>
        </w:trPr>
        <w:tc>
          <w:tcPr>
            <w:tcW w:type="dxa" w:w="31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31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Proponer y validar ascensos y descensos al cierre de la fase regular.</w:t>
            </w:r>
          </w:p>
        </w:tc>
      </w:tr>
      <w:tr>
        <w:tc>
          <w:tcPr>
            <w:tcW w:type="dxa" w:w="31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Cierre de la fase regular de la temporada.</w:t>
            </w:r>
          </w:p>
        </w:tc>
      </w:tr>
      <w:tr>
        <w:tc>
          <w:tcPr>
            <w:tcW w:type="dxa" w:w="31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Determinación de ascensos y descensos validada.</w:t>
            </w:r>
          </w:p>
        </w:tc>
      </w:tr>
      <w:tr>
        <w:tc>
          <w:tcPr>
            <w:tcW w:type="dxa" w:w="31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Sistema, Presidente del Comité Ejecutivo</w:t>
            </w:r>
          </w:p>
        </w:tc>
      </w:tr>
      <w:tr>
        <w:tc>
          <w:tcPr>
            <w:tcW w:type="dxa" w:w="313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43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RF-069 a RF-075; CU-014; RN-033 a RN-035, RN-052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8"/>
        </w:numPr>
        <w:pStyle w:val="Compact"/>
      </w:pPr>
      <w:r>
        <w:t xml:space="preserve">Valores [DEMO]: 2 equipos suben y 2 bajan entre categorías adyacentes (DEC-29).</w:t>
      </w:r>
    </w:p>
    <w:p>
      <w:pPr>
        <w:numPr>
          <w:ilvl w:val="0"/>
          <w:numId w:val="1008"/>
        </w:numPr>
        <w:pStyle w:val="Compact"/>
      </w:pPr>
      <w:r>
        <w:t xml:space="preserve">No asciende un equipo con adeudos, con sanción de baja o cuyo club ya tenga equipo en la categoría superior (RN-052).</w:t>
      </w:r>
    </w:p>
    <w:bookmarkEnd w:id="69"/>
    <w:bookmarkStart w:id="76" w:name="X48e0e168bd40be3994896ea64742e7f71e69d95"/>
    <w:p>
      <w:pPr>
        <w:pStyle w:val="Heading2"/>
        <w:pageBreakBefore/>
      </w:pPr>
      <w:r>
        <w:t xml:space="preserve">5.8 P-08 Liguilla y fases finales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268745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salida/partes/P-08-liguilla-y-fases-finales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268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8 (parte 1 de 2). P-08 Liguilla y fases finales.</w:t>
      </w:r>
    </w:p>
    <w:p>
      <w:pPr>
        <w:pStyle w:val="BodyText"/>
        <w:keepNext/>
        <w:pageBreakBefore/>
        <w:jc w:val="center"/>
      </w:pPr>
      <w:r>
        <w:drawing>
          <wp:inline>
            <wp:extent cx="8618400" cy="257663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salida/partes/P-08-liguilla-y-fases-finales-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257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8 (parte 2 de 2). P-08 Liguilla y fases finales.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3390"/>
        <w:gridCol w:w="10182"/>
      </w:tblGrid>
      <w:tr>
        <w:trPr>
          <w:tblHeader w:val="true"/>
          <w:tblHeader/>
        </w:trPr>
        <w:tc>
          <w:tcPr>
            <w:tcW w:type="dxa" w:w="33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1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33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1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Configurar y llevar la fase final hasta determinar campeón y subcampeón.</w:t>
            </w:r>
          </w:p>
        </w:tc>
      </w:tr>
      <w:tr>
        <w:tc>
          <w:tcPr>
            <w:tcW w:type="dxa" w:w="33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1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Cierre de la fase regular de la temporada.</w:t>
            </w:r>
          </w:p>
        </w:tc>
      </w:tr>
      <w:tr>
        <w:tc>
          <w:tcPr>
            <w:tcW w:type="dxa" w:w="33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1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Campeón y subcampeón registrados.</w:t>
            </w:r>
          </w:p>
        </w:tc>
      </w:tr>
      <w:tr>
        <w:tc>
          <w:tcPr>
            <w:tcW w:type="dxa" w:w="33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1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Programador de partidos, Sistema</w:t>
            </w:r>
          </w:p>
        </w:tc>
      </w:tr>
      <w:tr>
        <w:tc>
          <w:tcPr>
            <w:tcW w:type="dxa" w:w="339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1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RF-076 a RF-081; CU-015; RN-036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09"/>
        </w:numPr>
        <w:pStyle w:val="Compact"/>
      </w:pPr>
      <w:r>
        <w:t xml:space="preserve">Valores [DEMO]: 8 clasificados por grupo, eliminación directa a partido único y penales registrados en la cédula si hay empate (DEC-28).</w:t>
      </w:r>
    </w:p>
    <w:p>
      <w:pPr>
        <w:numPr>
          <w:ilvl w:val="0"/>
          <w:numId w:val="1009"/>
        </w:numPr>
        <w:pStyle w:val="Compact"/>
      </w:pPr>
      <w:r>
        <w:t xml:space="preserve">Los partidos de la fase final se programan manualmente (P-03) y se juegan con cédula (P-05).</w:t>
      </w:r>
    </w:p>
    <w:bookmarkEnd w:id="76"/>
    <w:bookmarkStart w:id="80" w:name="X20a752f39b858565a2b5bb3d4d850ef2f539350"/>
    <w:p>
      <w:pPr>
        <w:pStyle w:val="Heading2"/>
        <w:pageBreakBefore/>
      </w:pPr>
      <w:r>
        <w:t xml:space="preserve">5.9 P-09 Publicación del portal (comunicados)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281879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salida/partes/P-09-publicacion-de-comunicados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2818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9. P-09 Publicación del portal (comunicados).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3132"/>
        <w:gridCol w:w="10439"/>
      </w:tblGrid>
      <w:tr>
        <w:trPr>
          <w:tblHeader w:val="true"/>
          <w:tblHeader/>
        </w:trPr>
        <w:tc>
          <w:tcPr>
            <w:tcW w:type="dxa" w:w="3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3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Llevar los comunicados por el flujo Borrador → Revisión → Publicado.</w:t>
            </w:r>
          </w:p>
        </w:tc>
      </w:tr>
      <w:tr>
        <w:tc>
          <w:tcPr>
            <w:tcW w:type="dxa" w:w="3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Necesidad de difundir un comunicado oficial.</w:t>
            </w:r>
          </w:p>
        </w:tc>
      </w:tr>
      <w:tr>
        <w:tc>
          <w:tcPr>
            <w:tcW w:type="dxa" w:w="3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Comunicado publicado en el portal.</w:t>
            </w:r>
          </w:p>
        </w:tc>
      </w:tr>
      <w:tr>
        <w:tc>
          <w:tcPr>
            <w:tcW w:type="dxa" w:w="3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Secretario (liga), Presidente del Comité Ejecutivo, Sistema</w:t>
            </w:r>
          </w:p>
        </w:tc>
      </w:tr>
      <w:tr>
        <w:tc>
          <w:tcPr>
            <w:tcW w:type="dxa" w:w="313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44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RF-056, RF-086, RF-090; CU-027; RN-025; VAL-014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10"/>
        </w:numPr>
        <w:pStyle w:val="Compact"/>
      </w:pPr>
      <w:r>
        <w:t xml:space="preserve">La programación sigue el mismo flujo de aprobación dentro de P-03.</w:t>
      </w:r>
    </w:p>
    <w:p>
      <w:pPr>
        <w:numPr>
          <w:ilvl w:val="0"/>
          <w:numId w:val="1010"/>
        </w:numPr>
        <w:pStyle w:val="Compact"/>
      </w:pPr>
      <w:r>
        <w:t xml:space="preserve">Los resultados oficiales y la tabla se publican automáticamente al aprobarse la cédula (P-05, DEC-21); las sanciones, cuando la Comisión Disciplinaria las autoriza (RF-068).</w:t>
      </w:r>
    </w:p>
    <w:bookmarkEnd w:id="80"/>
    <w:bookmarkStart w:id="84" w:name="X95e44d245d4a30d57f4791e0a98589ab8d0bb79"/>
    <w:p>
      <w:pPr>
        <w:pStyle w:val="Heading2"/>
        <w:pageBreakBefore/>
      </w:pPr>
      <w:r>
        <w:t xml:space="preserve">5.10 P-10 Préstamo, comodato y oferta de cancha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353509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salida/partes/P-10-prestamo-comodato-y-oferta-de-cancha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353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10. P-10 Préstamo, comodato y oferta de cancha.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927"/>
        <w:gridCol w:w="10644"/>
      </w:tblGrid>
      <w:tr>
        <w:trPr>
          <w:tblHeader w:val="true"/>
          <w:tblHeader/>
        </w:trPr>
        <w:tc>
          <w:tcPr>
            <w:tcW w:type="dxa" w:w="2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Tramitar el uso o la oferta de canchas con los formatos del cliente.</w:t>
            </w:r>
          </w:p>
        </w:tc>
      </w:tr>
      <w:tr>
        <w:tc>
          <w:tcPr>
            <w:tcW w:type="dxa" w:w="2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 club necesita cancha o un club o externo ofrece la suya.</w:t>
            </w:r>
          </w:p>
        </w:tc>
      </w:tr>
      <w:tr>
        <w:tc>
          <w:tcPr>
            <w:tcW w:type="dxa" w:w="2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Cancha y horarios registrados, o trámite rechazado.</w:t>
            </w:r>
          </w:p>
        </w:tc>
      </w:tr>
      <w:tr>
        <w:tc>
          <w:tcPr>
            <w:tcW w:type="dxa" w:w="2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Directiva de club o Secretario, Presidente del Comité Ejecutivo, Sistema</w:t>
            </w:r>
          </w:p>
        </w:tc>
      </w:tr>
      <w:tr>
        <w:tc>
          <w:tcPr>
            <w:tcW w:type="dxa" w:w="292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64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RF-116 a RF-119; CU-024, CU-025; RN-048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11"/>
        </w:numPr>
        <w:pStyle w:val="Compact"/>
      </w:pPr>
      <w:r>
        <w:t xml:space="preserve">Formato 1 (préstamo o comodato): estados Pendiente, Aprobada y No aprobada. Formato 2 (oferta): Pendiente de negociación, Aceptada y Rechazada (R8, DEC-35).</w:t>
      </w:r>
    </w:p>
    <w:p>
      <w:pPr>
        <w:numPr>
          <w:ilvl w:val="0"/>
          <w:numId w:val="1011"/>
        </w:numPr>
        <w:pStyle w:val="Compact"/>
      </w:pPr>
      <w:r>
        <w:t xml:space="preserve">Si el oferente es externo y no tiene cuenta, el Secretario de la liga captura la oferta.</w:t>
      </w:r>
    </w:p>
    <w:bookmarkEnd w:id="84"/>
    <w:bookmarkStart w:id="88" w:name="X09be990c88649298870dffde52cc553c4717e43"/>
    <w:p>
      <w:pPr>
        <w:pStyle w:val="Heading2"/>
        <w:pageBreakBefore/>
      </w:pPr>
      <w:r>
        <w:t xml:space="preserve">5.11 P-11 Cobros y pagos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289000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salida/partes/P-11-cobros-y-pagos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2890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11. P-11 Cobros y pagos.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3265"/>
        <w:gridCol w:w="10306"/>
      </w:tblGrid>
      <w:tr>
        <w:trPr>
          <w:tblHeader w:val="true"/>
          <w:tblHeader/>
        </w:trPr>
        <w:tc>
          <w:tcPr>
            <w:tcW w:type="dxa" w:w="32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32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Generar los cobros de la temporada y registrar su pago.</w:t>
            </w:r>
          </w:p>
        </w:tc>
      </w:tr>
      <w:tr>
        <w:tc>
          <w:tcPr>
            <w:tcW w:type="dxa" w:w="32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Jornada publicada, cobro manual del Tesorero o sanción de multa.</w:t>
            </w:r>
          </w:p>
        </w:tc>
      </w:tr>
      <w:tr>
        <w:tc>
          <w:tcPr>
            <w:tcW w:type="dxa" w:w="32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Cobro pagado o vencido.</w:t>
            </w:r>
          </w:p>
        </w:tc>
      </w:tr>
      <w:tr>
        <w:tc>
          <w:tcPr>
            <w:tcW w:type="dxa" w:w="32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Directiva de club, Tesorero (liga), Sistema</w:t>
            </w:r>
          </w:p>
        </w:tc>
      </w:tr>
      <w:tr>
        <w:tc>
          <w:tcPr>
            <w:tcW w:type="dxa" w:w="326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3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RF-133, RF-135 a RF-141; CU-023; RN-051; VAL-028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12"/>
        </w:numPr>
        <w:pStyle w:val="Compact"/>
      </w:pPr>
      <w:r>
        <w:t xml:space="preserve">El pago en línea es simulado: no hay pasarela real (DEC-37).</w:t>
      </w:r>
    </w:p>
    <w:p>
      <w:pPr>
        <w:numPr>
          <w:ilvl w:val="0"/>
          <w:numId w:val="1012"/>
        </w:numPr>
        <w:pStyle w:val="Compact"/>
      </w:pPr>
      <w:r>
        <w:t xml:space="preserve">Los cobros por jornada publicada y por multa los genera el sistema; los manuales los captura el Tesorero.</w:t>
      </w:r>
    </w:p>
    <w:p>
      <w:pPr>
        <w:numPr>
          <w:ilvl w:val="0"/>
          <w:numId w:val="1012"/>
        </w:numPr>
        <w:pStyle w:val="Compact"/>
      </w:pPr>
      <w:r>
        <w:t xml:space="preserve">Un cobro vencido alimenta el artículo de baja por falta de pago (RF-141, P-06).</w:t>
      </w:r>
    </w:p>
    <w:bookmarkEnd w:id="88"/>
    <w:bookmarkStart w:id="92" w:name="Xfd9564d49d0477481fec32d046555106927c0a7"/>
    <w:p>
      <w:pPr>
        <w:pStyle w:val="Heading2"/>
        <w:pageBreakBefore/>
      </w:pPr>
      <w:r>
        <w:t xml:space="preserve">5.12 P-12 Venta de equipo y conservación de plaza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321753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salida/partes/P-12-venta-de-equipo-y-plaza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321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12. P-12 Venta de equipo y conservación de plaza.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916"/>
        <w:gridCol w:w="10655"/>
      </w:tblGrid>
      <w:tr>
        <w:trPr>
          <w:tblHeader w:val="true"/>
          <w:tblHeader/>
        </w:trPr>
        <w:tc>
          <w:tcPr>
            <w:tcW w:type="dxa" w:w="2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Registrar el cambio de propietario de un equipo y, por separado, la conservación de su plaza.</w:t>
            </w:r>
          </w:p>
        </w:tc>
      </w:tr>
      <w:tr>
        <w:tc>
          <w:tcPr>
            <w:tcW w:type="dxa" w:w="2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Acuerdo de venta entre dos clubes.</w:t>
            </w:r>
          </w:p>
        </w:tc>
      </w:tr>
      <w:tr>
        <w:tc>
          <w:tcPr>
            <w:tcW w:type="dxa" w:w="2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Cambio aplicado al cierre de la temporada con historial de propietarios.</w:t>
            </w:r>
          </w:p>
        </w:tc>
      </w:tr>
      <w:tr>
        <w:tc>
          <w:tcPr>
            <w:tcW w:type="dxa" w:w="2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Directiva de club, Presidente del Comité Ejecutivo, Sistema</w:t>
            </w:r>
          </w:p>
        </w:tc>
      </w:tr>
      <w:tr>
        <w:tc>
          <w:tcPr>
            <w:tcW w:type="dxa" w:w="29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65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RF-103, RF-104; CU-026; RN-040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13"/>
        </w:numPr>
        <w:pStyle w:val="Compact"/>
      </w:pPr>
      <w:r>
        <w:t xml:space="preserve">La venta y la conservación de la plaza deportiva son operaciones independientes; ambas requieren autorización del Presidente (DEC-14).</w:t>
      </w:r>
    </w:p>
    <w:p>
      <w:pPr>
        <w:numPr>
          <w:ilvl w:val="0"/>
          <w:numId w:val="1013"/>
        </w:numPr>
        <w:pStyle w:val="Compact"/>
      </w:pPr>
      <w:r>
        <w:t xml:space="preserve">La venta no transfiere el registro de los jugadores: los registros siguen sus propias reglas (RN-039).</w:t>
      </w:r>
    </w:p>
    <w:bookmarkEnd w:id="92"/>
    <w:bookmarkStart w:id="96" w:name="X03984a47d8bff4334c317529ba2b073e9a45b20"/>
    <w:p>
      <w:pPr>
        <w:pStyle w:val="Heading2"/>
        <w:pageBreakBefore/>
      </w:pPr>
      <w:r>
        <w:t xml:space="preserve">5.13 P-13 Cambio de permisos con control dual</w:t>
      </w:r>
    </w:p>
    <w:p>
      <w:pPr>
        <w:pStyle w:val="FirstParagraph"/>
        <w:keepNext/>
        <w:pageBreakBefore w:val="0"/>
        <w:jc w:val="center"/>
      </w:pPr>
      <w:r>
        <w:drawing>
          <wp:inline>
            <wp:extent cx="8618400" cy="321753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salida/partes/P-13-cambio-de-permisos-con-control-dual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400" cy="321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sz w:val="18"/>
        </w:rPr>
        <w:t xml:space="preserve">Figura 13. P-13 Cambio de permisos con control dual.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987"/>
        <w:gridCol w:w="10584"/>
      </w:tblGrid>
      <w:tr>
        <w:trPr>
          <w:tblHeader w:val="true"/>
          <w:tblHeader/>
        </w:trPr>
        <w:tc>
          <w:tcPr>
            <w:tcW w:type="dxa" w:w="2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Elemento</w:t>
            </w:r>
          </w:p>
        </w:tc>
        <w:tc>
          <w:tcPr>
            <w:tcW w:type="dxa" w:w="10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Objetivo</w:t>
            </w:r>
          </w:p>
        </w:tc>
        <w:tc>
          <w:tcPr>
            <w:tcW w:type="dxa" w:w="10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Modificar los permisos de un rol sin romper la separación de funciones.</w:t>
            </w:r>
          </w:p>
        </w:tc>
      </w:tr>
      <w:tr>
        <w:tc>
          <w:tcPr>
            <w:tcW w:type="dxa" w:w="2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Disparador</w:t>
            </w:r>
          </w:p>
        </w:tc>
        <w:tc>
          <w:tcPr>
            <w:tcW w:type="dxa" w:w="10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Necesidad de ajustar los permisos de un rol.</w:t>
            </w:r>
          </w:p>
        </w:tc>
      </w:tr>
      <w:tr>
        <w:tc>
          <w:tcPr>
            <w:tcW w:type="dxa" w:w="2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</w:t>
            </w:r>
          </w:p>
        </w:tc>
        <w:tc>
          <w:tcPr>
            <w:tcW w:type="dxa" w:w="10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Cambio aplicado o rechazado, siempre auditado.</w:t>
            </w:r>
          </w:p>
        </w:tc>
      </w:tr>
      <w:tr>
        <w:tc>
          <w:tcPr>
            <w:tcW w:type="dxa" w:w="2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Carriles</w:t>
            </w:r>
          </w:p>
        </w:tc>
        <w:tc>
          <w:tcPr>
            <w:tcW w:type="dxa" w:w="10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Administrador general, Presidente del Comité Ejecutivo, Sistema</w:t>
            </w:r>
          </w:p>
        </w:tc>
      </w:tr>
      <w:tr>
        <w:tc>
          <w:tcPr>
            <w:tcW w:type="dxa" w:w="29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Requisitos</w:t>
            </w:r>
          </w:p>
        </w:tc>
        <w:tc>
          <w:tcPr>
            <w:tcW w:type="dxa" w:w="105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RF-094 a RF-096; CU-022; RN-053; VAL-022, VAL-023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de modelado</w:t>
      </w:r>
    </w:p>
    <w:p>
      <w:pPr>
        <w:numPr>
          <w:ilvl w:val="0"/>
          <w:numId w:val="1014"/>
        </w:numPr>
        <w:pStyle w:val="Compact"/>
      </w:pPr>
      <w:r>
        <w:t xml:space="preserve">El Administrador no puede modificar los permisos de su propio rol (VAL-022).</w:t>
      </w:r>
    </w:p>
    <w:p>
      <w:pPr>
        <w:numPr>
          <w:ilvl w:val="0"/>
          <w:numId w:val="1014"/>
        </w:numPr>
        <w:pStyle w:val="Compact"/>
      </w:pPr>
      <w:r>
        <w:t xml:space="preserve">Pares incompatibles iniciales [PROPUESTA]: capturar y validar cédula; programar y aprobar programación; resolver expediente y resolver recurso; redactar y aprobar comunicados; modificar permisos y aprobar pares incompatibles.</w:t>
      </w:r>
    </w:p>
    <w:bookmarkEnd w:id="96"/>
    <w:bookmarkEnd w:id="97"/>
    <w:bookmarkStart w:id="98" w:name="X9c848c5d23e1b3cf9f849280eef95d375fadf62"/>
    <w:p>
      <w:pPr>
        <w:pStyle w:val="Heading1"/>
      </w:pPr>
      <w:r>
        <w:t xml:space="preserve">6. Cambios respecto a la versión 1.0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1926"/>
        <w:gridCol w:w="4761"/>
        <w:gridCol w:w="6885"/>
      </w:tblGrid>
      <w:tr>
        <w:trPr>
          <w:tblHeader w:val="true"/>
          <w:tblHeader/>
        </w:trP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Aspecto</w:t>
            </w:r>
          </w:p>
        </w:tc>
        <w:tc>
          <w:tcPr>
            <w:tcW w:type="dxa" w:w="4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 1.0</w:t>
            </w:r>
          </w:p>
        </w:tc>
        <w:tc>
          <w:tcPr>
            <w:tcW w:type="dxa" w:w="6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Versión 2.0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Procesos</w:t>
            </w:r>
          </w:p>
        </w:tc>
        <w:tc>
          <w:tcPr>
            <w:tcW w:type="dxa" w:w="4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 a P-09.</w:t>
            </w:r>
          </w:p>
        </w:tc>
        <w:tc>
          <w:tcPr>
            <w:tcW w:type="dxa" w:w="6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P-01 a P-13: se agregan préstamo y oferta de cancha (P-10), cobros (P-11), venta de equipo (P-12) y control dual de permisos (P-13).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Participantes</w:t>
            </w:r>
          </w:p>
        </w:tc>
        <w:tc>
          <w:tcPr>
            <w:tcW w:type="dxa" w:w="4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«Administración», «Autoridad», «usuario autorizado», «por definir».</w:t>
            </w:r>
          </w:p>
        </w:tc>
        <w:tc>
          <w:tcPr>
            <w:tcW w:type="dxa" w:w="6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Los 12 tipos de usuario del ERS Rev. 0.4 (§2.3) como carriles, más el carril Sistema.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P-03</w:t>
            </w:r>
          </w:p>
        </w:tc>
        <w:tc>
          <w:tcPr>
            <w:tcW w:type="dxa" w:w="4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Generación automática de la programación con restricciones duras y blandas.</w:t>
            </w:r>
          </w:p>
        </w:tc>
        <w:tc>
          <w:tcPr>
            <w:tcW w:type="dxa" w:w="6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Programación manual con validación de conflictos y aprobación del Presidente; la programación automática queda fuera del alcance (DEC-06, ERS §2.6).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P-04</w:t>
            </w:r>
          </w:p>
        </w:tc>
        <w:tc>
          <w:tcPr>
            <w:tcW w:type="dxa" w:w="4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Estados SUSPENDIDO, CANCELADO, NO PROGRAMADO y RESUELTO ADMINISTRATIVAMENTE.</w:t>
            </w:r>
          </w:p>
        </w:tc>
        <w:tc>
          <w:tcPr>
            <w:tcW w:type="dxa" w:w="6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Seis estados: Programado, En curso, Finalizado, Suspendido, Reprogramado y Cancelado (ERS §4.3.1).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P-05 y P-06</w:t>
            </w:r>
          </w:p>
        </w:tc>
        <w:tc>
          <w:tcPr>
            <w:tcW w:type="dxa" w:w="4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Resultado capturado y validado por un usuario autorizado; la cédula iniciaba el expediente.</w:t>
            </w:r>
          </w:p>
        </w:tc>
        <w:tc>
          <w:tcPr>
            <w:tcW w:type="dxa" w:w="6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Cédula capturada por el Capturista y aprobada por el árbitro; al vencer el plazo [DEMO] la aprueba la Comisión de Arbitraje. Al aprobarse, el resultado es oficial, se publica y las incidencias abren expedientes.</w:t>
            </w:r>
          </w:p>
        </w:tc>
      </w:tr>
      <w:tr>
        <w:tc>
          <w:tcPr>
            <w:tcW w:type="dxa" w:w="192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Notación</w:t>
            </w:r>
          </w:p>
        </w:tc>
        <w:tc>
          <w:tcPr>
            <w:tcW w:type="dxa" w:w="47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Diagramas de imagen.</w:t>
            </w:r>
          </w:p>
        </w:tc>
        <w:tc>
          <w:tcPr>
            <w:tcW w:type="dxa" w:w="68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Archivos BPMN 2.0 (XML con diagrama) que se abren y editan en cualquier modelador compatible, más SVG y PNG.</w:t>
            </w:r>
          </w:p>
        </w:tc>
      </w:tr>
    </w:tbl>
    <w:bookmarkEnd w:id="98"/>
    <w:bookmarkStart w:id="99" w:name="X2dbe2167f3588878dbf37eae1bc79a9207dd12a"/>
    <w:p>
      <w:pPr>
        <w:pStyle w:val="Heading1"/>
      </w:pPr>
      <w:r>
        <w:t xml:space="preserve">7. Archivos y regeneración</w:t>
      </w:r>
    </w:p>
    <w:tbl>
      <w:tblPr>
        <w:tblStyle w:val="Table"/>
        <w:jc w:val="center"/>
        <w:tblLook w:firstRow="1" w:lastRow="0" w:firstColumn="0" w:lastColumn="0" w:noHBand="0" w:noVBand="0" w:val="0020"/>
        <w:tblW w:w="13572" w:type="dxa"/>
        <w:tblLayout w:type="fixed"/>
      </w:tblPr>
      <w:tblGrid>
        <w:gridCol w:w="2025"/>
        <w:gridCol w:w="11547"/>
      </w:tblGrid>
      <w:tr>
        <w:trPr>
          <w:tblHeader w:val="true"/>
          <w:tblHeader/>
        </w:trPr>
        <w:tc>
          <w:tcPr>
            <w:tcW w:type="dxa" w:w="20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Carpeta</w:t>
            </w:r>
          </w:p>
        </w:tc>
        <w:tc>
          <w:tcPr>
            <w:tcW w:type="dxa" w:w="1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DCEFE3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Contenido</w:t>
            </w:r>
          </w:p>
        </w:tc>
      </w:tr>
      <w:tr>
        <w:tc>
          <w:tcPr>
            <w:tcW w:type="dxa" w:w="20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procesos/</w:t>
            </w:r>
          </w:p>
        </w:tc>
        <w:tc>
          <w:tcPr>
            <w:tcW w:type="dxa" w:w="1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 archivo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.bpmn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(BPMN 2.0 con diagrama) por proceso; se abre en bpmn.io, Camunda Modeler u otro modelador.</w:t>
            </w:r>
          </w:p>
        </w:tc>
      </w:tr>
      <w:tr>
        <w:tc>
          <w:tcPr>
            <w:tcW w:type="dxa" w:w="20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figuras/</w:t>
            </w:r>
          </w:p>
        </w:tc>
        <w:tc>
          <w:tcPr>
            <w:tcW w:type="dxa" w:w="1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SVG y PNG de cada proceso, renderizados con bpmn-js.</w:t>
            </w:r>
          </w:p>
        </w:tc>
      </w:tr>
      <w:tr>
        <w:tc>
          <w:tcPr>
            <w:tcW w:type="dxa" w:w="20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fuente/</w:t>
            </w:r>
          </w:p>
        </w:tc>
        <w:tc>
          <w:tcPr>
            <w:tcW w:type="dxa" w:w="115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procesos.py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(definición de los procesos),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generar_bpmn.py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(XML y distribución),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render.mjs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(validación y figuras) 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generar_documento.py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(este documento).</w:t>
            </w:r>
          </w:p>
        </w:tc>
      </w:tr>
    </w:tbl>
    <w:p>
      <w:pPr>
        <w:pStyle w:val="BodyText"/>
      </w:pPr>
      <w:r>
        <w:t xml:space="preserve">Para modificar un proceso se edita</w:t>
      </w:r>
      <w:r>
        <w:t xml:space="preserve"> </w:t>
      </w:r>
      <w:r>
        <w:rPr>
          <w:rStyle w:val="VerbatimChar"/>
        </w:rPr>
        <w:t xml:space="preserve">fuente/procesos.py</w:t>
      </w:r>
      <w:r>
        <w:t xml:space="preserve"> </w:t>
      </w:r>
      <w:r>
        <w:t xml:space="preserve">y se regeneran los archivos (ver</w:t>
      </w:r>
      <w:r>
        <w:t xml:space="preserve"> </w:t>
      </w:r>
      <w:r>
        <w:rPr>
          <w:rStyle w:val="VerbatimChar"/>
        </w:rPr>
        <w:t xml:space="preserve">fuente/README.md</w:t>
      </w:r>
      <w:r>
        <w:t xml:space="preserve">). Editar un</w:t>
      </w:r>
      <w:r>
        <w:t xml:space="preserve"> </w:t>
      </w:r>
      <w:r>
        <w:rPr>
          <w:rStyle w:val="VerbatimChar"/>
        </w:rPr>
        <w:t xml:space="preserve">.bpmn</w:t>
      </w:r>
      <w:r>
        <w:t xml:space="preserve"> </w:t>
      </w:r>
      <w:r>
        <w:t xml:space="preserve">a mano en un modelador también es válido, pero entonces</w:t>
      </w:r>
      <w:r>
        <w:t xml:space="preserve"> </w:t>
      </w:r>
      <w:r>
        <w:rPr>
          <w:rStyle w:val="VerbatimChar"/>
        </w:rPr>
        <w:t xml:space="preserve">procesos.py</w:t>
      </w:r>
      <w:r>
        <w:t xml:space="preserve"> </w:t>
      </w:r>
      <w:r>
        <w:t xml:space="preserve">deja de ser la fuente y debe actualizarse para no perder el cambio.</w:t>
      </w:r>
    </w:p>
    <w:bookmarkEnd w:id="99"/>
    <w:sectPr>
      <w:headerReference w:type="default" r:id="rId10"/>
      <w:footerReference w:type="default" r:id="rId11"/>
      <w:pgSz w:orient="landscape" w:w="15840" w:h="12240"/>
      <w:pgMar w:left="1134" w:right="1134" w:top="1020" w:bottom="10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Borrador para seguimiento · Octubre de 2026 · Pág.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BPMN de los procesos del sistema · SIGLIM · Versión 2.0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2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00683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Theme="majorHAnsi" w:cstheme="majorBidi" w:eastAsiaTheme="majorEastAsia" w:hAnsiTheme="majorHAnsi" w:ascii="Arial" w:hAnsi="Arial" w:eastAsia="Arial"/>
      <w:i/>
      <w:b/>
      <w:bCs/>
      <w:color w:val="006837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hAnsi="Arial" w:eastAsia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 w:eastAsia="Arial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2" Type="http://schemas.openxmlformats.org/officeDocument/2006/relationships/image" Target="media/rId52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70" Type="http://schemas.openxmlformats.org/officeDocument/2006/relationships/image" Target="media/rId70.png"/><Relationship Id="rId73" Type="http://schemas.openxmlformats.org/officeDocument/2006/relationships/image" Target="media/rId73.png"/><Relationship Id="rId77" Type="http://schemas.openxmlformats.org/officeDocument/2006/relationships/image" Target="media/rId77.png"/><Relationship Id="rId81" Type="http://schemas.openxmlformats.org/officeDocument/2006/relationships/image" Target="media/rId81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93" Type="http://schemas.openxmlformats.org/officeDocument/2006/relationships/image" Target="media/rId93.png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BPMN de los procesos del sistema — SIGLIM · v2.0</dc:title>
  <dc:creator>López Meza Leonardo; Olvera Bucio Jose Israel; Olvera Lobato David Geovani</dc:creator>
  <cp:keywords/>
  <dcterms:created xsi:type="dcterms:W3CDTF">2026-10-20T03:11:49Z</dcterms:created>
  <dcterms:modified xsi:type="dcterms:W3CDTF">2026-10-20T03:11:49Z</dcterms:modified>
  <dc:subject>Modelo de procesos de negocio (BPMN 2.0)</dc:subject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Contenido</vt:lpwstr>
  </property>
</Properties>
</file>