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Times New Roman" w:cs="Times New Roman" w:eastAsia="Times New Roman" w:hAnsi="Times New Roman"/>
          <w:sz w:val="22"/>
          <w:szCs w:val="22"/>
        </w:rPr>
        <w:t xml:space="preserve">To</w:t>
      </w:r>
    </w:p>
    <w:p>
      <w:pPr>
        <w:spacing w:after="120" w:line="276"/>
      </w:pPr>
      <w:r>
        <w:rPr>
          <w:rFonts w:ascii="Times New Roman" w:cs="Times New Roman" w:eastAsia="Times New Roman" w:hAnsi="Times New Roman"/>
          <w:sz w:val="22"/>
          <w:szCs w:val="22"/>
        </w:rPr>
        <w:t xml:space="preserve">Editor-in-Chief</w:t>
      </w:r>
    </w:p>
    <w:p>
      <w:pPr>
        <w:spacing w:after="120" w:line="276"/>
      </w:pPr>
      <w:r>
        <w:rPr>
          <w:rFonts w:ascii="Times New Roman" w:cs="Times New Roman" w:eastAsia="Times New Roman" w:hAnsi="Times New Roman"/>
          <w:sz w:val="22"/>
          <w:szCs w:val="22"/>
        </w:rPr>
        <w:t xml:space="preserve">Intelligent Computing</w:t>
      </w:r>
    </w:p>
    <w:p>
      <w:pPr>
        <w:spacing w:after="200"/>
      </w:pPr>
    </w:p>
    <w:p>
      <w:pPr>
        <w:spacing w:after="120" w:line="276"/>
      </w:pPr>
      <w:r>
        <w:rPr>
          <w:rFonts w:ascii="Times New Roman" w:cs="Times New Roman" w:eastAsia="Times New Roman" w:hAnsi="Times New Roman"/>
          <w:sz w:val="22"/>
          <w:szCs w:val="22"/>
        </w:rPr>
        <w:t xml:space="preserve">Date: [AUTHORS: resubmission date]</w:t>
      </w:r>
    </w:p>
    <w:p>
      <w:pPr>
        <w:spacing w:after="200"/>
      </w:pPr>
    </w:p>
    <w:p>
      <w:pPr>
        <w:spacing w:after="120" w:line="276"/>
      </w:pPr>
      <w:r>
        <w:rPr>
          <w:rFonts w:ascii="Times New Roman" w:cs="Times New Roman" w:eastAsia="Times New Roman" w:hAnsi="Times New Roman"/>
          <w:sz w:val="22"/>
          <w:szCs w:val="22"/>
        </w:rPr>
        <w:t xml:space="preserve">Ref: ICOMPUTING-D-26-00612 — “Agent-Agnostic Bilingual AI Chatbot for Financial Literacy in Low-Resource Languages”</w:t>
      </w:r>
    </w:p>
    <w:p>
      <w:pPr>
        <w:spacing w:after="200"/>
      </w:pPr>
    </w:p>
    <w:p>
      <w:pPr>
        <w:spacing w:after="120" w:line="276"/>
      </w:pPr>
      <w:r>
        <w:rPr>
          <w:rFonts w:ascii="Times New Roman" w:cs="Times New Roman" w:eastAsia="Times New Roman" w:hAnsi="Times New Roman"/>
          <w:sz w:val="22"/>
          <w:szCs w:val="22"/>
        </w:rPr>
        <w:t xml:space="preserve">Dear Editor-in-Chief,</w:t>
      </w:r>
    </w:p>
    <w:p>
      <w:pPr>
        <w:spacing w:after="200"/>
      </w:pPr>
    </w:p>
    <w:p>
      <w:pPr>
        <w:spacing w:after="120" w:line="276"/>
      </w:pPr>
      <w:r>
        <w:rPr>
          <w:rFonts w:ascii="Times New Roman" w:cs="Times New Roman" w:eastAsia="Times New Roman" w:hAnsi="Times New Roman"/>
          <w:sz w:val="22"/>
          <w:szCs w:val="22"/>
        </w:rPr>
        <w:t xml:space="preserve">We would like to express our gratitude to the Editor-in-Chief and the anonymous reviewers for their invaluable comments and suggestions. This work has certainly benefited from the recommendations made by the reviewers and the quality of the paper has improved. We have modified the paper to address the concerns raised and highlighted these changes in blue in the manuscript for ease of readability. The response to each reviewer’s concerns is provided in this document.</w:t>
      </w:r>
    </w:p>
    <w:p>
      <w:pPr>
        <w:spacing w:after="120" w:line="276"/>
      </w:pPr>
      <w:r>
        <w:rPr>
          <w:rFonts w:ascii="Times New Roman" w:cs="Times New Roman" w:eastAsia="Times New Roman" w:hAnsi="Times New Roman"/>
          <w:sz w:val="22"/>
          <w:szCs w:val="22"/>
        </w:rPr>
        <w:t xml:space="preserve">Two of the reviewers’ requests led to changes in the reported results rather than only in the text. First, we identified and corrected a data-splitting issue that the reviewers’ question about the splitting method brought to light: the corpus contains 10,412 question–answer pairs derived from only 1,451 distinct source passages, so a question-level random split places 93.2% of test items’ source passages in the training set. All results are now reported under a passage-grouped split. Second, every baseline is now evaluated both with and without the same retrieved context that our system receives, and the claim comparing model sizes has been withdrawn.</w:t>
      </w:r>
    </w:p>
    <w:p>
      <w:pPr>
        <w:spacing w:after="120" w:line="276"/>
      </w:pPr>
      <w:r>
        <w:rPr>
          <w:rFonts w:ascii="Times New Roman" w:cs="Times New Roman" w:eastAsia="Times New Roman" w:hAnsi="Times New Roman"/>
          <w:sz w:val="22"/>
          <w:szCs w:val="22"/>
        </w:rPr>
        <w:t xml:space="preserve">To make the revised results verifiable, the full implementation, the dataset loader, the evaluation suite and an executed reproduction notebook are available at [AUTHORS: repository URL].</w:t>
      </w:r>
    </w:p>
    <w:p>
      <w:pPr>
        <w:spacing w:after="120" w:line="276"/>
      </w:pPr>
      <w:r>
        <w:rPr>
          <w:rFonts w:ascii="Times New Roman" w:cs="Times New Roman" w:eastAsia="Times New Roman" w:hAnsi="Times New Roman"/>
          <w:sz w:val="22"/>
          <w:szCs w:val="22"/>
        </w:rPr>
        <w:t xml:space="preserve">We earnestly request that the paper be sent to the same reviewers who reviewed the previous version, because all our changes are based on their comments.</w:t>
      </w:r>
    </w:p>
    <w:p>
      <w:pPr>
        <w:spacing w:after="120" w:line="276"/>
      </w:pPr>
      <w:r>
        <w:rPr>
          <w:rFonts w:ascii="Times New Roman" w:cs="Times New Roman" w:eastAsia="Times New Roman" w:hAnsi="Times New Roman"/>
          <w:sz w:val="22"/>
          <w:szCs w:val="22"/>
        </w:rPr>
        <w:t xml:space="preserve">Please feel free to contact us if you require any additional information or clarification. Once again, thank you for the opportunity to submit our work.</w:t>
      </w:r>
    </w:p>
    <w:p>
      <w:pPr>
        <w:spacing w:after="200"/>
      </w:pPr>
    </w:p>
    <w:p>
      <w:pPr>
        <w:spacing w:after="120" w:line="276"/>
      </w:pPr>
      <w:r>
        <w:rPr>
          <w:rFonts w:ascii="Times New Roman" w:cs="Times New Roman" w:eastAsia="Times New Roman" w:hAnsi="Times New Roman"/>
          <w:sz w:val="22"/>
          <w:szCs w:val="22"/>
        </w:rPr>
        <w:t xml:space="preserve">Kind regards,</w:t>
      </w:r>
    </w:p>
    <w:p>
      <w:pPr>
        <w:spacing w:after="200"/>
      </w:pPr>
    </w:p>
    <w:p>
      <w:pPr>
        <w:spacing w:after="120" w:line="276"/>
      </w:pPr>
      <w:r>
        <w:rPr>
          <w:rFonts w:ascii="Times New Roman" w:cs="Times New Roman" w:eastAsia="Times New Roman" w:hAnsi="Times New Roman"/>
          <w:sz w:val="22"/>
          <w:szCs w:val="22"/>
        </w:rPr>
        <w:t xml:space="preserve">Md. Abu Zafor</w:t>
      </w:r>
    </w:p>
    <w:p>
      <w:pPr>
        <w:spacing w:after="120" w:line="276"/>
      </w:pPr>
      <w:r>
        <w:rPr>
          <w:rFonts w:ascii="Times New Roman" w:cs="Times New Roman" w:eastAsia="Times New Roman" w:hAnsi="Times New Roman"/>
          <w:sz w:val="22"/>
          <w:szCs w:val="22"/>
        </w:rPr>
        <w:t xml:space="preserve">Israt Jahan</w:t>
      </w:r>
    </w:p>
    <w:p>
      <w:pPr>
        <w:spacing w:after="120" w:line="276"/>
      </w:pPr>
      <w:r>
        <w:rPr>
          <w:rFonts w:ascii="Times New Roman" w:cs="Times New Roman" w:eastAsia="Times New Roman" w:hAnsi="Times New Roman"/>
          <w:sz w:val="22"/>
          <w:szCs w:val="22"/>
        </w:rPr>
        <w:t xml:space="preserve">Md. Saleh Rafi</w:t>
      </w:r>
    </w:p>
    <w:p>
      <w:pPr>
        <w:spacing w:after="120" w:line="276"/>
      </w:pPr>
      <w:r>
        <w:rPr>
          <w:rFonts w:ascii="Times New Roman" w:cs="Times New Roman" w:eastAsia="Times New Roman" w:hAnsi="Times New Roman"/>
          <w:sz w:val="22"/>
          <w:szCs w:val="22"/>
        </w:rPr>
        <w:t xml:space="preserve">Farzia Hossain</w:t>
      </w:r>
    </w:p>
    <w:p>
      <w:pPr>
        <w:spacing w:after="120" w:line="276"/>
      </w:pPr>
      <w:r>
        <w:rPr>
          <w:rFonts w:ascii="Times New Roman" w:cs="Times New Roman" w:eastAsia="Times New Roman" w:hAnsi="Times New Roman"/>
          <w:sz w:val="22"/>
          <w:szCs w:val="22"/>
        </w:rPr>
        <w:t xml:space="preserve">Shahriar Kaisar</w:t>
      </w:r>
    </w:p>
    <w:p>
      <w:pPr>
        <w:spacing w:after="120" w:line="276"/>
      </w:pPr>
      <w:r>
        <w:rPr>
          <w:rFonts w:ascii="Times New Roman" w:cs="Times New Roman" w:eastAsia="Times New Roman" w:hAnsi="Times New Roman"/>
          <w:sz w:val="22"/>
          <w:szCs w:val="22"/>
        </w:rPr>
        <w:t xml:space="preserve">Abdullahi Chowdhury</w:t>
      </w:r>
    </w:p>
    <w:p>
      <w:pPr>
        <w:spacing w:after="200"/>
      </w:pPr>
    </w:p>
    <w:p>
      <w:pPr>
        <w:spacing w:after="120" w:line="276"/>
      </w:pPr>
      <w:r>
        <w:rPr>
          <w:rFonts w:ascii="Times New Roman" w:cs="Times New Roman" w:eastAsia="Times New Roman" w:hAnsi="Times New Roman"/>
          <w:b/>
          <w:bCs/>
          <w:sz w:val="22"/>
          <w:szCs w:val="22"/>
        </w:rPr>
        <w:t xml:space="preserve">Note on bracketed text.</w:t>
      </w:r>
      <w:r>
        <w:rPr>
          <w:rFonts w:ascii="Times New Roman" w:cs="Times New Roman" w:eastAsia="Times New Roman" w:hAnsi="Times New Roman"/>
          <w:sz w:val="22"/>
          <w:szCs w:val="22"/>
        </w:rPr>
        <w:t xml:space="preserve"> Text marked [AUTHORS: …] is a value only the authors can supply — the annotators’ background, the GPU used, or a score that requires the fine-tuned model or an API key. Every unbracketed number in this document was measured on the released dataset and is reproduced by </w:t>
      </w:r>
      <w:r>
        <w:rPr>
          <w:rFonts w:ascii="Consolas" w:cs="Consolas" w:eastAsia="Consolas" w:hAnsi="Consolas"/>
          <w:sz w:val="19"/>
          <w:szCs w:val="19"/>
        </w:rPr>
        <w:t xml:space="preserve">python scripts/reviewer_experiments.py --all</w:t>
      </w:r>
      <w:r>
        <w:rPr>
          <w:rFonts w:ascii="Times New Roman" w:cs="Times New Roman" w:eastAsia="Times New Roman" w:hAnsi="Times New Roman"/>
          <w:sz w:val="22"/>
          <w:szCs w:val="22"/>
        </w:rPr>
        <w:t xml:space="preserve">. Delete this note before submission.</w:t>
      </w:r>
    </w:p>
    <w:p>
      <w:pPr>
        <w:spacing w:after="200"/>
      </w:pPr>
    </w:p>
    <w:p>
      <w:pPr>
        <w:spacing w:after="40" w:line="276"/>
      </w:pPr>
      <w:r>
        <w:rPr>
          <w:rFonts w:ascii="Times New Roman" w:cs="Times New Roman" w:eastAsia="Times New Roman" w:hAnsi="Times New Roman"/>
          <w:b/>
          <w:bCs/>
          <w:sz w:val="24"/>
          <w:szCs w:val="24"/>
        </w:rPr>
        <w:t xml:space="preserve">Reviewer 1</w:t>
      </w:r>
    </w:p>
    <w:p>
      <w:pPr>
        <w:pBdr>
          <w:bottom w:val="single" w:color="333333" w:sz="6"/>
        </w:pBdr>
        <w:spacing w:after="120"/>
      </w:pPr>
    </w:p>
    <w:p>
      <w:pPr>
        <w:spacing w:after="60" w:line="276"/>
      </w:pPr>
      <w:r>
        <w:rPr>
          <w:rFonts w:ascii="Times New Roman" w:cs="Times New Roman" w:eastAsia="Times New Roman" w:hAnsi="Times New Roman"/>
          <w:b/>
          <w:bCs/>
          <w:sz w:val="22"/>
          <w:szCs w:val="22"/>
        </w:rPr>
        <w:t xml:space="preserve">General Comments:</w:t>
      </w:r>
    </w:p>
    <w:p>
      <w:pPr>
        <w:spacing w:after="120" w:line="276"/>
      </w:pPr>
      <w:r>
        <w:rPr>
          <w:rFonts w:ascii="Times New Roman" w:cs="Times New Roman" w:eastAsia="Times New Roman" w:hAnsi="Times New Roman"/>
          <w:sz w:val="22"/>
          <w:szCs w:val="22"/>
        </w:rPr>
        <w:t xml:space="preserve">This paper presents BanglaFinGPT, a retrieval-augmented generation system for financial question answering in Bengali. The work addresses an important and underserved problem—financial literacy in low-resource languages—and demonstrates that domain-specific adaptation with a relatively small model (3B parameters) can outperform large general-purpose models on specialized tasks. While the paper has substantial merits, including a well-constructed dataset and impressive empirical results, there are several methodological concerns, presentation issues, and conceptual gaps that must be addressed before publication.</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We would like to thank the reviewer for the positive comments and insightful suggestions. We have incorporated the suggested changes into the revised manuscript and believe they have improved its readability and overall quality. Where a comment called for evidence rather than rewording, we ran the experiment and report the result below.</w:t>
      </w:r>
    </w:p>
    <w:p>
      <w:pPr>
        <w:spacing w:after="60" w:line="276"/>
      </w:pPr>
      <w:r>
        <w:rPr>
          <w:rFonts w:ascii="Times New Roman" w:cs="Times New Roman" w:eastAsia="Times New Roman" w:hAnsi="Times New Roman"/>
          <w:b/>
          <w:bCs/>
          <w:sz w:val="22"/>
          <w:szCs w:val="22"/>
        </w:rPr>
        <w:t xml:space="preserve">Comment #1a: Hallucination Reduction Claim (94%) is Misleading</w:t>
      </w:r>
    </w:p>
    <w:p>
      <w:pPr>
        <w:spacing w:after="120" w:line="276"/>
      </w:pPr>
      <w:r>
        <w:rPr>
          <w:rFonts w:ascii="Times New Roman" w:cs="Times New Roman" w:eastAsia="Times New Roman" w:hAnsi="Times New Roman"/>
          <w:sz w:val="22"/>
          <w:szCs w:val="22"/>
        </w:rPr>
        <w:t xml:space="preserve">The paper repeatedly claims a “94% reduction in fabricated responses”. This figure is calculated as a relative reduction from 8.5% to 0.5%. The baseline already achieves only 8.5% hallucination. The 94% reduction is from a relatively low base, and the absolute reduction is 8 percentage points—not 94 percentage points.</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We agree, and we have changed how this result is reported throughout the paper. A relative figure computed from a small base overstates the size of the effect when it is read on its own. The revised manuscript gives the absolute change first and the relative change second — in the Abstract, Section 4.6 and the Conclusion — and no longer uses “94%” as a headline number.</w:t>
      </w:r>
    </w:p>
    <w:p>
      <w:pPr>
        <w:spacing w:after="120" w:line="276"/>
      </w:pPr>
      <w:r>
        <w:rPr>
          <w:rFonts w:ascii="Times New Roman" w:cs="Times New Roman" w:eastAsia="Times New Roman" w:hAnsi="Times New Roman"/>
          <w:sz w:val="22"/>
          <w:szCs w:val="22"/>
        </w:rPr>
        <w:t xml:space="preserve">Precisely: 8.5% → 0.5% is an absolute reduction of 8.0 percentage points, a relative reduction of 94.1%, and corresponds to one fabricated answer prevented for every 12.5 queries the system answers.</w:t>
      </w:r>
    </w:p>
    <w:p>
      <w:pPr>
        <w:spacing w:after="120" w:line="276"/>
      </w:pPr>
      <w:r>
        <w:rPr>
          <w:rFonts w:ascii="Times New Roman" w:cs="Times New Roman" w:eastAsia="Times New Roman" w:hAnsi="Times New Roman"/>
          <w:sz w:val="22"/>
          <w:szCs w:val="22"/>
        </w:rPr>
        <w:t xml:space="preserve">The following has been added to the Abstract:</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“A hallucination mitigation framework combining system prompts with semantic similarity and keyword-based filtering reduces fabricated responses from 8.5% to 0.5% of answers — an absolute reduction of 8.0 percentage points (94% in relative terms) — at the cost of declining to answer 12.3% of queries.”</w:t>
      </w:r>
    </w:p>
    <w:p>
      <w:pPr>
        <w:spacing w:after="120" w:line="276"/>
      </w:pPr>
      <w:r>
        <w:rPr>
          <w:rFonts w:ascii="Times New Roman" w:cs="Times New Roman" w:eastAsia="Times New Roman" w:hAnsi="Times New Roman"/>
          <w:sz w:val="22"/>
          <w:szCs w:val="22"/>
        </w:rPr>
        <w:t xml:space="preserve">The following has been added to the revised manuscript (Section 4.6):</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“The filter reduces the share of fabricated answers from 8.5% to 0.5%. We report this as an absolute reduction of 8.0 percentage points rather than only as a 94% relative reduction, because the baseline rate is already low and a relative figure computed from a small base is easy to over-read. In practice the filter prevents approximately one fabricated answer for every 12.5 queries served, while declining to answer 12.3% of queries.”</w:t>
      </w:r>
    </w:p>
    <w:p>
      <w:pPr>
        <w:spacing w:after="120" w:line="276"/>
      </w:pPr>
      <w:r>
        <w:rPr>
          <w:rFonts w:ascii="Times New Roman" w:cs="Times New Roman" w:eastAsia="Times New Roman" w:hAnsi="Times New Roman"/>
          <w:sz w:val="22"/>
          <w:szCs w:val="22"/>
        </w:rPr>
        <w:t xml:space="preserve">The helper that derives both framings from any pair of rates is released as </w:t>
      </w:r>
      <w:r>
        <w:rPr>
          <w:rFonts w:ascii="Consolas" w:cs="Consolas" w:eastAsia="Consolas" w:hAnsi="Consolas"/>
          <w:sz w:val="19"/>
          <w:szCs w:val="19"/>
        </w:rPr>
        <w:t xml:space="preserve">banglafingpt.eval.annotation.reduction_report</w:t>
      </w:r>
      <w:r>
        <w:rPr>
          <w:rFonts w:ascii="Times New Roman" w:cs="Times New Roman" w:eastAsia="Times New Roman" w:hAnsi="Times New Roman"/>
          <w:sz w:val="22"/>
          <w:szCs w:val="22"/>
        </w:rPr>
        <w:t xml:space="preserve">, so the two figures in the text cannot drift apart in future revisions.</w:t>
      </w:r>
    </w:p>
    <w:p>
      <w:pPr>
        <w:spacing w:after="60" w:line="276"/>
      </w:pPr>
      <w:r>
        <w:rPr>
          <w:rFonts w:ascii="Times New Roman" w:cs="Times New Roman" w:eastAsia="Times New Roman" w:hAnsi="Times New Roman"/>
          <w:b/>
          <w:bCs/>
          <w:sz w:val="22"/>
          <w:szCs w:val="22"/>
        </w:rPr>
        <w:t xml:space="preserve">Comment #1b: Hallucination detection methodology is not adequately described</w:t>
      </w:r>
    </w:p>
    <w:p>
      <w:pPr>
        <w:spacing w:after="120" w:line="276"/>
      </w:pPr>
      <w:r>
        <w:rPr>
          <w:rFonts w:ascii="Times New Roman" w:cs="Times New Roman" w:eastAsia="Times New Roman" w:hAnsi="Times New Roman"/>
          <w:sz w:val="22"/>
          <w:szCs w:val="22"/>
        </w:rPr>
        <w:t xml:space="preserve">Who were the annotators? What was the inter-annotator agreement? Was this performed on the same test set? These details are essential for reproducibility.</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We agree that this was underspecified. We have added a full protocol subsection, and released the annotation instructions, the sheet generator and the scorer so that the measurement can be repeated exactly.</w:t>
      </w:r>
    </w:p>
    <w:p>
      <w:pPr>
        <w:spacing w:after="120" w:line="276"/>
      </w:pPr>
      <w:r>
        <w:rPr>
          <w:rFonts w:ascii="Times New Roman" w:cs="Times New Roman" w:eastAsia="Times New Roman" w:hAnsi="Times New Roman"/>
          <w:sz w:val="22"/>
          <w:szCs w:val="22"/>
        </w:rPr>
        <w:t xml:space="preserve">The following has been added to the revised manuscript (Section 4.6.1, “Hallucination annotation protocol”):</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w:t>
      </w:r>
      <w:r>
        <w:rPr>
          <w:rFonts w:ascii="Times New Roman" w:cs="Times New Roman" w:eastAsia="Times New Roman" w:hAnsi="Times New Roman"/>
          <w:b/>
          <w:bCs/>
          <w:i/>
          <w:iCs/>
          <w:sz w:val="22"/>
          <w:szCs w:val="22"/>
        </w:rPr>
        <w:t xml:space="preserve">Sampling frame.</w:t>
      </w:r>
      <w:r>
        <w:rPr>
          <w:rFonts w:ascii="Times New Roman" w:cs="Times New Roman" w:eastAsia="Times New Roman" w:hAnsi="Times New Roman"/>
          <w:i/>
          <w:iCs/>
          <w:sz w:val="22"/>
          <w:szCs w:val="22"/>
        </w:rPr>
        <w:t xml:space="preserve"> 200 responses were drawn from the held-out test split only — never from training or validation — stratified by domain in proportion to the test split (customs 65, taxation 55, VAT 50, finance 30) with a fixed random seed (42). The same 200 items were judged for every system variant, so the variants are directly comparable.”</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w:t>
      </w:r>
      <w:r>
        <w:rPr>
          <w:rFonts w:ascii="Times New Roman" w:cs="Times New Roman" w:eastAsia="Times New Roman" w:hAnsi="Times New Roman"/>
          <w:b/>
          <w:bCs/>
          <w:i/>
          <w:iCs/>
          <w:sz w:val="22"/>
          <w:szCs w:val="22"/>
        </w:rPr>
        <w:t xml:space="preserve">Annotators.</w:t>
      </w:r>
      <w:r>
        <w:rPr>
          <w:rFonts w:ascii="Times New Roman" w:cs="Times New Roman" w:eastAsia="Times New Roman" w:hAnsi="Times New Roman"/>
          <w:i/>
          <w:iCs/>
          <w:sz w:val="22"/>
          <w:szCs w:val="22"/>
        </w:rPr>
        <w:t xml:space="preserve"> Three annotators [AUTHORS: state their background, e.g. two graduate students in computer science and one practising tax consultant] labelled every item independently. Annotators were not shown the system’s own grounding score, which variant produced an answer, or each other’s labels, and each received the items in a different order.”</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w:t>
      </w:r>
      <w:r>
        <w:rPr>
          <w:rFonts w:ascii="Times New Roman" w:cs="Times New Roman" w:eastAsia="Times New Roman" w:hAnsi="Times New Roman"/>
          <w:b/>
          <w:bCs/>
          <w:i/>
          <w:iCs/>
          <w:sz w:val="22"/>
          <w:szCs w:val="22"/>
        </w:rPr>
        <w:t xml:space="preserve">Categories.</w:t>
      </w:r>
      <w:r>
        <w:rPr>
          <w:rFonts w:ascii="Times New Roman" w:cs="Times New Roman" w:eastAsia="Times New Roman" w:hAnsi="Times New Roman"/>
          <w:i/>
          <w:iCs/>
          <w:sz w:val="22"/>
          <w:szCs w:val="22"/>
        </w:rPr>
        <w:t xml:space="preserve"> Each answer was assigned exactly one label against the passages retrieved for it: fully grounded (every claim, and every number, rate, date and section reference, appears in the passages), partially grounded (mostly supported, at least one claim or number not stated in the passages), or hallucinated (asserts something the passages do not support, or invents a rate, date, section number or HS code). A refusal was counted as fully grounded, since it asserts nothing.”</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w:t>
      </w:r>
      <w:r>
        <w:rPr>
          <w:rFonts w:ascii="Times New Roman" w:cs="Times New Roman" w:eastAsia="Times New Roman" w:hAnsi="Times New Roman"/>
          <w:b/>
          <w:bCs/>
          <w:i/>
          <w:iCs/>
          <w:sz w:val="22"/>
          <w:szCs w:val="22"/>
        </w:rPr>
        <w:t xml:space="preserve">Aggregation and agreement.</w:t>
      </w:r>
      <w:r>
        <w:rPr>
          <w:rFonts w:ascii="Times New Roman" w:cs="Times New Roman" w:eastAsia="Times New Roman" w:hAnsi="Times New Roman"/>
          <w:i/>
          <w:iCs/>
          <w:sz w:val="22"/>
          <w:szCs w:val="22"/>
        </w:rPr>
        <w:t xml:space="preserve"> The reported rate is the majority label across the three annotators. Inter-annotator agreement was Fleiss’ κ = [AUTHORS: insert], with [AUTHORS: insert]% of items unanimous.”</w:t>
      </w:r>
    </w:p>
    <w:p>
      <w:pPr>
        <w:spacing w:after="120" w:line="276"/>
      </w:pPr>
      <w:r>
        <w:rPr>
          <w:rFonts w:ascii="Times New Roman" w:cs="Times New Roman" w:eastAsia="Times New Roman" w:hAnsi="Times New Roman"/>
          <w:sz w:val="22"/>
          <w:szCs w:val="22"/>
        </w:rPr>
        <w:t xml:space="preserve">Running </w:t>
      </w:r>
      <w:r>
        <w:rPr>
          <w:rFonts w:ascii="Consolas" w:cs="Consolas" w:eastAsia="Consolas" w:hAnsi="Consolas"/>
          <w:sz w:val="19"/>
          <w:szCs w:val="19"/>
        </w:rPr>
        <w:t xml:space="preserve">python scripts/reviewer_experiments.py --all</w:t>
      </w:r>
      <w:r>
        <w:rPr>
          <w:rFonts w:ascii="Times New Roman" w:cs="Times New Roman" w:eastAsia="Times New Roman" w:hAnsi="Times New Roman"/>
          <w:sz w:val="22"/>
          <w:szCs w:val="22"/>
        </w:rPr>
        <w:t xml:space="preserve"> regenerates the three blind annotation sheets and the instruction file; </w:t>
      </w:r>
      <w:r>
        <w:rPr>
          <w:rFonts w:ascii="Consolas" w:cs="Consolas" w:eastAsia="Consolas" w:hAnsi="Consolas"/>
          <w:sz w:val="19"/>
          <w:szCs w:val="19"/>
        </w:rPr>
        <w:t xml:space="preserve">score_annotations</w:t>
      </w:r>
      <w:r>
        <w:rPr>
          <w:rFonts w:ascii="Times New Roman" w:cs="Times New Roman" w:eastAsia="Times New Roman" w:hAnsi="Times New Roman"/>
          <w:sz w:val="22"/>
          <w:szCs w:val="22"/>
        </w:rPr>
        <w:t xml:space="preserve"> computes the category shares and Fleiss’ κ from the returned sheets.</w:t>
      </w:r>
    </w:p>
    <w:p>
      <w:pPr>
        <w:spacing w:after="60" w:line="276"/>
      </w:pPr>
      <w:r>
        <w:rPr>
          <w:rFonts w:ascii="Times New Roman" w:cs="Times New Roman" w:eastAsia="Times New Roman" w:hAnsi="Times New Roman"/>
          <w:b/>
          <w:bCs/>
          <w:sz w:val="22"/>
          <w:szCs w:val="22"/>
        </w:rPr>
        <w:t xml:space="preserve">Comment #2: Comparison with GPT-4o is Methodologically Problematic</w:t>
      </w:r>
    </w:p>
    <w:p>
      <w:pPr>
        <w:spacing w:after="120" w:line="276"/>
      </w:pPr>
      <w:r>
        <w:rPr>
          <w:rFonts w:ascii="Times New Roman" w:cs="Times New Roman" w:eastAsia="Times New Roman" w:hAnsi="Times New Roman"/>
          <w:sz w:val="22"/>
          <w:szCs w:val="22"/>
        </w:rPr>
        <w:t xml:space="preserve">GPT-4o was not fine-tuned on this dataset, nor was it provided with RAG capabilities. This is not an apples-to-apples comparison. The authors report perplexity for GPT-4 on Bengali text as ~45, but this conflates perplexity with accuracy. The claim that a 3B model “substantially outperforms GPT-4o (100B+ parameters)” should be qualified.</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The reviewer is right, and we have corrected both the experiment and the claim.</w:t>
      </w:r>
    </w:p>
    <w:p>
      <w:pPr>
        <w:spacing w:after="120" w:line="276"/>
      </w:pPr>
      <w:r>
        <w:rPr>
          <w:rFonts w:ascii="Times New Roman" w:cs="Times New Roman" w:eastAsia="Times New Roman" w:hAnsi="Times New Roman"/>
          <w:b/>
          <w:bCs/>
          <w:sz w:val="22"/>
          <w:szCs w:val="22"/>
        </w:rPr>
        <w:t xml:space="preserve">(i) The baselines now receive the same retrieved context.</w:t>
      </w:r>
      <w:r>
        <w:rPr>
          <w:rFonts w:ascii="Times New Roman" w:cs="Times New Roman" w:eastAsia="Times New Roman" w:hAnsi="Times New Roman"/>
          <w:sz w:val="22"/>
          <w:szCs w:val="22"/>
        </w:rPr>
        <w:t xml:space="preserve"> Our pipeline is backend-agnostic: retrieval, prompt assembly, filtering and scoring are identical whichever model generates the text, so the fair comparison is a configuration change rather than a different system. The revised Table 5 reports every baseline twice — without retrieval, as originally submitted, and with exactly the same top-k passages and the same prompt that BanglaFinGPT receives: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System</w:t>
            </w:r>
          </w:p>
        </w:tc>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EM (%)</w:t>
            </w:r>
          </w:p>
        </w:tc>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F1</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GPT-4o, no retrieval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45.2</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0.61</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GPT-4o + same RAG context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[AUTHORS: insert]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[AUTHORS: insert]</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Claude Sonnet 3.5, no retrieval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42.8</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0.59</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Claude Sonnet 3.5 + same RAG context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[AUTHORS: insert]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[AUTHORS: insert]</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Gemini Pro 1.5, no retrieval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38.6</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0.54</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Gemini Pro 1.5 + same RAG context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[AUTHORS: insert]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[AUTHORS: insert]</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BanglaFinGPT (fine-tuned + RAG + filter)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90.0</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0.88</w:t>
            </w:r>
          </w:p>
        </w:tc>
      </w:tr>
    </w:tbl>
    <w:p>
      <w:pPr>
        <w:spacing w:after="160"/>
      </w:pPr>
    </w:p>
    <w:p>
      <w:pPr>
        <w:spacing w:after="120" w:line="276"/>
      </w:pPr>
      <w:r>
        <w:rPr>
          <w:rFonts w:ascii="Times New Roman" w:cs="Times New Roman" w:eastAsia="Times New Roman" w:hAnsi="Times New Roman"/>
          <w:sz w:val="22"/>
          <w:szCs w:val="22"/>
        </w:rPr>
        <w:t xml:space="preserve">Each additional row is a single command, for example:</w:t>
      </w:r>
    </w:p>
    <w:p>
      <w:pPr>
        <w:spacing w:after="80" w:line="240"/>
        <w:ind w:left="720"/>
      </w:pPr>
      <w:r>
        <w:rPr>
          <w:rFonts w:ascii="Consolas" w:cs="Consolas" w:eastAsia="Consolas" w:hAnsi="Consolas"/>
          <w:sz w:val="18"/>
          <w:szCs w:val="18"/>
        </w:rPr>
        <w:t xml:space="preserve">python -m banglafingpt.eval.evaluate --backend openai --tag gpt4o_norag --no-retrieval</w:t>
      </w:r>
    </w:p>
    <w:p>
      <w:pPr>
        <w:spacing w:after="80" w:line="240"/>
        <w:ind w:left="720"/>
      </w:pPr>
      <w:r>
        <w:rPr>
          <w:rFonts w:ascii="Consolas" w:cs="Consolas" w:eastAsia="Consolas" w:hAnsi="Consolas"/>
          <w:sz w:val="18"/>
          <w:szCs w:val="18"/>
        </w:rPr>
        <w:t xml:space="preserve">python -m banglafingpt.eval.evaluate --backend openai --tag gpt4o_rag</w:t>
      </w:r>
    </w:p>
    <w:p>
      <w:pPr>
        <w:spacing w:after="120" w:line="276"/>
      </w:pPr>
      <w:r>
        <w:rPr>
          <w:rFonts w:ascii="Times New Roman" w:cs="Times New Roman" w:eastAsia="Times New Roman" w:hAnsi="Times New Roman"/>
          <w:sz w:val="22"/>
          <w:szCs w:val="22"/>
        </w:rPr>
        <w:t xml:space="preserve">That access to context rather than scale is the dominant factor is visible even without a hosted model: holding the generator fixed and toggling retrieval alone moves token-level F1 from 0.000 to 0.290 on the 2,036-question test split.</w:t>
      </w:r>
    </w:p>
    <w:p>
      <w:pPr>
        <w:spacing w:after="120" w:line="276"/>
      </w:pPr>
      <w:r>
        <w:rPr>
          <w:rFonts w:ascii="Times New Roman" w:cs="Times New Roman" w:eastAsia="Times New Roman" w:hAnsi="Times New Roman"/>
          <w:b/>
          <w:bCs/>
          <w:sz w:val="22"/>
          <w:szCs w:val="22"/>
        </w:rPr>
        <w:t xml:space="preserve">(ii) The claims have been qualified and the perplexity conflation removed.</w:t>
      </w:r>
      <w:r>
        <w:rPr>
          <w:rFonts w:ascii="Times New Roman" w:cs="Times New Roman" w:eastAsia="Times New Roman" w:hAnsi="Times New Roman"/>
          <w:sz w:val="22"/>
          <w:szCs w:val="22"/>
        </w:rPr>
        <w:t xml:space="preserve"> We no longer describe the result as a 3B model outperforming a 100B+ model. The following has been added to the revised manuscript (Section 5, Discussion):</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“BanglaFinGPT’s advantage over general-purpose models comes from two sources unavailable to those models in this setting: supervised adaptation to Bangla financial language, and retrieval over the authoritative NBR documents from which the answers are drawn. It is therefore not evidence that a 3B model is intrinsically stronger than a larger one. The comparison in Table 5 separates the two contributions by reporting each baseline both with and without the same retrieved context.”</w:t>
      </w:r>
    </w:p>
    <w:p>
      <w:pPr>
        <w:spacing w:after="120" w:line="276"/>
      </w:pPr>
      <w:r>
        <w:rPr>
          <w:rFonts w:ascii="Times New Roman" w:cs="Times New Roman" w:eastAsia="Times New Roman" w:hAnsi="Times New Roman"/>
          <w:sz w:val="22"/>
          <w:szCs w:val="22"/>
        </w:rPr>
        <w:t xml:space="preserve">The sentence relating GPT-4’s Bengali perplexity (~45) to answer accuracy has been removed from Section 3.3. Perplexity now appears only where it is used — as a language-modelling statistic motivating a Bangla-pretrained base model — and is no longer placed beside accuracy as if one implied the other.</w:t>
      </w:r>
    </w:p>
    <w:p>
      <w:pPr>
        <w:spacing w:after="60" w:line="276"/>
      </w:pPr>
      <w:r>
        <w:rPr>
          <w:rFonts w:ascii="Times New Roman" w:cs="Times New Roman" w:eastAsia="Times New Roman" w:hAnsi="Times New Roman"/>
          <w:b/>
          <w:bCs/>
          <w:sz w:val="22"/>
          <w:szCs w:val="22"/>
        </w:rPr>
        <w:t xml:space="preserve">Comment #3: Dataset Quality and Bias Concerns</w:t>
      </w:r>
    </w:p>
    <w:p>
      <w:pPr>
        <w:spacing w:after="120" w:line="276"/>
      </w:pPr>
      <w:r>
        <w:rPr>
          <w:rFonts w:ascii="Times New Roman" w:cs="Times New Roman" w:eastAsia="Times New Roman" w:hAnsi="Times New Roman"/>
          <w:sz w:val="22"/>
          <w:szCs w:val="22"/>
        </w:rPr>
        <w:t xml:space="preserve">The dataset is constructed from NBR documents only, which creates potential bias. The QA pairs are generated using a semi-automated pipeline combining template-based methods and GPT-4, so the training data may contain GPT-4-generated questions. Domain distribution is imbalanced (Customs 33.37%, General Finance 14.15%), which likely contributes to the lower performance on customs queries.</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We have separated this into the three concerns raised and addressed each with either new analysis or an explicit limitation.</w:t>
      </w:r>
    </w:p>
    <w:p>
      <w:pPr>
        <w:spacing w:after="120" w:line="276"/>
      </w:pPr>
      <w:r>
        <w:rPr>
          <w:rFonts w:ascii="Times New Roman" w:cs="Times New Roman" w:eastAsia="Times New Roman" w:hAnsi="Times New Roman"/>
          <w:b/>
          <w:bCs/>
          <w:sz w:val="22"/>
          <w:szCs w:val="22"/>
        </w:rPr>
        <w:t xml:space="preserve">(a) Single-source corpus.</w:t>
      </w:r>
      <w:r>
        <w:rPr>
          <w:rFonts w:ascii="Times New Roman" w:cs="Times New Roman" w:eastAsia="Times New Roman" w:hAnsi="Times New Roman"/>
          <w:sz w:val="22"/>
          <w:szCs w:val="22"/>
        </w:rPr>
        <w:t xml:space="preserve"> The corpus is deliberately scoped to NBR primary sources, because the system answers from authoritative text rather than secondary commentary, and grounding requires a citable source. We agree this limits external validity and now state it in the Limitations section rather than leaving it implicit. Because benchmark questions are also cleaner than what users type, we added a robustness check in which the same test questions are perturbed in ways real users produce (500 test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Query form</w:t>
            </w:r>
          </w:p>
        </w:tc>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recall@5</w:t>
            </w:r>
          </w:p>
        </w:tc>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change</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original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0.768</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question mark removed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0.768</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0.0%</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digits in the other script (১৫ ↔ 15)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0.768</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0.0%</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one character dropped from a word (typo)</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0.742</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−3.4%</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politeness prefix added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0.740</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−3.6%</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keywords only, no sentence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0.722</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−6.0%</w:t>
            </w:r>
          </w:p>
        </w:tc>
      </w:tr>
    </w:tbl>
    <w:p>
      <w:pPr>
        <w:spacing w:after="160"/>
      </w:pPr>
    </w:p>
    <w:p>
      <w:pPr>
        <w:spacing w:after="120" w:line="276"/>
      </w:pPr>
      <w:r>
        <w:rPr>
          <w:rFonts w:ascii="Times New Roman" w:cs="Times New Roman" w:eastAsia="Times New Roman" w:hAnsi="Times New Roman"/>
          <w:sz w:val="22"/>
          <w:szCs w:val="22"/>
        </w:rPr>
        <w:t xml:space="preserve">The following has been added to the revised manuscript (Section 4.5):</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“Retrieval is unaffected by punctuation and by whether digits are written in Bengali or ASCII, because both are normalised before matching. It degrades modestly under a single-character typo (−3.4%), an added politeness prefix (−3.6%) and keyword-only queries (−6.0%). This is a proxy for user-typed input rather than a substitute for a user study, which remains future work.”</w:t>
      </w:r>
    </w:p>
    <w:p>
      <w:pPr>
        <w:spacing w:after="120" w:line="276"/>
      </w:pPr>
      <w:r>
        <w:rPr>
          <w:rFonts w:ascii="Times New Roman" w:cs="Times New Roman" w:eastAsia="Times New Roman" w:hAnsi="Times New Roman"/>
          <w:b/>
          <w:bCs/>
          <w:sz w:val="22"/>
          <w:szCs w:val="22"/>
        </w:rPr>
        <w:t xml:space="preserve">(b) GPT-4-generated questions.</w:t>
      </w:r>
      <w:r>
        <w:rPr>
          <w:rFonts w:ascii="Times New Roman" w:cs="Times New Roman" w:eastAsia="Times New Roman" w:hAnsi="Times New Roman"/>
          <w:sz w:val="22"/>
          <w:szCs w:val="22"/>
        </w:rPr>
        <w:t xml:space="preserve"> All answers are extracted verbatim from the source passage; the model proposed only questions, and any proposed pair whose answer did not occur literally in the passage was discarded. The phrasing bias the reviewer identifies is nevertheless real, and we now state and quantify it. The following has been added to the revised manuscript (Section 3.2):</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“Candidate questions were produced by two mechanisms: pattern templates ([AUTHORS: insert]% of retained pairs) and GPT-4 proposals ([AUTHORS: insert]%). Answers were never generated: a proposed pair was retained only if its answer appeared verbatim in the source passage, and every numeric value in the answer also appeared there. The question distribution therefore inherits some of the phrasing conventions of both mechanisms, which is a limitation of the benchmark rather than of the system.”</w:t>
      </w:r>
    </w:p>
    <w:p>
      <w:pPr>
        <w:spacing w:after="120" w:line="276"/>
      </w:pPr>
      <w:r>
        <w:rPr>
          <w:rFonts w:ascii="Times New Roman" w:cs="Times New Roman" w:eastAsia="Times New Roman" w:hAnsi="Times New Roman"/>
          <w:b/>
          <w:bCs/>
          <w:sz w:val="22"/>
          <w:szCs w:val="22"/>
        </w:rPr>
        <w:t xml:space="preserve">(c) Domain imbalance.</w:t>
      </w:r>
      <w:r>
        <w:rPr>
          <w:rFonts w:ascii="Times New Roman" w:cs="Times New Roman" w:eastAsia="Times New Roman" w:hAnsi="Times New Roman"/>
          <w:sz w:val="22"/>
          <w:szCs w:val="22"/>
        </w:rPr>
        <w:t xml:space="preserve"> We tested the reviewer’s hypothesis directly rather than assuming it. Re-evaluating on a domain-balanced subsample of the test split (n = 305 per domain, the size of the smallest domain) leaves the ranking and the size of the gaps essentially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Domain</w:t>
            </w:r>
          </w:p>
        </w:tc>
        <w:tc>
          <w:tcPr>
            <w:tcW w:type="dxa" w:w="234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Share of corpus</w:t>
            </w:r>
          </w:p>
        </w:tc>
        <w:tc>
          <w:tcPr>
            <w:tcW w:type="dxa" w:w="234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F1, full test split</w:t>
            </w:r>
          </w:p>
        </w:tc>
        <w:tc>
          <w:tcPr>
            <w:tcW w:type="dxa" w:w="234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F1, balanced subsample</w:t>
            </w:r>
          </w:p>
        </w:tc>
      </w:tr>
      <w:tr>
        <w:trPr>
          <w:tblHeader w:val="false"/>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Taxation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26.9%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0.356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0.350</w:t>
            </w:r>
          </w:p>
        </w:tc>
      </w:tr>
      <w:tr>
        <w:trPr>
          <w:tblHeader w:val="false"/>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VAT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25.2%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0.337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0.331</w:t>
            </w:r>
          </w:p>
        </w:tc>
      </w:tr>
      <w:tr>
        <w:trPr>
          <w:tblHeader w:val="false"/>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Finance (general)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14.8%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0.196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0.196</w:t>
            </w:r>
          </w:p>
        </w:tc>
      </w:tr>
      <w:tr>
        <w:trPr>
          <w:tblHeader w:val="false"/>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Customs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33.1%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0.183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0.179</w:t>
            </w:r>
          </w:p>
        </w:tc>
      </w:tr>
    </w:tbl>
    <w:p>
      <w:pPr>
        <w:spacing w:after="160"/>
      </w:pPr>
    </w:p>
    <w:p>
      <w:pPr>
        <w:spacing w:after="120" w:line="276"/>
      </w:pPr>
      <w:r>
        <w:rPr>
          <w:rFonts w:ascii="Times New Roman" w:cs="Times New Roman" w:eastAsia="Times New Roman" w:hAnsi="Times New Roman"/>
          <w:sz w:val="22"/>
          <w:szCs w:val="22"/>
        </w:rPr>
        <w:t xml:space="preserve">Customs is the largest domain in the corpus and still the weakest, while general finance is the smallest and not the weakest, so sample size is not what separates them. The following has been added to the revised manuscript (Section 4.4):</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“To test whether the customs gap is an artifact of domain imbalance, we repeated the evaluation on a domain-balanced subsample of the test split (n = 305 per domain). The ordering and the size of the gaps were unchanged. Customs is the most represented domain in the corpus yet the weakest in accuracy, while general finance is the least represented and not the weakest. The difficulty is therefore a property of the content — multi-condition tariff rules and duty calculations whose answers are longer (31.7 words on average against 22.1 for VAT) — rather than of the amount of training data.”</w:t>
      </w:r>
    </w:p>
    <w:p>
      <w:pPr>
        <w:spacing w:after="120" w:line="276"/>
      </w:pPr>
      <w:r>
        <w:rPr>
          <w:rFonts w:ascii="Times New Roman" w:cs="Times New Roman" w:eastAsia="Times New Roman" w:hAnsi="Times New Roman"/>
          <w:sz w:val="22"/>
          <w:szCs w:val="22"/>
        </w:rPr>
        <w:t xml:space="preserve">[AUTHORS: the table above was produced with the released evaluation code; re-run </w:t>
      </w:r>
      <w:r>
        <w:rPr>
          <w:rFonts w:ascii="Consolas" w:cs="Consolas" w:eastAsia="Consolas" w:hAnsi="Consolas"/>
          <w:sz w:val="19"/>
          <w:szCs w:val="19"/>
        </w:rPr>
        <w:t xml:space="preserve">scripts/reviewer_experiments.py</w:t>
      </w:r>
      <w:r>
        <w:rPr>
          <w:rFonts w:ascii="Times New Roman" w:cs="Times New Roman" w:eastAsia="Times New Roman" w:hAnsi="Times New Roman"/>
          <w:sz w:val="22"/>
          <w:szCs w:val="22"/>
        </w:rPr>
        <w:t xml:space="preserve"> with the fine-tuned adapter and replace the two F1 columns with the fine-tuned values before submission.]</w:t>
      </w:r>
    </w:p>
    <w:p>
      <w:pPr>
        <w:spacing w:after="60" w:line="276"/>
      </w:pPr>
      <w:r>
        <w:rPr>
          <w:rFonts w:ascii="Times New Roman" w:cs="Times New Roman" w:eastAsia="Times New Roman" w:hAnsi="Times New Roman"/>
          <w:b/>
          <w:bCs/>
          <w:sz w:val="22"/>
          <w:szCs w:val="22"/>
        </w:rPr>
        <w:t xml:space="preserve">Comment #4: Theoretical Framework is Overly Complex and Partially Superfluous</w:t>
      </w:r>
    </w:p>
    <w:p>
      <w:pPr>
        <w:spacing w:after="120" w:line="276"/>
      </w:pPr>
      <w:r>
        <w:rPr>
          <w:rFonts w:ascii="Times New Roman" w:cs="Times New Roman" w:eastAsia="Times New Roman" w:hAnsi="Times New Roman"/>
          <w:sz w:val="22"/>
          <w:szCs w:val="22"/>
        </w:rPr>
        <w:t xml:space="preserve">4a) Equations such as the KL divergence analysis and the Chinchilla scaling law analysis are presented without being used to derive any specific insights or design decisions. 4b) The KL divergence “12.4 nats” is stated without citation or methodology. 4c) The Chinchilla analysis concludes the optimal model would be 23B parameters, but the authors then use 3B anyway. 4d) Equations 11–15 are standard results that don’t require derivation here.</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We agree and have cut the formalism back to the equations a reader needs in order to implement or evaluate the system.</w:t>
      </w:r>
    </w:p>
    <w:p>
      <w:pPr>
        <w:spacing w:after="120" w:line="276"/>
      </w:pPr>
      <w:r>
        <w:rPr>
          <w:rFonts w:ascii="Times New Roman" w:cs="Times New Roman" w:eastAsia="Times New Roman" w:hAnsi="Times New Roman"/>
          <w:b/>
          <w:bCs/>
          <w:sz w:val="22"/>
          <w:szCs w:val="22"/>
        </w:rPr>
        <w:t xml:space="preserve">4a.</w:t>
      </w:r>
      <w:r>
        <w:rPr>
          <w:rFonts w:ascii="Times New Roman" w:cs="Times New Roman" w:eastAsia="Times New Roman" w:hAnsi="Times New Roman"/>
          <w:sz w:val="22"/>
          <w:szCs w:val="22"/>
        </w:rPr>
        <w:t xml:space="preserve"> Retained in the main text: NF4 quantisation, the cosine learning-rate schedule actually used, the RAG marginalisation and prompt construction, and the hallucination predicate — each of which corresponds to a specific line of the released implementation. The remaining derivations have been removed, as detailed below.</w:t>
      </w:r>
    </w:p>
    <w:p>
      <w:pPr>
        <w:spacing w:after="120" w:line="276"/>
      </w:pPr>
      <w:r>
        <w:rPr>
          <w:rFonts w:ascii="Times New Roman" w:cs="Times New Roman" w:eastAsia="Times New Roman" w:hAnsi="Times New Roman"/>
          <w:b/>
          <w:bCs/>
          <w:sz w:val="22"/>
          <w:szCs w:val="22"/>
        </w:rPr>
        <w:t xml:space="preserve">4b.</w:t>
      </w:r>
      <w:r>
        <w:rPr>
          <w:rFonts w:ascii="Times New Roman" w:cs="Times New Roman" w:eastAsia="Times New Roman" w:hAnsi="Times New Roman"/>
          <w:sz w:val="22"/>
          <w:szCs w:val="22"/>
        </w:rPr>
        <w:t xml:space="preserve"> The KL divergence figure (“≈12.4 nats”) has been removed. We could not document an estimation procedure — corpus, tokenizer and estimator — to a standard that would let a reader reproduce it, and the paper’s argument does not depend on it. The qualitative point it was making is now stated plainly (Section 3.3):</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“Bangla financial text is far from the distribution these models are pretrained on: the vocabulary is legal-administrative Bangla, the numbers are regulatory rates and HS codes, and the entities are Bangladeshi institutions. This is the gap domain adaptation has to close.”</w:t>
      </w:r>
    </w:p>
    <w:p>
      <w:pPr>
        <w:spacing w:after="120" w:line="276"/>
      </w:pPr>
      <w:r>
        <w:rPr>
          <w:rFonts w:ascii="Times New Roman" w:cs="Times New Roman" w:eastAsia="Times New Roman" w:hAnsi="Times New Roman"/>
          <w:b/>
          <w:bCs/>
          <w:sz w:val="22"/>
          <w:szCs w:val="22"/>
        </w:rPr>
        <w:t xml:space="preserve">4c.</w:t>
      </w:r>
      <w:r>
        <w:rPr>
          <w:rFonts w:ascii="Times New Roman" w:cs="Times New Roman" w:eastAsia="Times New Roman" w:hAnsi="Times New Roman"/>
          <w:sz w:val="22"/>
          <w:szCs w:val="22"/>
        </w:rPr>
        <w:t xml:space="preserve"> The Chinchilla analysis has been removed. It concluded that a compute-optimal model would be ~23B parameters, and we then selected 3B for reasons unrelated to compute-optimality, so it argued against the design without informing it. The actual reason is now one sentence (Section 3.3.2):</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“We select a 3B base model so that 4-bit fine-tuning and inference fit within the 6 GB of GPU memory available on consumer hardware, which is the deployment setting this system targets.”</w:t>
      </w:r>
    </w:p>
    <w:p>
      <w:pPr>
        <w:spacing w:after="120" w:line="276"/>
      </w:pPr>
      <w:r>
        <w:rPr>
          <w:rFonts w:ascii="Times New Roman" w:cs="Times New Roman" w:eastAsia="Times New Roman" w:hAnsi="Times New Roman"/>
          <w:b/>
          <w:bCs/>
          <w:sz w:val="22"/>
          <w:szCs w:val="22"/>
        </w:rPr>
        <w:t xml:space="preserve">4d.</w:t>
      </w:r>
      <w:r>
        <w:rPr>
          <w:rFonts w:ascii="Times New Roman" w:cs="Times New Roman" w:eastAsia="Times New Roman" w:hAnsi="Times New Roman"/>
          <w:sz w:val="22"/>
          <w:szCs w:val="22"/>
        </w:rPr>
        <w:t xml:space="preserve"> Equations 11–15 have been removed. The quantisation configuration and the optimiser schedule are now given as the concrete settings used — NF4 with double quantisation and bf16 compute; AdamW with cosine decay from 5 × 10⁻⁵ and 3% warmup — with citations to the original sources rather than restated derivations.</w:t>
      </w:r>
    </w:p>
    <w:p>
      <w:pPr>
        <w:spacing w:after="60" w:line="276"/>
      </w:pPr>
      <w:r>
        <w:rPr>
          <w:rFonts w:ascii="Times New Roman" w:cs="Times New Roman" w:eastAsia="Times New Roman" w:hAnsi="Times New Roman"/>
          <w:b/>
          <w:bCs/>
          <w:sz w:val="22"/>
          <w:szCs w:val="22"/>
        </w:rPr>
        <w:t xml:space="preserve">Comment #5: Minor Issues with Writing and Presentation</w:t>
      </w:r>
    </w:p>
    <w:p>
      <w:pPr>
        <w:spacing w:after="60" w:line="276"/>
      </w:pPr>
      <w:r>
        <w:rPr>
          <w:rFonts w:ascii="Times New Roman" w:cs="Times New Roman" w:eastAsia="Times New Roman" w:hAnsi="Times New Roman"/>
          <w:b/>
          <w:bCs/>
          <w:sz w:val="22"/>
          <w:szCs w:val="22"/>
        </w:rPr>
        <w:t xml:space="preserve">Response: 5a) Grammatical errors and unsupported claims</w:t>
      </w:r>
    </w:p>
    <w:p>
      <w:pPr>
        <w:spacing w:after="120" w:line="276"/>
      </w:pPr>
      <w:r>
        <w:rPr>
          <w:rFonts w:ascii="Times New Roman" w:cs="Times New Roman" w:eastAsia="Times New Roman" w:hAnsi="Times New Roman"/>
          <w:sz w:val="22"/>
          <w:szCs w:val="22"/>
        </w:rPr>
        <w:t xml:space="preserve">Corrected throughout. The specific instances the reviewer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Original</w:t>
            </w:r>
          </w:p>
        </w:tc>
        <w:tc>
          <w:tcPr>
            <w:tcW w:type="dxa" w:w="468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Revised</w:t>
            </w:r>
          </w:p>
        </w:tc>
      </w:tr>
      <w:tr>
        <w:trPr>
          <w:tblHeader w:val="false"/>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“Verifiable financial information access is crucial…”</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“Access to verifiable financial information is crucial…”</w:t>
            </w:r>
          </w:p>
        </w:tc>
      </w:tr>
      <w:tr>
        <w:trPr>
          <w:tblHeader w:val="false"/>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“billions of people worldwide lack access to financial advice in their native language”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“a large share of the world’s population has no access to financial guidance in a language they read fluently [AUTHORS: cite World Bank Global Findex 2021, or delete the quantifier]”</w:t>
            </w:r>
          </w:p>
        </w:tc>
      </w:tr>
      <w:tr>
        <w:trPr>
          <w:tblHeader w:val="false"/>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“This presents a major barrier to economic opportunity and financial inclusion”</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“This is a major barrier to access to economic opportunity and to financial inclusion”</w:t>
            </w:r>
          </w:p>
        </w:tc>
      </w:tr>
    </w:tbl>
    <w:p>
      <w:pPr>
        <w:spacing w:after="160"/>
      </w:pPr>
    </w:p>
    <w:p>
      <w:pPr>
        <w:spacing w:after="120" w:line="276"/>
      </w:pPr>
      <w:r>
        <w:rPr>
          <w:rFonts w:ascii="Times New Roman" w:cs="Times New Roman" w:eastAsia="Times New Roman" w:hAnsi="Times New Roman"/>
          <w:sz w:val="22"/>
          <w:szCs w:val="22"/>
        </w:rPr>
        <w:t xml:space="preserve">[AUTHORS: confirm a full language-editing pass was made before resubmission.]</w:t>
      </w:r>
    </w:p>
    <w:p>
      <w:pPr>
        <w:spacing w:after="60" w:line="276"/>
      </w:pPr>
      <w:r>
        <w:rPr>
          <w:rFonts w:ascii="Times New Roman" w:cs="Times New Roman" w:eastAsia="Times New Roman" w:hAnsi="Times New Roman"/>
          <w:b/>
          <w:bCs/>
          <w:sz w:val="22"/>
          <w:szCs w:val="22"/>
        </w:rPr>
        <w:t xml:space="preserve">Response: 5b) Reference formatting</w:t>
      </w:r>
    </w:p>
    <w:p>
      <w:pPr>
        <w:spacing w:after="120" w:line="276"/>
      </w:pPr>
      <w:r>
        <w:rPr>
          <w:rFonts w:ascii="Times New Roman" w:cs="Times New Roman" w:eastAsia="Times New Roman" w:hAnsi="Times New Roman"/>
          <w:sz w:val="22"/>
          <w:szCs w:val="22"/>
        </w:rPr>
        <w:t xml:space="preserve">The reference list has been normalised: every entry now carries a DOI where one exists, and preprints are labelled consistently with their arXiv identifier and year. Reference [11] (Bisk et al., “Experience grounds language”) has been completed with its full venue, page range and DOI.</w:t>
      </w:r>
    </w:p>
    <w:p>
      <w:pPr>
        <w:spacing w:after="60" w:line="276"/>
      </w:pPr>
      <w:r>
        <w:rPr>
          <w:rFonts w:ascii="Times New Roman" w:cs="Times New Roman" w:eastAsia="Times New Roman" w:hAnsi="Times New Roman"/>
          <w:b/>
          <w:bCs/>
          <w:sz w:val="22"/>
          <w:szCs w:val="22"/>
        </w:rPr>
        <w:t xml:space="preserve">Response: 5c) Inconsistent numbers (45.20 / 45.21 / 45.2)</w:t>
      </w:r>
    </w:p>
    <w:p>
      <w:pPr>
        <w:spacing w:after="120" w:line="276"/>
      </w:pPr>
      <w:r>
        <w:rPr>
          <w:rFonts w:ascii="Times New Roman" w:cs="Times New Roman" w:eastAsia="Times New Roman" w:hAnsi="Times New Roman"/>
          <w:sz w:val="22"/>
          <w:szCs w:val="22"/>
        </w:rPr>
        <w:t xml:space="preserve">Corrected. GPT-4o’s exact-match score is 45.2% everywhere — Abstract, Table 5, Section 4.1 and the Discussion. For the revision we adopted a single rule: percentages to one decimal place, F1 and other ratios to two, with the text quoting the tables rather than restating values independently.</w:t>
      </w:r>
    </w:p>
    <w:p>
      <w:pPr>
        <w:spacing w:after="60" w:line="276"/>
      </w:pPr>
      <w:r>
        <w:rPr>
          <w:rFonts w:ascii="Times New Roman" w:cs="Times New Roman" w:eastAsia="Times New Roman" w:hAnsi="Times New Roman"/>
          <w:b/>
          <w:bCs/>
          <w:sz w:val="22"/>
          <w:szCs w:val="22"/>
        </w:rPr>
        <w:t xml:space="preserve">Response: 5d) Figures</w:t>
      </w:r>
    </w:p>
    <w:p>
      <w:pPr>
        <w:spacing w:after="120" w:line="276"/>
      </w:pPr>
      <w:r>
        <w:rPr>
          <w:rFonts w:ascii="Times New Roman" w:cs="Times New Roman" w:eastAsia="Times New Roman" w:hAnsi="Times New Roman"/>
          <w:sz w:val="22"/>
          <w:szCs w:val="22"/>
        </w:rPr>
        <w:t xml:space="preserve">All figures are now rendered images generated from the released code and the reproduction notebook rather than descriptions of intended figures, and each is referenced at the point where its result is discussed. Any figure we could not produce from data has been removed together with its reference in the text.</w:t>
      </w:r>
    </w:p>
    <w:p>
      <w:pPr>
        <w:spacing w:after="200"/>
      </w:pPr>
    </w:p>
    <w:p>
      <w:pPr>
        <w:spacing w:after="40" w:line="276"/>
      </w:pPr>
      <w:r>
        <w:rPr>
          <w:rFonts w:ascii="Times New Roman" w:cs="Times New Roman" w:eastAsia="Times New Roman" w:hAnsi="Times New Roman"/>
          <w:b/>
          <w:bCs/>
          <w:sz w:val="24"/>
          <w:szCs w:val="24"/>
        </w:rPr>
        <w:t xml:space="preserve">Reviewer 2</w:t>
      </w:r>
    </w:p>
    <w:p>
      <w:pPr>
        <w:pBdr>
          <w:bottom w:val="single" w:color="333333" w:sz="6"/>
        </w:pBdr>
        <w:spacing w:after="120"/>
      </w:pPr>
    </w:p>
    <w:p>
      <w:pPr>
        <w:spacing w:after="60" w:line="276"/>
      </w:pPr>
      <w:r>
        <w:rPr>
          <w:rFonts w:ascii="Times New Roman" w:cs="Times New Roman" w:eastAsia="Times New Roman" w:hAnsi="Times New Roman"/>
          <w:b/>
          <w:bCs/>
          <w:sz w:val="22"/>
          <w:szCs w:val="22"/>
        </w:rPr>
        <w:t xml:space="preserve">General Comments:</w:t>
      </w:r>
    </w:p>
    <w:p>
      <w:pPr>
        <w:spacing w:after="120" w:line="276"/>
      </w:pPr>
      <w:r>
        <w:rPr>
          <w:rFonts w:ascii="Times New Roman" w:cs="Times New Roman" w:eastAsia="Times New Roman" w:hAnsi="Times New Roman"/>
          <w:sz w:val="22"/>
          <w:szCs w:val="22"/>
        </w:rPr>
        <w:t xml:space="preserve">The manuscript addresses an important and timely topic and offers a promising approach to financial question answering in Bangla. The dataset and the integration of fine-tuning, RAG, and hallucination mitigation are potentially valuable. However, the authors should clarify the dataset-splitting method, provide more implementation details, ensure fair baseline comparisons, and strengthen the statistical and hallucination evaluations.</w:t>
      </w:r>
    </w:p>
    <w:p>
      <w:pPr>
        <w:spacing w:after="60" w:line="276"/>
      </w:pPr>
      <w:r>
        <w:rPr>
          <w:rFonts w:ascii="Times New Roman" w:cs="Times New Roman" w:eastAsia="Times New Roman" w:hAnsi="Times New Roman"/>
          <w:b/>
          <w:bCs/>
          <w:sz w:val="22"/>
          <w:szCs w:val="22"/>
        </w:rPr>
        <w:t xml:space="preserve">Response:</w:t>
      </w:r>
    </w:p>
    <w:p>
      <w:pPr>
        <w:spacing w:after="120" w:line="276"/>
      </w:pPr>
      <w:r>
        <w:rPr>
          <w:rFonts w:ascii="Times New Roman" w:cs="Times New Roman" w:eastAsia="Times New Roman" w:hAnsi="Times New Roman"/>
          <w:sz w:val="22"/>
          <w:szCs w:val="22"/>
        </w:rPr>
        <w:t xml:space="preserve">We are grateful to the reviewer for these encouraging comments and insightful suggestions. The four issues raised are addressed in turn below. To make all four verifiable rather than merely described, the full implementation, the dataset loader, the evaluation suite and an executed reproduction notebook are available at [AUTHORS: repository URL].</w:t>
      </w:r>
    </w:p>
    <w:p>
      <w:pPr>
        <w:spacing w:after="60" w:line="276"/>
      </w:pPr>
      <w:r>
        <w:rPr>
          <w:rFonts w:ascii="Times New Roman" w:cs="Times New Roman" w:eastAsia="Times New Roman" w:hAnsi="Times New Roman"/>
          <w:b/>
          <w:bCs/>
          <w:sz w:val="22"/>
          <w:szCs w:val="22"/>
        </w:rPr>
        <w:t xml:space="preserve">(a) Dataset splitting</w:t>
      </w:r>
    </w:p>
    <w:p>
      <w:pPr>
        <w:spacing w:after="120" w:line="276"/>
      </w:pPr>
      <w:r>
        <w:rPr>
          <w:rFonts w:ascii="Times New Roman" w:cs="Times New Roman" w:eastAsia="Times New Roman" w:hAnsi="Times New Roman"/>
          <w:sz w:val="22"/>
          <w:szCs w:val="22"/>
        </w:rPr>
        <w:t xml:space="preserve">This was the most consequential issue, and the reviewer is right to raise it. The corpus contains 10,412 QA pairs drawn from only 1,451 distinct source passages: the same passage yields several questions, and each appears in both Bangla and English. A row-level random split therefore leaks. We measured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Split protocol</w:t>
            </w:r>
          </w:p>
        </w:tc>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Test items sharing a training passage</w:t>
            </w:r>
          </w:p>
        </w:tc>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Near-duplicate test questions</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Random row-level shuffle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93.2%</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1.7%</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Grouped by source passage (adopted)</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0.0%</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1.6%</w:t>
            </w:r>
          </w:p>
        </w:tc>
      </w:tr>
    </w:tbl>
    <w:p>
      <w:pPr>
        <w:spacing w:after="160"/>
      </w:pPr>
    </w:p>
    <w:p>
      <w:pPr>
        <w:spacing w:after="120" w:line="276"/>
      </w:pPr>
      <w:r>
        <w:rPr>
          <w:rFonts w:ascii="Times New Roman" w:cs="Times New Roman" w:eastAsia="Times New Roman" w:hAnsi="Times New Roman"/>
          <w:sz w:val="22"/>
          <w:szCs w:val="22"/>
        </w:rPr>
        <w:t xml:space="preserve">The following has been added to the revised manuscript (Section 3.2.1):</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“Because the corpus contains 10,412 QA pairs derived from 1,451 distinct source passages, a question-level random split would place a test question’s own source passage — and frequently a near-paraphrase of the question itself — in the training set. We therefore split by source passage: all questions derived from a passage, in both languages, are assigned to the same split. Splitting is stratified by domain so the domain proportions are preserved, yielding 7,412 training, 1,000 validation and 2,000 test pairs. Under a question-level random split, 93.2% of test items would share a source passage with training; under the passage-grouped split this is 0%.”</w:t>
      </w:r>
    </w:p>
    <w:p>
      <w:pPr>
        <w:spacing w:after="120" w:line="276"/>
      </w:pPr>
      <w:r>
        <w:rPr>
          <w:rFonts w:ascii="Times New Roman" w:cs="Times New Roman" w:eastAsia="Times New Roman" w:hAnsi="Times New Roman"/>
          <w:sz w:val="22"/>
          <w:szCs w:val="22"/>
        </w:rPr>
        <w:t xml:space="preserve">Both procedures are released — the grouped splitter used for all reported results, and the row-level splitter for this comparison only — together with the audit that reproduces the table.</w:t>
      </w:r>
    </w:p>
    <w:p>
      <w:pPr>
        <w:spacing w:after="120" w:line="276"/>
      </w:pPr>
      <w:r>
        <w:rPr>
          <w:rFonts w:ascii="Times New Roman" w:cs="Times New Roman" w:eastAsia="Times New Roman" w:hAnsi="Times New Roman"/>
          <w:sz w:val="22"/>
          <w:szCs w:val="22"/>
        </w:rPr>
        <w:t xml:space="preserve">[AUTHORS: if the submitted results used a row-level split, regenerate every test score under the passage-grouped split before resubmission. This is the one change in this letter that can move the headline numbers, and a lower leak-free number is far better than a reviewer finding the leak.]</w:t>
      </w:r>
    </w:p>
    <w:p>
      <w:pPr>
        <w:spacing w:after="60" w:line="276"/>
      </w:pPr>
      <w:r>
        <w:rPr>
          <w:rFonts w:ascii="Times New Roman" w:cs="Times New Roman" w:eastAsia="Times New Roman" w:hAnsi="Times New Roman"/>
          <w:b/>
          <w:bCs/>
          <w:sz w:val="22"/>
          <w:szCs w:val="22"/>
        </w:rPr>
        <w:t xml:space="preserve">(b) Implementation details</w:t>
      </w:r>
    </w:p>
    <w:p>
      <w:pPr>
        <w:spacing w:after="120" w:line="276"/>
      </w:pPr>
      <w:r>
        <w:rPr>
          <w:rFonts w:ascii="Times New Roman" w:cs="Times New Roman" w:eastAsia="Times New Roman" w:hAnsi="Times New Roman"/>
          <w:sz w:val="22"/>
          <w:szCs w:val="22"/>
        </w:rPr>
        <w:t xml:space="preserve">The following has been added to the revised manuscript (Section 3.4 and Appendix A):</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“The base model is BanglaLLaMA-3.2-3B, loaded in 4-bit NormalFloat with double quantisation and bfloat16 compute. LoRA adapters of rank 16 (α = 32, dropout 0.05) are attached to all attention and MLP projections. Training uses AdamW with cosine decay from 5 × 10⁻⁵, 3% warmup, an effective batch size of 32 (micro-batch 4 with 8 gradient-accumulation steps), maximum sequence length 1024, and early stopping on validation loss with patience 3. The loss is computed on answer tokens only; prompt tokens are masked. Retrieval uses [AUTHORS: encoder] over 220-word chunks with 40-word overlap, top-k = 5. All runs use seed 42 and were trained on [AUTHORS: GPU and wall-clock time].”</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“Training prompts include retrieved context, matching what the model sees at inference time; training without context and serving with it is a distribution shift that costs accuracy.”</w:t>
      </w:r>
    </w:p>
    <w:p>
      <w:pPr>
        <w:spacing w:after="60" w:line="276"/>
      </w:pPr>
      <w:r>
        <w:rPr>
          <w:rFonts w:ascii="Times New Roman" w:cs="Times New Roman" w:eastAsia="Times New Roman" w:hAnsi="Times New Roman"/>
          <w:b/>
          <w:bCs/>
          <w:sz w:val="22"/>
          <w:szCs w:val="22"/>
        </w:rPr>
        <w:t xml:space="preserve">(c) Fair baseline comparison</w:t>
      </w:r>
    </w:p>
    <w:p>
      <w:pPr>
        <w:spacing w:after="120" w:line="276"/>
      </w:pPr>
      <w:r>
        <w:rPr>
          <w:rFonts w:ascii="Times New Roman" w:cs="Times New Roman" w:eastAsia="Times New Roman" w:hAnsi="Times New Roman"/>
          <w:sz w:val="22"/>
          <w:szCs w:val="22"/>
        </w:rPr>
        <w:t xml:space="preserve">Addressed together with Reviewer 1’s Comment #2 above: every baseline is now reported both without retrieval and with exactly the same retrieved context and prompt as BanglaFinGPT, and the claim about model scale has been withdrawn.</w:t>
      </w:r>
    </w:p>
    <w:p>
      <w:pPr>
        <w:spacing w:after="60" w:line="276"/>
      </w:pPr>
      <w:r>
        <w:rPr>
          <w:rFonts w:ascii="Times New Roman" w:cs="Times New Roman" w:eastAsia="Times New Roman" w:hAnsi="Times New Roman"/>
          <w:b/>
          <w:bCs/>
          <w:sz w:val="22"/>
          <w:szCs w:val="22"/>
        </w:rPr>
        <w:t xml:space="preserve">(d) Statistical and hallucination evaluation</w:t>
      </w:r>
    </w:p>
    <w:p>
      <w:pPr>
        <w:spacing w:after="120" w:line="276"/>
      </w:pPr>
      <w:r>
        <w:rPr>
          <w:rFonts w:ascii="Times New Roman" w:cs="Times New Roman" w:eastAsia="Times New Roman" w:hAnsi="Times New Roman"/>
          <w:sz w:val="22"/>
          <w:szCs w:val="22"/>
        </w:rPr>
        <w:t xml:space="preserve">The statistical reporting has been made explicit rather than asserted. The following has been added to the revised manuscript (Section 4.7):</w:t>
      </w:r>
    </w:p>
    <w:p>
      <w:pPr>
        <w:pBdr>
          <w:left w:val="single" w:color="7F9DB9" w:sz="6" w:space="8"/>
        </w:pBdr>
        <w:spacing w:after="120" w:line="276"/>
        <w:ind w:left="720" w:right="360"/>
      </w:pPr>
      <w:r>
        <w:rPr>
          <w:rFonts w:ascii="Times New Roman" w:cs="Times New Roman" w:eastAsia="Times New Roman" w:hAnsi="Times New Roman"/>
          <w:i/>
          <w:iCs/>
          <w:sz w:val="22"/>
          <w:szCs w:val="22"/>
        </w:rPr>
        <w:t xml:space="preserve">“Confidence intervals are 95% percentile bootstrap intervals computed over per-example scores with 10,000 resamples. Differences in exact match between configurations are tested with McNemar’s test on discordant items, which is the appropriate paired test for a binary per-item outcome; differences in F1 and the generation metrics use a two-sided paired bootstrap over the same items. Queries that the hallucination filter declines to answer are scored as incorrect rather than excluded, so the reported accuracy already carries the cost of the filter’s precision/recall trade-off.”</w:t>
      </w:r>
    </w:p>
    <w:p>
      <w:pPr>
        <w:spacing w:after="120" w:line="276"/>
      </w:pPr>
      <w:r>
        <w:rPr>
          <w:rFonts w:ascii="Times New Roman" w:cs="Times New Roman" w:eastAsia="Times New Roman" w:hAnsi="Times New Roman"/>
          <w:sz w:val="22"/>
          <w:szCs w:val="22"/>
        </w:rPr>
        <w:t xml:space="preserve">The hallucination evaluation is addressed in Comment #1b above: the sampling frame, annotator instructions, category definitions and Fleiss’ κ are now stated, and the protocol is released as code.</w:t>
      </w:r>
    </w:p>
    <w:p>
      <w:pPr>
        <w:spacing w:after="200"/>
      </w:pPr>
    </w:p>
    <w:p>
      <w:pPr>
        <w:spacing w:after="40" w:line="276"/>
      </w:pPr>
      <w:r>
        <w:rPr>
          <w:rFonts w:ascii="Times New Roman" w:cs="Times New Roman" w:eastAsia="Times New Roman" w:hAnsi="Times New Roman"/>
          <w:b/>
          <w:bCs/>
          <w:sz w:val="24"/>
          <w:szCs w:val="24"/>
        </w:rPr>
        <w:t xml:space="preserve">Summary of what still has to be run before resubmission</w:t>
      </w:r>
    </w:p>
    <w:p>
      <w:pPr>
        <w:pBdr>
          <w:bottom w:val="single" w:color="333333" w:sz="6"/>
        </w:pBdr>
        <w:spacing w:after="120"/>
      </w:pPr>
    </w:p>
    <w:p>
      <w:pPr>
        <w:spacing w:after="120" w:line="276"/>
      </w:pPr>
      <w:r>
        <w:rPr>
          <w:rFonts w:ascii="Times New Roman" w:cs="Times New Roman" w:eastAsia="Times New Roman" w:hAnsi="Times New Roman"/>
          <w:sz w:val="22"/>
          <w:szCs w:val="22"/>
        </w:rPr>
        <w:t xml:space="preserve">[AUTHORS: this section is a working checklist — delete it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Needed for</w:t>
            </w:r>
          </w:p>
        </w:tc>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Blocked by</w:t>
            </w:r>
          </w:p>
        </w:tc>
        <w:tc>
          <w:tcPr>
            <w:tcW w:type="dxa" w:w="3120"/>
            <w:shd w:fill="E8EDF3"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Command</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Fine-tuned scores under the passage-grouped split (Tables 5, 7, 8, 12)</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CUDA GPU</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make train  →  make ablation</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Baseline rows with and without RAG (Table 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API keys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python -m banglafingpt.eval.evaluate --backend openai --tag gpt4o_rag</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Hallucination rates and Fleiss’ κ (Table 11, Section 4.6.1)</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Three annotators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scripts/reviewer_experiments.py --all, then score_annotations</w:t>
            </w:r>
          </w:p>
        </w:tc>
      </w:tr>
      <w:tr>
        <w:trPr>
          <w:tblHeader w:val="false"/>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Human evaluation (Table 6)</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Three experts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20"/>
                <w:szCs w:val="20"/>
              </w:rPr>
              <w:t xml:space="preserve">scripts/human_eval_report.py</w:t>
            </w:r>
          </w:p>
        </w:tc>
      </w:tr>
    </w:tbl>
    <w:p>
      <w:pPr>
        <w:spacing w:after="160"/>
      </w:pPr>
    </w:p>
    <w:p>
      <w:pPr>
        <w:spacing w:after="120" w:line="276"/>
      </w:pPr>
      <w:r>
        <w:rPr>
          <w:rFonts w:ascii="Times New Roman" w:cs="Times New Roman" w:eastAsia="Times New Roman" w:hAnsi="Times New Roman"/>
          <w:sz w:val="22"/>
          <w:szCs w:val="22"/>
        </w:rPr>
        <w:t xml:space="preserve">Everything else quoted in this document is reproduced by </w:t>
      </w:r>
      <w:r>
        <w:rPr>
          <w:rFonts w:ascii="Consolas" w:cs="Consolas" w:eastAsia="Consolas" w:hAnsi="Consolas"/>
          <w:sz w:val="19"/>
          <w:szCs w:val="19"/>
        </w:rPr>
        <w:t xml:space="preserve">python scripts/reviewer_experiments.py --all</w:t>
      </w:r>
      <w:r>
        <w:rPr>
          <w:rFonts w:ascii="Times New Roman" w:cs="Times New Roman" w:eastAsia="Times New Roman" w:hAnsi="Times New Roman"/>
          <w:sz w:val="22"/>
          <w:szCs w:val="2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2026-09-11T18:02:19.055Z</dcterms:created>
  <dcterms:modified xsi:type="dcterms:W3CDTF">2026-09-11T18:02:19.055Z</dcterms:modified>
</cp:coreProperties>
</file>

<file path=docProps/custom.xml><?xml version="1.0" encoding="utf-8"?>
<Properties xmlns="http://schemas.openxmlformats.org/officeDocument/2006/custom-properties" xmlns:vt="http://schemas.openxmlformats.org/officeDocument/2006/docPropsVTypes"/>
</file>