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00" w:line="276" w:lineRule="auto"/>
        <w:ind w:left="1700"/>
      </w:pPr>
      <w:r>
        <w:rPr>
          <w:rFonts w:ascii="Arial" w:cs="Arial" w:eastAsia="Arial" w:hAnsi="Arial"/>
          <w:b/>
          <w:bCs/>
          <w:sz w:val="46"/>
          <w:szCs w:val="46"/>
        </w:rPr>
        <w:t xml:space="preserve">Few-shot calibration rather than architecture drives cross-participant EEG emotion recognition with full and six-electrode montages</w:t>
      </w:r>
    </w:p>
    <w:p>
      <w:pPr>
        <w:spacing w:after="200"/>
        <w:ind w:left="1700"/>
      </w:pPr>
      <w:r>
        <w:rPr>
          <w:rFonts w:ascii="Arial" w:cs="Arial" w:eastAsia="Arial" w:hAnsi="Arial"/>
          <w:b/>
          <w:bCs/>
          <w:sz w:val="21"/>
          <w:szCs w:val="21"/>
        </w:rPr>
        <w:t xml:space="preserve">Saif Khan</w:t>
      </w:r>
      <w:r>
        <w:rPr>
          <w:rFonts w:ascii="Arial" w:cs="Arial" w:eastAsia="Arial" w:hAnsi="Arial"/>
          <w:b/>
          <w:bCs/>
          <w:sz w:val="21"/>
          <w:szCs w:val="21"/>
          <w:vertAlign w:val="superscript"/>
        </w:rPr>
        <w:t xml:space="preserve">✉</w:t>
      </w:r>
      <w:r>
        <w:rPr>
          <w:rFonts w:ascii="Arial" w:cs="Arial" w:eastAsia="Arial" w:hAnsi="Arial"/>
          <w:b/>
          <w:bCs/>
          <w:sz w:val="21"/>
          <w:szCs w:val="21"/>
        </w:rPr>
        <w:t xml:space="preserve">, Osama Bin Qashem, K. M. Fahim A. Bari, Rafid Rahman &amp; Ahmed Wasif Reza</w:t>
      </w:r>
    </w:p>
    <w:p>
      <w:pPr>
        <w:spacing w:after="60"/>
        <w:ind w:left="1700"/>
      </w:pPr>
      <w:r>
        <w:rPr>
          <w:rFonts w:ascii="Arial" w:cs="Arial" w:eastAsia="Arial" w:hAnsi="Arial"/>
          <w:b/>
          <w:bCs/>
          <w:sz w:val="26"/>
          <w:szCs w:val="26"/>
        </w:rPr>
        <w:t xml:space="preserve">Abstract</w:t>
      </w:r>
    </w:p>
    <w:p>
      <w:pPr>
        <w:spacing w:after="200" w:line="252"/>
        <w:ind w:left="1700"/>
        <w:jc w:val="both"/>
      </w:pPr>
      <w:r>
        <w:rPr>
          <w:rFonts w:ascii="Arial" w:cs="Arial" w:eastAsia="Arial" w:hAnsi="Arial"/>
          <w:b/>
          <w:bCs/>
          <w:sz w:val="19"/>
          <w:szCs w:val="19"/>
        </w:rPr>
        <w:t xml:space="preserve">Electroencephalography (EEG) emotion decoders must work for people whose data were never used in training, ideally on headsets with few electrodes, yet published cross-participant results differ in whether test-participant data are used. We benchmarked 26 models, including a two-stage contrastive model (CLISA-EWU), on four-class SEED-IV emotion recognition with repeated leave-one-participant-out validation (15 participants, three seeds) using 62 electrodes and a six-electrode frontal–temporal subset, scoring each held-out participant zero-shot and after calibration with 20 labelled windows (about 80 s). Zero-shot accuracy was modest (best 0.485, 95% CI 0.428–0.542; chance 0.25), and CLISA-EWU did not differ from a two-layer perceptron. Calibration added 16–21 percentage points to contrastive, adversarial and pseudo-label models but at most 2 points to supervised networks. Calibrated CLISA-EWU reached an accuracy of 0.678 (0.641–0.718; Cohen’s κ = 0.57, MCC = 0.58) with 62 electrodes and 0.620 (0.590–0.648; κ = 0.49) with six, retaining 91.4% of full-montage performance, and calibration made the model ranking consistent across participants (Kendall’s W 0.35 → 0.79). Brief user calibration, rather than architecture, explained most of the measurable gain.</w:t>
      </w:r>
    </w:p>
    <w:p>
      <w:pPr>
        <w:spacing w:after="280"/>
        <w:ind w:left="1700"/>
      </w:pPr>
      <w:r>
        <w:rPr>
          <w:rFonts w:ascii="Arial" w:cs="Arial" w:eastAsia="Arial" w:hAnsi="Arial"/>
          <w:b/>
          <w:bCs/>
          <w:sz w:val="24"/>
          <w:szCs w:val="24"/>
        </w:rPr>
        <w:t xml:space="preserve">Keywords  </w:t>
      </w:r>
      <w:r>
        <w:rPr>
          <w:rFonts w:ascii="Arial" w:cs="Arial" w:eastAsia="Arial" w:hAnsi="Arial"/>
          <w:sz w:val="19"/>
          <w:szCs w:val="19"/>
        </w:rPr>
        <w:t xml:space="preserve">EEG emotion recognition, cross-subject generalization, contrastive learning, few-shot calibration, wearable EEG, leave-one-subject-out validation</w:t>
      </w:r>
    </w:p>
    <w:p>
      <w:pPr>
        <w:spacing w:after="200"/>
        <w:ind w:left="1700"/>
      </w:pPr>
      <w:r>
        <w:rPr>
          <w:rFonts w:ascii="Arial" w:cs="Arial" w:eastAsia="Arial" w:hAnsi="Arial"/>
          <w:sz w:val="16"/>
          <w:szCs w:val="16"/>
          <w:highlight w:val="yellow"/>
          <w:highlightCs w:val="yellow"/>
        </w:rPr>
        <w:t xml:space="preserve">[Drafting note – delete before submission: yellow text marks pending results or facts to verify. All values are recomputed at the participant level from the per-fold results in the project repository.]</w:t>
      </w:r>
    </w:p>
    <w:tbl>
      <w:tblPr>
        <w:tblW w:type="dxa" w:w="8046"/>
        <w:tblInd w:type="dxa" w:w="1700"/>
        <w:tblBorders>
          <w:top w:val="single" w:color="auto" w:sz="4"/>
          <w:left w:val="single" w:color="auto" w:sz="4"/>
          <w:bottom w:val="single" w:color="auto" w:sz="4"/>
          <w:right w:val="single" w:color="auto" w:sz="4"/>
          <w:insideH w:val="single" w:color="auto" w:sz="4"/>
          <w:insideV w:val="single" w:color="auto" w:sz="4"/>
        </w:tblBorders>
      </w:tblPr>
      <w:tblGrid>
        <w:gridCol w:w="8046"/>
      </w:tblGrid>
      <w:tr>
        <w:tc>
          <w:tcPr>
            <w:tcW w:type="dxa" w:w="8046"/>
            <w:tcBorders>
              <w:top w:val="single" w:color="7F7F7F" w:sz="6"/>
              <w:left w:val="single" w:color="7F7F7F" w:sz="6"/>
              <w:bottom w:val="single" w:color="7F7F7F" w:sz="6"/>
              <w:right w:val="single" w:color="7F7F7F" w:sz="6"/>
            </w:tcBorders>
            <w:shd w:fill="F2F2F2" w:color="auto" w:val="clear"/>
            <w:tcMar>
              <w:top w:type="dxa" w:w="140"/>
              <w:left w:type="dxa" w:w="180"/>
              <w:bottom w:type="dxa" w:w="140"/>
              <w:right w:type="dxa" w:w="180"/>
            </w:tcMar>
          </w:tcPr>
          <w:p>
            <w:pPr>
              <w:spacing w:after="100"/>
            </w:pPr>
            <w:r>
              <w:rPr>
                <w:rFonts w:ascii="Arial" w:cs="Arial" w:eastAsia="Arial" w:hAnsi="Arial"/>
                <w:b/>
                <w:bCs/>
                <w:sz w:val="22"/>
                <w:szCs w:val="22"/>
              </w:rPr>
              <w:t xml:space="preserve">Research in context</w:t>
            </w:r>
          </w:p>
          <w:p>
            <w:pPr>
              <w:spacing w:after="40" w:before="80"/>
            </w:pPr>
            <w:r>
              <w:rPr>
                <w:rFonts w:ascii="Arial" w:cs="Arial" w:eastAsia="Arial" w:hAnsi="Arial"/>
                <w:b/>
                <w:bCs/>
                <w:sz w:val="19"/>
                <w:szCs w:val="19"/>
              </w:rPr>
              <w:t xml:space="preserve">Evidence before this study</w:t>
            </w:r>
          </w:p>
          <w:p>
            <w:pPr>
              <w:spacing w:after="60" w:line="240"/>
              <w:jc w:val="both"/>
            </w:pPr>
            <w:r>
              <w:rPr>
                <w:rFonts w:ascii="Times New Roman" w:cs="Times New Roman" w:eastAsia="Times New Roman" w:hAnsi="Times New Roman"/>
                <w:sz w:val="18"/>
                <w:szCs w:val="18"/>
              </w:rPr>
              <w:t xml:space="preserve">We reviewed studies of cross-participant (subject-independent) EEG emotion recognition indexed in IEEE Xplore, PubMed and Google Scholar, focusing on the SEED, SEED-IV, SEED-V, DEAP, DREAMER and FACED benchmarks and on domain-adaptation, contrastive and reduced-electrode methods </w:t>
            </w:r>
            <w:r>
              <w:rPr>
                <w:rFonts w:ascii="Times New Roman" w:cs="Times New Roman" w:eastAsia="Times New Roman" w:hAnsi="Times New Roman"/>
                <w:sz w:val="18"/>
                <w:szCs w:val="18"/>
                <w:highlight w:val="yellow"/>
                <w:highlightCs w:val="yellow"/>
              </w:rPr>
              <w:t xml:space="preserve">[document search dates, terms and the number of records screened]</w:t>
            </w:r>
            <w:r>
              <w:rPr>
                <w:rFonts w:ascii="Times New Roman" w:cs="Times New Roman" w:eastAsia="Times New Roman" w:hAnsi="Times New Roman"/>
                <w:sz w:val="18"/>
                <w:szCs w:val="18"/>
              </w:rPr>
              <w:t xml:space="preserve">. Reported four-class SEED-IV accuracies ranged from about 59% to above 80%, but studies differed in whether unlabelled or labelled data from the test participant were used, in how windows were split, and in whether a participant mean or a best fold was reported. We found no study that, under one protocol, separated zero-shot from calibrated performance across classical, supervised, self-supervised, adversarial and semi-supervised models, or that quantified the cost of reducing a research montage to a wearable-compatible electrode subset with participant-level uncertainty.</w:t>
            </w:r>
          </w:p>
          <w:p>
            <w:pPr>
              <w:spacing w:after="40" w:before="80"/>
            </w:pPr>
            <w:r>
              <w:rPr>
                <w:rFonts w:ascii="Arial" w:cs="Arial" w:eastAsia="Arial" w:hAnsi="Arial"/>
                <w:b/>
                <w:bCs/>
                <w:sz w:val="19"/>
                <w:szCs w:val="19"/>
              </w:rPr>
              <w:t xml:space="preserve">Added value of this study</w:t>
            </w:r>
          </w:p>
          <w:p>
            <w:pPr>
              <w:spacing w:after="60" w:line="240"/>
              <w:jc w:val="both"/>
            </w:pPr>
            <w:r>
              <w:rPr>
                <w:rFonts w:ascii="Times New Roman" w:cs="Times New Roman" w:eastAsia="Times New Roman" w:hAnsi="Times New Roman"/>
                <w:sz w:val="18"/>
                <w:szCs w:val="18"/>
              </w:rPr>
              <w:t xml:space="preserve">In a benchmark of 26 models with 45 leave-one-participant-out runs each, zero-shot four-class accuracy was modest and no deep model was meaningfully better than a two-layer perceptron (equivalent within ±3 percentage points). Calibration with about 80 s of labelled data raised accuracy by 16–21 points for contrastive, adversarial and pseudo-label models but by at most 2 points for supervised networks, and made the ranking of models consistent across participants. A six-electrode frontal–temporal montage retained 91% of calibrated full-montage accuracy. These findings were robust in mixed-effects, jackknife, seed-wise, balanced-accuracy and equivalence analyses, and all per-fold outputs are openly available.</w:t>
            </w:r>
          </w:p>
          <w:p>
            <w:pPr>
              <w:spacing w:after="40" w:before="80"/>
            </w:pPr>
            <w:r>
              <w:rPr>
                <w:rFonts w:ascii="Arial" w:cs="Arial" w:eastAsia="Arial" w:hAnsi="Arial"/>
                <w:b/>
                <w:bCs/>
                <w:sz w:val="19"/>
                <w:szCs w:val="19"/>
              </w:rPr>
              <w:t xml:space="preserve">Implications of all the available evidence</w:t>
            </w:r>
          </w:p>
          <w:p>
            <w:pPr>
              <w:spacing w:after="60" w:line="240"/>
              <w:jc w:val="both"/>
            </w:pPr>
            <w:r>
              <w:rPr>
                <w:rFonts w:ascii="Times New Roman" w:cs="Times New Roman" w:eastAsia="Times New Roman" w:hAnsi="Times New Roman"/>
                <w:sz w:val="18"/>
                <w:szCs w:val="18"/>
              </w:rPr>
              <w:t xml:space="preserve">Claims that a new architecture solves cross-participant EEG emotion recognition should be read alongside whether, and how much, labelled data from the new user were used. Brief user calibration appears to be the main lever for practical systems, and low-density headsets look viable under calibration. External validation in independent and more diverse cohorts, real wearable recordings and calibration protocols that keep calibration and test trials separate are needed before deployment in consumer or clinical settings.</w:t>
            </w:r>
          </w:p>
        </w:tc>
      </w:tr>
    </w:tbl>
    <w:p>
      <w:pPr>
        <w:pStyle w:val="Heading1"/>
        <w:keepNext/>
        <w:spacing w:after="40" w:before="300"/>
        <w:ind w:left="1700"/>
      </w:pPr>
      <w:r>
        <w:rPr>
          <w:rFonts w:ascii="Arial" w:cs="Arial" w:eastAsia="Arial" w:hAnsi="Arial"/>
          <w:b/>
          <w:bCs/>
          <w:color w:val="000000"/>
          <w:sz w:val="26"/>
          <w:szCs w:val="26"/>
        </w:rPr>
        <w:t xml:space="preserve">1 Introduction</w:t>
      </w:r>
    </w:p>
    <w:p>
      <w:pPr>
        <w:spacing w:after="0" w:line="252"/>
        <w:ind w:left="1700" w:firstLine="0"/>
        <w:jc w:val="both"/>
      </w:pPr>
      <w:r>
        <w:rPr>
          <w:rFonts w:ascii="Times New Roman" w:cs="Times New Roman" w:eastAsia="Times New Roman" w:hAnsi="Times New Roman"/>
          <w:sz w:val="20"/>
          <w:szCs w:val="20"/>
        </w:rPr>
        <w:t xml:space="preserve">Interest in objective affect sensing is driven by applications that range from adaptive human–computer interaction and neurofeedback to the continuous monitoring of mood in digital mental health, where self-report is intermittent and subject to recall bias. For such applications to be useful, a decoder must work reliably for a new user from the first session, with a headset that can be worn outside the laboratory and with minimal set-up. These practical requirements translate into two technical ones: generalisation across people and robustness to a reduced electrode montage.</w:t>
      </w:r>
    </w:p>
    <w:p>
      <w:pPr>
        <w:spacing w:after="0" w:line="252"/>
        <w:ind w:left="1700" w:firstLine="240"/>
        <w:jc w:val="both"/>
      </w:pPr>
      <w:r>
        <w:rPr>
          <w:rFonts w:ascii="Times New Roman" w:cs="Times New Roman" w:eastAsia="Times New Roman" w:hAnsi="Times New Roman"/>
          <w:sz w:val="20"/>
          <w:szCs w:val="20"/>
        </w:rPr>
        <w:t xml:space="preserve">Emotional states shape attention, decision making and mental health, and objective markers of emotion could support adaptive human–computer interaction, neurofeedback and digital mental-health monitoring</w:t>
      </w:r>
      <w:r>
        <w:rPr>
          <w:rFonts w:ascii="Times New Roman" w:cs="Times New Roman" w:eastAsia="Times New Roman" w:hAnsi="Times New Roman"/>
          <w:color w:val="1F4E9A"/>
          <w:sz w:val="20"/>
          <w:szCs w:val="20"/>
          <w:vertAlign w:val="superscript"/>
        </w:rPr>
        <w:t xml:space="preserve">1,2</w:t>
      </w:r>
      <w:r>
        <w:rPr>
          <w:rFonts w:ascii="Times New Roman" w:cs="Times New Roman" w:eastAsia="Times New Roman" w:hAnsi="Times New Roman"/>
          <w:sz w:val="20"/>
          <w:szCs w:val="20"/>
        </w:rPr>
        <w:t xml:space="preserve">. Electroencephalography (EEG) is portable, inexpensive and has millisecond resolution, which makes it the most practical neural signal for everyday affect sensing</w:t>
      </w:r>
      <w:r>
        <w:rPr>
          <w:rFonts w:ascii="Times New Roman" w:cs="Times New Roman" w:eastAsia="Times New Roman" w:hAnsi="Times New Roman"/>
          <w:color w:val="1F4E9A"/>
          <w:sz w:val="20"/>
          <w:szCs w:val="20"/>
          <w:vertAlign w:val="superscript"/>
        </w:rPr>
        <w:t xml:space="preserve">3,4</w:t>
      </w:r>
      <w:r>
        <w:rPr>
          <w:rFonts w:ascii="Times New Roman" w:cs="Times New Roman" w:eastAsia="Times New Roman" w:hAnsi="Times New Roman"/>
          <w:sz w:val="20"/>
          <w:szCs w:val="20"/>
        </w:rPr>
        <w:t xml:space="preserve">. Two obstacles separate laboratory results from use. First, a deployed decoder must work for a person whose data were never used in training, but EEG responses to the same stimulus differ markedly between individuals because of anatomy, electrode contact, baseline rhythms and appraisal</w:t>
      </w:r>
      <w:r>
        <w:rPr>
          <w:rFonts w:ascii="Times New Roman" w:cs="Times New Roman" w:eastAsia="Times New Roman" w:hAnsi="Times New Roman"/>
          <w:color w:val="1F4E9A"/>
          <w:sz w:val="20"/>
          <w:szCs w:val="20"/>
          <w:vertAlign w:val="superscript"/>
        </w:rPr>
        <w:t xml:space="preserve">5–7</w:t>
      </w:r>
      <w:r>
        <w:rPr>
          <w:rFonts w:ascii="Times New Roman" w:cs="Times New Roman" w:eastAsia="Times New Roman" w:hAnsi="Times New Roman"/>
          <w:sz w:val="20"/>
          <w:szCs w:val="20"/>
        </w:rPr>
        <w:t xml:space="preserve">. Second, research datasets are recorded with 32–64 electrodes, whereas wearable headsets carry far fewer.</w:t>
      </w:r>
    </w:p>
    <w:p>
      <w:pPr>
        <w:spacing w:after="0" w:line="252"/>
        <w:ind w:left="1700" w:firstLine="240"/>
        <w:jc w:val="both"/>
      </w:pPr>
      <w:r>
        <w:rPr>
          <w:rFonts w:ascii="Times New Roman" w:cs="Times New Roman" w:eastAsia="Times New Roman" w:hAnsi="Times New Roman"/>
          <w:sz w:val="20"/>
          <w:szCs w:val="20"/>
        </w:rPr>
        <w:t xml:space="preserve">Many methods target the first obstacle, including domain-adversarial networks</w:t>
      </w:r>
      <w:r>
        <w:rPr>
          <w:rFonts w:ascii="Times New Roman" w:cs="Times New Roman" w:eastAsia="Times New Roman" w:hAnsi="Times New Roman"/>
          <w:color w:val="1F4E9A"/>
          <w:sz w:val="20"/>
          <w:szCs w:val="20"/>
          <w:vertAlign w:val="superscript"/>
        </w:rPr>
        <w:t xml:space="preserve">6,8</w:t>
      </w:r>
      <w:r>
        <w:rPr>
          <w:rFonts w:ascii="Times New Roman" w:cs="Times New Roman" w:eastAsia="Times New Roman" w:hAnsi="Times New Roman"/>
          <w:sz w:val="20"/>
          <w:szCs w:val="20"/>
        </w:rPr>
        <w:t xml:space="preserve">, hemispheric-asymmetry models</w:t>
      </w:r>
      <w:r>
        <w:rPr>
          <w:rFonts w:ascii="Times New Roman" w:cs="Times New Roman" w:eastAsia="Times New Roman" w:hAnsi="Times New Roman"/>
          <w:color w:val="1F4E9A"/>
          <w:sz w:val="20"/>
          <w:szCs w:val="20"/>
          <w:vertAlign w:val="superscript"/>
        </w:rPr>
        <w:t xml:space="preserve">9</w:t>
      </w:r>
      <w:r>
        <w:rPr>
          <w:rFonts w:ascii="Times New Roman" w:cs="Times New Roman" w:eastAsia="Times New Roman" w:hAnsi="Times New Roman"/>
          <w:sz w:val="20"/>
          <w:szCs w:val="20"/>
        </w:rPr>
        <w:t xml:space="preserve">, graph neural networks</w:t>
      </w:r>
      <w:r>
        <w:rPr>
          <w:rFonts w:ascii="Times New Roman" w:cs="Times New Roman" w:eastAsia="Times New Roman" w:hAnsi="Times New Roman"/>
          <w:color w:val="1F4E9A"/>
          <w:sz w:val="20"/>
          <w:szCs w:val="20"/>
          <w:vertAlign w:val="superscript"/>
        </w:rPr>
        <w:t xml:space="preserve">10–12</w:t>
      </w:r>
      <w:r>
        <w:rPr>
          <w:rFonts w:ascii="Times New Roman" w:cs="Times New Roman" w:eastAsia="Times New Roman" w:hAnsi="Times New Roman"/>
          <w:sz w:val="20"/>
          <w:szCs w:val="20"/>
        </w:rPr>
        <w:t xml:space="preserve"> and contrastive learning designed to make representations participant-invariant</w:t>
      </w:r>
      <w:r>
        <w:rPr>
          <w:rFonts w:ascii="Times New Roman" w:cs="Times New Roman" w:eastAsia="Times New Roman" w:hAnsi="Times New Roman"/>
          <w:color w:val="1F4E9A"/>
          <w:sz w:val="20"/>
          <w:szCs w:val="20"/>
          <w:vertAlign w:val="superscript"/>
        </w:rPr>
        <w:t xml:space="preserve">5</w:t>
      </w:r>
      <w:r>
        <w:rPr>
          <w:rFonts w:ascii="Times New Roman" w:cs="Times New Roman" w:eastAsia="Times New Roman" w:hAnsi="Times New Roman"/>
          <w:sz w:val="20"/>
          <w:szCs w:val="20"/>
        </w:rPr>
        <w:t xml:space="preserve">. Reported cross-participant accuracies on SEED and SEED-IV range from about 53% to above 80%</w:t>
      </w:r>
      <w:r>
        <w:rPr>
          <w:rFonts w:ascii="Times New Roman" w:cs="Times New Roman" w:eastAsia="Times New Roman" w:hAnsi="Times New Roman"/>
          <w:color w:val="1F4E9A"/>
          <w:sz w:val="20"/>
          <w:szCs w:val="20"/>
          <w:vertAlign w:val="superscript"/>
        </w:rPr>
        <w:t xml:space="preserve">7–15</w:t>
      </w:r>
      <w:r>
        <w:rPr>
          <w:rFonts w:ascii="Times New Roman" w:cs="Times New Roman" w:eastAsia="Times New Roman" w:hAnsi="Times New Roman"/>
          <w:sz w:val="20"/>
          <w:szCs w:val="20"/>
        </w:rPr>
        <w:t xml:space="preserve">. These values are rarely comparable. Studies differ in whether unlabelled EEG from the test participant is used during training (transductive adaptation), whether a few labelled test-participant samples are used to adapt the model (calibration), how windows are split, and whether the reported figure is a mean over participants or a best fold. Splitting matters because features from adjacent windows of the same trial are strongly correlated, so any overlap between fitting and testing data inflates accuracy</w:t>
      </w:r>
      <w:r>
        <w:rPr>
          <w:rFonts w:ascii="Times New Roman" w:cs="Times New Roman" w:eastAsia="Times New Roman" w:hAnsi="Times New Roman"/>
          <w:color w:val="1F4E9A"/>
          <w:sz w:val="20"/>
          <w:szCs w:val="20"/>
          <w:vertAlign w:val="superscript"/>
        </w:rPr>
        <w:t xml:space="preserve">16–18</w:t>
      </w:r>
      <w:r>
        <w:rPr>
          <w:rFonts w:ascii="Times New Roman" w:cs="Times New Roman" w:eastAsia="Times New Roman" w:hAnsi="Times New Roman"/>
          <w:sz w:val="20"/>
          <w:szCs w:val="20"/>
        </w:rPr>
        <w:t xml:space="preserve">.</w:t>
      </w:r>
    </w:p>
    <w:p>
      <w:pPr>
        <w:spacing w:after="0" w:line="252"/>
        <w:ind w:left="1700" w:firstLine="240"/>
        <w:jc w:val="both"/>
      </w:pPr>
      <w:r>
        <w:rPr>
          <w:rFonts w:ascii="Times New Roman" w:cs="Times New Roman" w:eastAsia="Times New Roman" w:hAnsi="Times New Roman"/>
          <w:sz w:val="20"/>
          <w:szCs w:val="20"/>
        </w:rPr>
        <w:t xml:space="preserve">We therefore asked three questions under a single, fully reported protocol. How well do classical, supervised, self-supervised, adversarial and semi-supervised models decode four emotions in unseen participants without any target data? How much does brief labelled calibration change this picture, and does the effect depend on the training objective? How much performance is lost when a 62-electrode research montage is reduced to six frontal–temporal electrodes compatible with a headband-style wearable?</w:t>
      </w:r>
    </w:p>
    <w:p>
      <w:pPr>
        <w:spacing w:after="0" w:line="252"/>
        <w:ind w:left="1700" w:firstLine="240"/>
        <w:jc w:val="both"/>
      </w:pPr>
      <w:r>
        <w:rPr>
          <w:rFonts w:ascii="Times New Roman" w:cs="Times New Roman" w:eastAsia="Times New Roman" w:hAnsi="Times New Roman"/>
          <w:sz w:val="20"/>
          <w:szCs w:val="20"/>
        </w:rPr>
        <w:t xml:space="preserve">We evaluated three hypotheses. First, that under strict zero-shot evaluation, representation-learning models would not substantially outperform simple supervised baselines. Second, that a short labelled calibration would benefit models trained with contrastive, adversarial or pseudo-label objectives more than purely supervised networks. Third, that a six-electrode frontal–temporal montage would retain most of the calibrated performance of the full 62-electrode montage.</w:t>
      </w:r>
    </w:p>
    <w:p>
      <w:pPr>
        <w:spacing w:after="0" w:line="252"/>
        <w:ind w:left="1700" w:firstLine="240"/>
        <w:jc w:val="both"/>
      </w:pPr>
      <w:r>
        <w:rPr>
          <w:rFonts w:ascii="Times New Roman" w:cs="Times New Roman" w:eastAsia="Times New Roman" w:hAnsi="Times New Roman"/>
          <w:sz w:val="20"/>
          <w:szCs w:val="20"/>
        </w:rPr>
        <w:t xml:space="preserve">This work addresses these gaps through a controlled benchmark with a rigorous, participant-level evaluation. The main contributions of this research are:</w:t>
      </w:r>
    </w:p>
    <w:p>
      <w:pPr>
        <w:pStyle w:val="ListParagraph"/>
        <w:numPr>
          <w:ilvl w:val="0"/>
          <w:numId w:val="2"/>
        </w:numPr>
        <w:spacing w:after="60" w:before="60" w:line="252"/>
        <w:jc w:val="both"/>
      </w:pPr>
      <w:r>
        <w:rPr>
          <w:rFonts w:ascii="Times New Roman" w:cs="Times New Roman" w:eastAsia="Times New Roman" w:hAnsi="Times New Roman"/>
          <w:i/>
          <w:iCs/>
          <w:sz w:val="20"/>
          <w:szCs w:val="20"/>
        </w:rPr>
        <w:t xml:space="preserve">Controlled cross-participant benchmark</w:t>
      </w:r>
      <w:r>
        <w:rPr>
          <w:rFonts w:ascii="Times New Roman" w:cs="Times New Roman" w:eastAsia="Times New Roman" w:hAnsi="Times New Roman"/>
          <w:sz w:val="20"/>
          <w:szCs w:val="20"/>
        </w:rPr>
        <w:t xml:space="preserve">: Ten classical and 16 deep models are evaluated on SEED-IV under the same repeated leave-one-participant-out protocol, giving 45 runs per model and electrode montage, with all per-fold outputs released.</w:t>
      </w:r>
    </w:p>
    <w:p>
      <w:pPr>
        <w:pStyle w:val="ListParagraph"/>
        <w:numPr>
          <w:ilvl w:val="0"/>
          <w:numId w:val="2"/>
        </w:numPr>
        <w:spacing w:after="60" w:before="60" w:line="252"/>
        <w:jc w:val="both"/>
      </w:pPr>
      <w:r>
        <w:rPr>
          <w:rFonts w:ascii="Times New Roman" w:cs="Times New Roman" w:eastAsia="Times New Roman" w:hAnsi="Times New Roman"/>
          <w:i/>
          <w:iCs/>
          <w:sz w:val="20"/>
          <w:szCs w:val="20"/>
        </w:rPr>
        <w:t xml:space="preserve">Zero-shot versus calibrated evaluation</w:t>
      </w:r>
      <w:r>
        <w:rPr>
          <w:rFonts w:ascii="Times New Roman" w:cs="Times New Roman" w:eastAsia="Times New Roman" w:hAnsi="Times New Roman"/>
          <w:sz w:val="20"/>
          <w:szCs w:val="20"/>
        </w:rPr>
        <w:t xml:space="preserve">: Every held-out participant is scored without any of their data and after calibration with 20 labelled windows, showing that the advantage of representation-learning objectives appears mainly after calibration.</w:t>
      </w:r>
    </w:p>
    <w:p>
      <w:pPr>
        <w:pStyle w:val="ListParagraph"/>
        <w:numPr>
          <w:ilvl w:val="0"/>
          <w:numId w:val="2"/>
        </w:numPr>
        <w:spacing w:after="60" w:before="60" w:line="252"/>
        <w:jc w:val="both"/>
      </w:pPr>
      <w:r>
        <w:rPr>
          <w:rFonts w:ascii="Times New Roman" w:cs="Times New Roman" w:eastAsia="Times New Roman" w:hAnsi="Times New Roman"/>
          <w:i/>
          <w:iCs/>
          <w:sz w:val="20"/>
          <w:szCs w:val="20"/>
        </w:rPr>
        <w:t xml:space="preserve">Wearable electrode reduction</w:t>
      </w:r>
      <w:r>
        <w:rPr>
          <w:rFonts w:ascii="Times New Roman" w:cs="Times New Roman" w:eastAsia="Times New Roman" w:hAnsi="Times New Roman"/>
          <w:sz w:val="20"/>
          <w:szCs w:val="20"/>
        </w:rPr>
        <w:t xml:space="preserve">: The same models are evaluated with a 62-electrode montage and a six-electrode frontal–temporal subset (FP1, FP2, F7, F8, T7, T8), and the retained performance is quantified at the participant level.</w:t>
      </w:r>
    </w:p>
    <w:p>
      <w:pPr>
        <w:pStyle w:val="ListParagraph"/>
        <w:numPr>
          <w:ilvl w:val="0"/>
          <w:numId w:val="2"/>
        </w:numPr>
        <w:spacing w:after="60" w:before="60" w:line="252"/>
        <w:jc w:val="both"/>
      </w:pPr>
      <w:r>
        <w:rPr>
          <w:rFonts w:ascii="Times New Roman" w:cs="Times New Roman" w:eastAsia="Times New Roman" w:hAnsi="Times New Roman"/>
          <w:i/>
          <w:iCs/>
          <w:sz w:val="20"/>
          <w:szCs w:val="20"/>
        </w:rPr>
        <w:t xml:space="preserve">Rigorous statistics and interpretation</w:t>
      </w:r>
      <w:r>
        <w:rPr>
          <w:rFonts w:ascii="Times New Roman" w:cs="Times New Roman" w:eastAsia="Times New Roman" w:hAnsi="Times New Roman"/>
          <w:sz w:val="20"/>
          <w:szCs w:val="20"/>
        </w:rPr>
        <w:t xml:space="preserve">: Participant-level bootstrap confidence intervals and paired Wilcoxon tests with Holm correction are complemented by class-level, representation-geometry and attribution analyses and a software prototype for wearable use.</w:t>
      </w:r>
    </w:p>
    <w:p>
      <w:pPr>
        <w:spacing w:after="0" w:line="252"/>
        <w:ind w:left="1700" w:firstLine="240"/>
        <w:jc w:val="both"/>
      </w:pPr>
      <w:r>
        <w:rPr>
          <w:rFonts w:ascii="Times New Roman" w:cs="Times New Roman" w:eastAsia="Times New Roman" w:hAnsi="Times New Roman"/>
          <w:sz w:val="20"/>
          <w:szCs w:val="20"/>
        </w:rPr>
        <w:t xml:space="preserve">The remainder of this paper is organized as follows. Section 2 reviews the literature on cross-participant and reduced-electrode EEG emotion recognition. Section 3 describes the materials and methods: the data, preprocessing and augmentation, the evaluation protocol, the baseline and proposed models, the training algorithm, the evaluation metrics and the statistical analysis. Section 4 presents and discusses the results, including their implications and limitations. Section 5 concludes the paper and outlines future work.</w:t>
      </w:r>
    </w:p>
    <w:p>
      <w:pPr>
        <w:pStyle w:val="Heading1"/>
        <w:keepNext/>
        <w:spacing w:after="40" w:before="300"/>
        <w:ind w:left="1700"/>
      </w:pPr>
      <w:r>
        <w:rPr>
          <w:rFonts w:ascii="Arial" w:cs="Arial" w:eastAsia="Arial" w:hAnsi="Arial"/>
          <w:b/>
          <w:bCs/>
          <w:color w:val="000000"/>
          <w:sz w:val="26"/>
          <w:szCs w:val="26"/>
        </w:rPr>
        <w:t xml:space="preserve">2 Literature Review</w:t>
      </w:r>
    </w:p>
    <w:p>
      <w:pPr>
        <w:spacing w:after="0" w:line="252"/>
        <w:ind w:left="1700" w:firstLine="0"/>
        <w:jc w:val="both"/>
      </w:pPr>
      <w:r>
        <w:rPr>
          <w:rFonts w:ascii="Times New Roman" w:cs="Times New Roman" w:eastAsia="Times New Roman" w:hAnsi="Times New Roman"/>
          <w:sz w:val="20"/>
          <w:szCs w:val="20"/>
        </w:rPr>
        <w:t xml:space="preserve">This section reviews the work on which the present study builds. It moves from the psychological and neurophysiological basis of emotion recognition, through datasets, features and deep architectures, to the transfer-learning, self-supervised and evaluation practices that determine whether a decoder generalises to new people, and finally to reduced-electrode and wearable EEG. Reported results are summarised in Table 1, the main method families are contrasted in Table 2, and the section closes with the research gap addressed by this study.</w:t>
      </w:r>
    </w:p>
    <w:p>
      <w:pPr>
        <w:spacing w:before="2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34"/>
        <w:gridCol w:w="2131"/>
        <w:gridCol w:w="3148"/>
        <w:gridCol w:w="2133"/>
      </w:tblGrid>
      <w:tr>
        <w:trPr>
          <w:tblHeader/>
        </w:trPr>
        <w:tc>
          <w:tcPr>
            <w:tcW w:type="dxa" w:w="2334"/>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7"/>
                <w:szCs w:val="17"/>
              </w:rPr>
              <w:t xml:space="preserve">Study</w:t>
            </w:r>
          </w:p>
        </w:tc>
        <w:tc>
          <w:tcPr>
            <w:tcW w:type="dxa" w:w="2131"/>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7"/>
                <w:szCs w:val="17"/>
              </w:rPr>
              <w:t xml:space="preserve">Dataset(s)</w:t>
            </w:r>
          </w:p>
        </w:tc>
        <w:tc>
          <w:tcPr>
            <w:tcW w:type="dxa" w:w="3148"/>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7"/>
                <w:szCs w:val="17"/>
              </w:rPr>
              <w:t xml:space="preserve">Approach</w:t>
            </w:r>
          </w:p>
        </w:tc>
        <w:tc>
          <w:tcPr>
            <w:tcW w:type="dxa" w:w="2133"/>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7"/>
                <w:szCs w:val="17"/>
              </w:rPr>
              <w:t xml:space="preserve">Reported accuracy</w:t>
            </w:r>
          </w:p>
        </w:tc>
      </w:tr>
      <w:tr>
        <w:trPr>
          <w:cantSplit/>
        </w:trPr>
        <w:tc>
          <w:tcPr>
            <w:tcW w:type="dxa" w:w="233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DGCNN</w:t>
            </w:r>
            <w:r>
              <w:rPr>
                <w:rFonts w:ascii="Times New Roman" w:cs="Times New Roman" w:eastAsia="Times New Roman" w:hAnsi="Times New Roman"/>
                <w:color w:val="1F4E9A"/>
                <w:sz w:val="17"/>
                <w:szCs w:val="17"/>
                <w:vertAlign w:val="superscript"/>
              </w:rPr>
              <w:t xml:space="preserve">10</w:t>
            </w:r>
          </w:p>
        </w:tc>
        <w:tc>
          <w:tcPr>
            <w:tcW w:type="dxa" w:w="2131"/>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SEED, DREAMER</w:t>
            </w:r>
          </w:p>
        </w:tc>
        <w:tc>
          <w:tcPr>
            <w:tcW w:type="dxa" w:w="3148"/>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Graph convolution with learned adjacency</w:t>
            </w:r>
          </w:p>
        </w:tc>
        <w:tc>
          <w:tcPr>
            <w:tcW w:type="dxa" w:w="21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52.82%</w:t>
            </w:r>
          </w:p>
        </w:tc>
      </w:tr>
      <w:tr>
        <w:trPr>
          <w:cantSplit/>
        </w:trPr>
        <w:tc>
          <w:tcPr>
            <w:tcW w:type="dxa" w:w="233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DAN</w:t>
            </w:r>
            <w:r>
              <w:rPr>
                <w:rFonts w:ascii="Times New Roman" w:cs="Times New Roman" w:eastAsia="Times New Roman" w:hAnsi="Times New Roman"/>
                <w:color w:val="1F4E9A"/>
                <w:sz w:val="17"/>
                <w:szCs w:val="17"/>
                <w:vertAlign w:val="superscript"/>
              </w:rPr>
              <w:t xml:space="preserve">7</w:t>
            </w:r>
          </w:p>
        </w:tc>
        <w:tc>
          <w:tcPr>
            <w:tcW w:type="dxa" w:w="2131"/>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SEED, SEED-IV</w:t>
            </w:r>
          </w:p>
        </w:tc>
        <w:tc>
          <w:tcPr>
            <w:tcW w:type="dxa" w:w="3148"/>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Maximum mean discrepancy adaptation</w:t>
            </w:r>
          </w:p>
        </w:tc>
        <w:tc>
          <w:tcPr>
            <w:tcW w:type="dxa" w:w="21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58.87%</w:t>
            </w:r>
          </w:p>
        </w:tc>
      </w:tr>
      <w:tr>
        <w:trPr>
          <w:cantSplit/>
        </w:trPr>
        <w:tc>
          <w:tcPr>
            <w:tcW w:type="dxa" w:w="233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BiDANN</w:t>
            </w:r>
            <w:r>
              <w:rPr>
                <w:rFonts w:ascii="Times New Roman" w:cs="Times New Roman" w:eastAsia="Times New Roman" w:hAnsi="Times New Roman"/>
                <w:color w:val="1F4E9A"/>
                <w:sz w:val="17"/>
                <w:szCs w:val="17"/>
                <w:vertAlign w:val="superscript"/>
              </w:rPr>
              <w:t xml:space="preserve">8</w:t>
            </w:r>
          </w:p>
        </w:tc>
        <w:tc>
          <w:tcPr>
            <w:tcW w:type="dxa" w:w="2131"/>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SEED, SEED-IV</w:t>
            </w:r>
          </w:p>
        </w:tc>
        <w:tc>
          <w:tcPr>
            <w:tcW w:type="dxa" w:w="3148"/>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Bi-hemispheric adversarial adaptation</w:t>
            </w:r>
          </w:p>
        </w:tc>
        <w:tc>
          <w:tcPr>
            <w:tcW w:type="dxa" w:w="21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65.59%</w:t>
            </w:r>
          </w:p>
        </w:tc>
      </w:tr>
      <w:tr>
        <w:trPr>
          <w:cantSplit/>
        </w:trPr>
        <w:tc>
          <w:tcPr>
            <w:tcW w:type="dxa" w:w="233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BiHDM</w:t>
            </w:r>
            <w:r>
              <w:rPr>
                <w:rFonts w:ascii="Times New Roman" w:cs="Times New Roman" w:eastAsia="Times New Roman" w:hAnsi="Times New Roman"/>
                <w:color w:val="1F4E9A"/>
                <w:sz w:val="17"/>
                <w:szCs w:val="17"/>
                <w:vertAlign w:val="superscript"/>
              </w:rPr>
              <w:t xml:space="preserve">9</w:t>
            </w:r>
          </w:p>
        </w:tc>
        <w:tc>
          <w:tcPr>
            <w:tcW w:type="dxa" w:w="2131"/>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SEED, SEED-IV, MPED</w:t>
            </w:r>
          </w:p>
        </w:tc>
        <w:tc>
          <w:tcPr>
            <w:tcW w:type="dxa" w:w="3148"/>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Hemispheric discrepancy modelling</w:t>
            </w:r>
          </w:p>
        </w:tc>
        <w:tc>
          <w:tcPr>
            <w:tcW w:type="dxa" w:w="21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69.03%</w:t>
            </w:r>
          </w:p>
        </w:tc>
      </w:tr>
      <w:tr>
        <w:trPr>
          <w:cantSplit/>
        </w:trPr>
        <w:tc>
          <w:tcPr>
            <w:tcW w:type="dxa" w:w="233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RGNN</w:t>
            </w:r>
            <w:r>
              <w:rPr>
                <w:rFonts w:ascii="Times New Roman" w:cs="Times New Roman" w:eastAsia="Times New Roman" w:hAnsi="Times New Roman"/>
                <w:color w:val="1F4E9A"/>
                <w:sz w:val="17"/>
                <w:szCs w:val="17"/>
                <w:vertAlign w:val="superscript"/>
              </w:rPr>
              <w:t xml:space="preserve">11</w:t>
            </w:r>
          </w:p>
        </w:tc>
        <w:tc>
          <w:tcPr>
            <w:tcW w:type="dxa" w:w="2131"/>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SEED, SEED-IV</w:t>
            </w:r>
          </w:p>
        </w:tc>
        <w:tc>
          <w:tcPr>
            <w:tcW w:type="dxa" w:w="3148"/>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Regularised graph neural network</w:t>
            </w:r>
          </w:p>
        </w:tc>
        <w:tc>
          <w:tcPr>
            <w:tcW w:type="dxa" w:w="21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73.84%</w:t>
            </w:r>
          </w:p>
        </w:tc>
      </w:tr>
      <w:tr>
        <w:trPr>
          <w:cantSplit/>
        </w:trPr>
        <w:tc>
          <w:tcPr>
            <w:tcW w:type="dxa" w:w="233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SOGNN</w:t>
            </w:r>
            <w:r>
              <w:rPr>
                <w:rFonts w:ascii="Times New Roman" w:cs="Times New Roman" w:eastAsia="Times New Roman" w:hAnsi="Times New Roman"/>
                <w:color w:val="1F4E9A"/>
                <w:sz w:val="17"/>
                <w:szCs w:val="17"/>
                <w:vertAlign w:val="superscript"/>
              </w:rPr>
              <w:t xml:space="preserve">12</w:t>
            </w:r>
          </w:p>
        </w:tc>
        <w:tc>
          <w:tcPr>
            <w:tcW w:type="dxa" w:w="2131"/>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SEED, SEED-IV</w:t>
            </w:r>
          </w:p>
        </w:tc>
        <w:tc>
          <w:tcPr>
            <w:tcW w:type="dxa" w:w="3148"/>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Self-organised graph neural network</w:t>
            </w:r>
          </w:p>
        </w:tc>
        <w:tc>
          <w:tcPr>
            <w:tcW w:type="dxa" w:w="21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75.27%</w:t>
            </w:r>
          </w:p>
        </w:tc>
      </w:tr>
      <w:tr>
        <w:trPr>
          <w:cantSplit/>
        </w:trPr>
        <w:tc>
          <w:tcPr>
            <w:tcW w:type="dxa" w:w="233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AttGraph</w:t>
            </w:r>
            <w:r>
              <w:rPr>
                <w:rFonts w:ascii="Times New Roman" w:cs="Times New Roman" w:eastAsia="Times New Roman" w:hAnsi="Times New Roman"/>
                <w:color w:val="1F4E9A"/>
                <w:sz w:val="17"/>
                <w:szCs w:val="17"/>
                <w:vertAlign w:val="superscript"/>
              </w:rPr>
              <w:t xml:space="preserve">14</w:t>
            </w:r>
          </w:p>
        </w:tc>
        <w:tc>
          <w:tcPr>
            <w:tcW w:type="dxa" w:w="2131"/>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SEED, SEED-IV</w:t>
            </w:r>
          </w:p>
        </w:tc>
        <w:tc>
          <w:tcPr>
            <w:tcW w:type="dxa" w:w="3148"/>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Multi-dimensional attention graph</w:t>
            </w:r>
          </w:p>
        </w:tc>
        <w:tc>
          <w:tcPr>
            <w:tcW w:type="dxa" w:w="21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78.36%</w:t>
            </w:r>
          </w:p>
        </w:tc>
      </w:tr>
      <w:tr>
        <w:trPr>
          <w:cantSplit/>
        </w:trPr>
        <w:tc>
          <w:tcPr>
            <w:tcW w:type="dxa" w:w="233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BFE-Net</w:t>
            </w:r>
            <w:r>
              <w:rPr>
                <w:rFonts w:ascii="Times New Roman" w:cs="Times New Roman" w:eastAsia="Times New Roman" w:hAnsi="Times New Roman"/>
                <w:color w:val="1F4E9A"/>
                <w:sz w:val="17"/>
                <w:szCs w:val="17"/>
                <w:vertAlign w:val="superscript"/>
              </w:rPr>
              <w:t xml:space="preserve">13</w:t>
            </w:r>
          </w:p>
        </w:tc>
        <w:tc>
          <w:tcPr>
            <w:tcW w:type="dxa" w:w="2131"/>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SEED, SEED-IV</w:t>
            </w:r>
          </w:p>
        </w:tc>
        <w:tc>
          <w:tcPr>
            <w:tcW w:type="dxa" w:w="3148"/>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Frequency-band graph construction</w:t>
            </w:r>
          </w:p>
        </w:tc>
        <w:tc>
          <w:tcPr>
            <w:tcW w:type="dxa" w:w="21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79.81%</w:t>
            </w:r>
          </w:p>
        </w:tc>
      </w:tr>
      <w:tr>
        <w:trPr>
          <w:cantSplit/>
        </w:trPr>
        <w:tc>
          <w:tcPr>
            <w:tcW w:type="dxa" w:w="233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SS-EMERGE</w:t>
            </w:r>
            <w:r>
              <w:rPr>
                <w:rFonts w:ascii="Times New Roman" w:cs="Times New Roman" w:eastAsia="Times New Roman" w:hAnsi="Times New Roman"/>
                <w:color w:val="1F4E9A"/>
                <w:sz w:val="17"/>
                <w:szCs w:val="17"/>
                <w:vertAlign w:val="superscript"/>
              </w:rPr>
              <w:t xml:space="preserve">15</w:t>
            </w:r>
          </w:p>
        </w:tc>
        <w:tc>
          <w:tcPr>
            <w:tcW w:type="dxa" w:w="2131"/>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SEED, SEED-IV</w:t>
            </w:r>
          </w:p>
        </w:tc>
        <w:tc>
          <w:tcPr>
            <w:tcW w:type="dxa" w:w="3148"/>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Self-supervised graph attention</w:t>
            </w:r>
          </w:p>
        </w:tc>
        <w:tc>
          <w:tcPr>
            <w:tcW w:type="dxa" w:w="21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81.51%</w:t>
            </w:r>
          </w:p>
        </w:tc>
      </w:tr>
      <w:tr>
        <w:trPr>
          <w:cantSplit/>
        </w:trPr>
        <w:tc>
          <w:tcPr>
            <w:tcW w:type="dxa" w:w="233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This study (CLISA-EWU)</w:t>
            </w:r>
          </w:p>
        </w:tc>
        <w:tc>
          <w:tcPr>
            <w:tcW w:type="dxa" w:w="2131"/>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SEED-IV</w:t>
            </w:r>
          </w:p>
        </w:tc>
        <w:tc>
          <w:tcPr>
            <w:tcW w:type="dxa" w:w="3148"/>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Two-stage contrastive pretraining</w:t>
            </w:r>
          </w:p>
        </w:tc>
        <w:tc>
          <w:tcPr>
            <w:tcW w:type="dxa" w:w="21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48.5% zero-shot; 67.8% calibrated</w:t>
            </w:r>
          </w:p>
        </w:tc>
      </w:tr>
    </w:tbl>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Table 1</w:t>
      </w:r>
      <w:r>
        <w:rPr>
          <w:rFonts w:ascii="Times New Roman" w:cs="Times New Roman" w:eastAsia="Times New Roman" w:hAnsi="Times New Roman"/>
          <w:sz w:val="19"/>
          <w:szCs w:val="19"/>
        </w:rPr>
        <w:t xml:space="preserve">. Cross-participant EEG emotion recognition results reported in the literature. Values are as reported and are not directly comparable, because datasets, features, splitting, use of target-participant data and reporting unit differ </w:t>
      </w:r>
      <w:r>
        <w:rPr>
          <w:rFonts w:ascii="Times New Roman" w:cs="Times New Roman" w:eastAsia="Times New Roman" w:hAnsi="Times New Roman"/>
          <w:sz w:val="19"/>
          <w:szCs w:val="19"/>
          <w:highlight w:val="yellow"/>
          <w:highlightCs w:val="yellow"/>
        </w:rPr>
        <w:t xml:space="preserve">[verify every value against the original paper]</w:t>
      </w:r>
      <w:r>
        <w:rPr>
          <w:rFonts w:ascii="Times New Roman" w:cs="Times New Roman" w:eastAsia="Times New Roman" w:hAnsi="Times New Roman"/>
          <w:sz w:val="19"/>
          <w:szCs w:val="19"/>
        </w:rPr>
        <w:t xml:space="preserve">.</w:t>
      </w:r>
    </w:p>
    <w:p>
      <w:pPr>
        <w:spacing w:before="2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44"/>
        <w:gridCol w:w="2923"/>
        <w:gridCol w:w="2144"/>
        <w:gridCol w:w="2535"/>
      </w:tblGrid>
      <w:tr>
        <w:trPr>
          <w:tblHeader/>
        </w:trPr>
        <w:tc>
          <w:tcPr>
            <w:tcW w:type="dxa" w:w="2144"/>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7"/>
                <w:szCs w:val="17"/>
              </w:rPr>
              <w:t xml:space="preserve">Family</w:t>
            </w:r>
          </w:p>
        </w:tc>
        <w:tc>
          <w:tcPr>
            <w:tcW w:type="dxa" w:w="2923"/>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7"/>
                <w:szCs w:val="17"/>
              </w:rPr>
              <w:t xml:space="preserve">Representative work</w:t>
            </w:r>
          </w:p>
        </w:tc>
        <w:tc>
          <w:tcPr>
            <w:tcW w:type="dxa" w:w="2144"/>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7"/>
                <w:szCs w:val="17"/>
              </w:rPr>
              <w:t xml:space="preserve">Target data typically used</w:t>
            </w:r>
          </w:p>
        </w:tc>
        <w:tc>
          <w:tcPr>
            <w:tcW w:type="dxa" w:w="2535"/>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7"/>
                <w:szCs w:val="17"/>
              </w:rPr>
              <w:t xml:space="preserve">Main limitation</w:t>
            </w:r>
          </w:p>
        </w:tc>
      </w:tr>
      <w:tr>
        <w:trPr>
          <w:cantSplit/>
        </w:trPr>
        <w:tc>
          <w:tcPr>
            <w:tcW w:type="dxa" w:w="214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Hand-crafted features + classical classifiers</w:t>
            </w:r>
          </w:p>
        </w:tc>
        <w:tc>
          <w:tcPr>
            <w:tcW w:type="dxa" w:w="292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DE features</w:t>
            </w:r>
            <w:r>
              <w:rPr>
                <w:rFonts w:ascii="Times New Roman" w:cs="Times New Roman" w:eastAsia="Times New Roman" w:hAnsi="Times New Roman"/>
                <w:color w:val="1F4E9A"/>
                <w:sz w:val="17"/>
                <w:szCs w:val="17"/>
                <w:vertAlign w:val="superscript"/>
              </w:rPr>
              <w:t xml:space="preserve">3,28</w:t>
            </w:r>
            <w:r>
              <w:rPr>
                <w:rFonts w:ascii="Times New Roman" w:cs="Times New Roman" w:eastAsia="Times New Roman" w:hAnsi="Times New Roman"/>
                <w:sz w:val="17"/>
                <w:szCs w:val="17"/>
              </w:rPr>
              <w:t xml:space="preserve">; feature surveys</w:t>
            </w:r>
            <w:r>
              <w:rPr>
                <w:rFonts w:ascii="Times New Roman" w:cs="Times New Roman" w:eastAsia="Times New Roman" w:hAnsi="Times New Roman"/>
                <w:color w:val="1F4E9A"/>
                <w:sz w:val="17"/>
                <w:szCs w:val="17"/>
                <w:vertAlign w:val="superscript"/>
              </w:rPr>
              <w:t xml:space="preserve">23</w:t>
            </w:r>
          </w:p>
        </w:tc>
        <w:tc>
          <w:tcPr>
            <w:tcW w:type="dxa" w:w="214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None (zero-shot)</w:t>
            </w:r>
          </w:p>
        </w:tc>
        <w:tc>
          <w:tcPr>
            <w:tcW w:type="dxa" w:w="253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Limited capacity to model inter-participant variability</w:t>
            </w:r>
          </w:p>
        </w:tc>
      </w:tr>
      <w:tr>
        <w:trPr>
          <w:cantSplit/>
        </w:trPr>
        <w:tc>
          <w:tcPr>
            <w:tcW w:type="dxa" w:w="214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Graph and attention networks</w:t>
            </w:r>
          </w:p>
        </w:tc>
        <w:tc>
          <w:tcPr>
            <w:tcW w:type="dxa" w:w="292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DGCNN</w:t>
            </w:r>
            <w:r>
              <w:rPr>
                <w:rFonts w:ascii="Times New Roman" w:cs="Times New Roman" w:eastAsia="Times New Roman" w:hAnsi="Times New Roman"/>
                <w:color w:val="1F4E9A"/>
                <w:sz w:val="17"/>
                <w:szCs w:val="17"/>
                <w:vertAlign w:val="superscript"/>
              </w:rPr>
              <w:t xml:space="preserve">10</w:t>
            </w:r>
            <w:r>
              <w:rPr>
                <w:rFonts w:ascii="Times New Roman" w:cs="Times New Roman" w:eastAsia="Times New Roman" w:hAnsi="Times New Roman"/>
                <w:sz w:val="17"/>
                <w:szCs w:val="17"/>
              </w:rPr>
              <w:t xml:space="preserve">, RGNN</w:t>
            </w:r>
            <w:r>
              <w:rPr>
                <w:rFonts w:ascii="Times New Roman" w:cs="Times New Roman" w:eastAsia="Times New Roman" w:hAnsi="Times New Roman"/>
                <w:color w:val="1F4E9A"/>
                <w:sz w:val="17"/>
                <w:szCs w:val="17"/>
                <w:vertAlign w:val="superscript"/>
              </w:rPr>
              <w:t xml:space="preserve">11</w:t>
            </w:r>
            <w:r>
              <w:rPr>
                <w:rFonts w:ascii="Times New Roman" w:cs="Times New Roman" w:eastAsia="Times New Roman" w:hAnsi="Times New Roman"/>
                <w:sz w:val="17"/>
                <w:szCs w:val="17"/>
              </w:rPr>
              <w:t xml:space="preserve">, SOGNN</w:t>
            </w:r>
            <w:r>
              <w:rPr>
                <w:rFonts w:ascii="Times New Roman" w:cs="Times New Roman" w:eastAsia="Times New Roman" w:hAnsi="Times New Roman"/>
                <w:color w:val="1F4E9A"/>
                <w:sz w:val="17"/>
                <w:szCs w:val="17"/>
                <w:vertAlign w:val="superscript"/>
              </w:rPr>
              <w:t xml:space="preserve">12</w:t>
            </w:r>
            <w:r>
              <w:rPr>
                <w:rFonts w:ascii="Times New Roman" w:cs="Times New Roman" w:eastAsia="Times New Roman" w:hAnsi="Times New Roman"/>
                <w:sz w:val="17"/>
                <w:szCs w:val="17"/>
              </w:rPr>
              <w:t xml:space="preserve">, AttGraph</w:t>
            </w:r>
            <w:r>
              <w:rPr>
                <w:rFonts w:ascii="Times New Roman" w:cs="Times New Roman" w:eastAsia="Times New Roman" w:hAnsi="Times New Roman"/>
                <w:color w:val="1F4E9A"/>
                <w:sz w:val="17"/>
                <w:szCs w:val="17"/>
                <w:vertAlign w:val="superscript"/>
              </w:rPr>
              <w:t xml:space="preserve">14</w:t>
            </w:r>
          </w:p>
        </w:tc>
        <w:tc>
          <w:tcPr>
            <w:tcW w:type="dxa" w:w="214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Varies; often unlabelled target data</w:t>
            </w:r>
          </w:p>
        </w:tc>
        <w:tc>
          <w:tcPr>
            <w:tcW w:type="dxa" w:w="253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Protocol and reporting unit often unclear</w:t>
            </w:r>
          </w:p>
        </w:tc>
      </w:tr>
      <w:tr>
        <w:trPr>
          <w:cantSplit/>
        </w:trPr>
        <w:tc>
          <w:tcPr>
            <w:tcW w:type="dxa" w:w="214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Shallow transfer and alignment</w:t>
            </w:r>
          </w:p>
        </w:tc>
        <w:tc>
          <w:tcPr>
            <w:tcW w:type="dxa" w:w="292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TCA</w:t>
            </w:r>
            <w:r>
              <w:rPr>
                <w:rFonts w:ascii="Times New Roman" w:cs="Times New Roman" w:eastAsia="Times New Roman" w:hAnsi="Times New Roman"/>
                <w:color w:val="1F4E9A"/>
                <w:sz w:val="17"/>
                <w:szCs w:val="17"/>
                <w:vertAlign w:val="superscript"/>
              </w:rPr>
              <w:t xml:space="preserve">38</w:t>
            </w:r>
            <w:r>
              <w:rPr>
                <w:rFonts w:ascii="Times New Roman" w:cs="Times New Roman" w:eastAsia="Times New Roman" w:hAnsi="Times New Roman"/>
                <w:sz w:val="17"/>
                <w:szCs w:val="17"/>
              </w:rPr>
              <w:t xml:space="preserve">, Riemannian</w:t>
            </w:r>
            <w:r>
              <w:rPr>
                <w:rFonts w:ascii="Times New Roman" w:cs="Times New Roman" w:eastAsia="Times New Roman" w:hAnsi="Times New Roman"/>
                <w:color w:val="1F4E9A"/>
                <w:sz w:val="17"/>
                <w:szCs w:val="17"/>
                <w:vertAlign w:val="superscript"/>
              </w:rPr>
              <w:t xml:space="preserve">40</w:t>
            </w:r>
            <w:r>
              <w:rPr>
                <w:rFonts w:ascii="Times New Roman" w:cs="Times New Roman" w:eastAsia="Times New Roman" w:hAnsi="Times New Roman"/>
                <w:sz w:val="17"/>
                <w:szCs w:val="17"/>
              </w:rPr>
              <w:t xml:space="preserve"> and Euclidean</w:t>
            </w:r>
            <w:r>
              <w:rPr>
                <w:rFonts w:ascii="Times New Roman" w:cs="Times New Roman" w:eastAsia="Times New Roman" w:hAnsi="Times New Roman"/>
                <w:color w:val="1F4E9A"/>
                <w:sz w:val="17"/>
                <w:szCs w:val="17"/>
                <w:vertAlign w:val="superscript"/>
              </w:rPr>
              <w:t xml:space="preserve">41</w:t>
            </w:r>
            <w:r>
              <w:rPr>
                <w:rFonts w:ascii="Times New Roman" w:cs="Times New Roman" w:eastAsia="Times New Roman" w:hAnsi="Times New Roman"/>
                <w:sz w:val="17"/>
                <w:szCs w:val="17"/>
              </w:rPr>
              <w:t xml:space="preserve"> alignment</w:t>
            </w:r>
          </w:p>
        </w:tc>
        <w:tc>
          <w:tcPr>
            <w:tcW w:type="dxa" w:w="214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Unlabelled target data</w:t>
            </w:r>
          </w:p>
        </w:tc>
        <w:tc>
          <w:tcPr>
            <w:tcW w:type="dxa" w:w="253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Assumes a stable target distribution</w:t>
            </w:r>
          </w:p>
        </w:tc>
      </w:tr>
      <w:tr>
        <w:trPr>
          <w:cantSplit/>
        </w:trPr>
        <w:tc>
          <w:tcPr>
            <w:tcW w:type="dxa" w:w="214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Deep domain adaptation</w:t>
            </w:r>
          </w:p>
        </w:tc>
        <w:tc>
          <w:tcPr>
            <w:tcW w:type="dxa" w:w="292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DAN</w:t>
            </w:r>
            <w:r>
              <w:rPr>
                <w:rFonts w:ascii="Times New Roman" w:cs="Times New Roman" w:eastAsia="Times New Roman" w:hAnsi="Times New Roman"/>
                <w:color w:val="1F4E9A"/>
                <w:sz w:val="17"/>
                <w:szCs w:val="17"/>
                <w:vertAlign w:val="superscript"/>
              </w:rPr>
              <w:t xml:space="preserve">7</w:t>
            </w:r>
            <w:r>
              <w:rPr>
                <w:rFonts w:ascii="Times New Roman" w:cs="Times New Roman" w:eastAsia="Times New Roman" w:hAnsi="Times New Roman"/>
                <w:sz w:val="17"/>
                <w:szCs w:val="17"/>
              </w:rPr>
              <w:t xml:space="preserve">, DANN</w:t>
            </w:r>
            <w:r>
              <w:rPr>
                <w:rFonts w:ascii="Times New Roman" w:cs="Times New Roman" w:eastAsia="Times New Roman" w:hAnsi="Times New Roman"/>
                <w:color w:val="1F4E9A"/>
                <w:sz w:val="17"/>
                <w:szCs w:val="17"/>
                <w:vertAlign w:val="superscript"/>
              </w:rPr>
              <w:t xml:space="preserve">6</w:t>
            </w:r>
            <w:r>
              <w:rPr>
                <w:rFonts w:ascii="Times New Roman" w:cs="Times New Roman" w:eastAsia="Times New Roman" w:hAnsi="Times New Roman"/>
                <w:sz w:val="17"/>
                <w:szCs w:val="17"/>
              </w:rPr>
              <w:t xml:space="preserve">, BiDANN</w:t>
            </w:r>
            <w:r>
              <w:rPr>
                <w:rFonts w:ascii="Times New Roman" w:cs="Times New Roman" w:eastAsia="Times New Roman" w:hAnsi="Times New Roman"/>
                <w:color w:val="1F4E9A"/>
                <w:sz w:val="17"/>
                <w:szCs w:val="17"/>
                <w:vertAlign w:val="superscript"/>
              </w:rPr>
              <w:t xml:space="preserve">8</w:t>
            </w:r>
            <w:r>
              <w:rPr>
                <w:rFonts w:ascii="Times New Roman" w:cs="Times New Roman" w:eastAsia="Times New Roman" w:hAnsi="Times New Roman"/>
                <w:sz w:val="17"/>
                <w:szCs w:val="17"/>
              </w:rPr>
              <w:t xml:space="preserve">, plug-and-play DA</w:t>
            </w:r>
            <w:r>
              <w:rPr>
                <w:rFonts w:ascii="Times New Roman" w:cs="Times New Roman" w:eastAsia="Times New Roman" w:hAnsi="Times New Roman"/>
                <w:color w:val="1F4E9A"/>
                <w:sz w:val="17"/>
                <w:szCs w:val="17"/>
                <w:vertAlign w:val="superscript"/>
              </w:rPr>
              <w:t xml:space="preserve">44</w:t>
            </w:r>
          </w:p>
        </w:tc>
        <w:tc>
          <w:tcPr>
            <w:tcW w:type="dxa" w:w="214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Unlabelled or a few labelled target samples</w:t>
            </w:r>
          </w:p>
        </w:tc>
        <w:tc>
          <w:tcPr>
            <w:tcW w:type="dxa" w:w="253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Transductive; not zero-shot</w:t>
            </w:r>
          </w:p>
        </w:tc>
      </w:tr>
      <w:tr>
        <w:trPr>
          <w:cantSplit/>
        </w:trPr>
        <w:tc>
          <w:tcPr>
            <w:tcW w:type="dxa" w:w="214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Self-supervised and contrastive</w:t>
            </w:r>
          </w:p>
        </w:tc>
        <w:tc>
          <w:tcPr>
            <w:tcW w:type="dxa" w:w="292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SimCLR</w:t>
            </w:r>
            <w:r>
              <w:rPr>
                <w:rFonts w:ascii="Times New Roman" w:cs="Times New Roman" w:eastAsia="Times New Roman" w:hAnsi="Times New Roman"/>
                <w:color w:val="1F4E9A"/>
                <w:sz w:val="17"/>
                <w:szCs w:val="17"/>
                <w:vertAlign w:val="superscript"/>
              </w:rPr>
              <w:t xml:space="preserve">46</w:t>
            </w:r>
            <w:r>
              <w:rPr>
                <w:rFonts w:ascii="Times New Roman" w:cs="Times New Roman" w:eastAsia="Times New Roman" w:hAnsi="Times New Roman"/>
                <w:sz w:val="17"/>
                <w:szCs w:val="17"/>
              </w:rPr>
              <w:t xml:space="preserve">, BYOL</w:t>
            </w:r>
            <w:r>
              <w:rPr>
                <w:rFonts w:ascii="Times New Roman" w:cs="Times New Roman" w:eastAsia="Times New Roman" w:hAnsi="Times New Roman"/>
                <w:color w:val="1F4E9A"/>
                <w:sz w:val="17"/>
                <w:szCs w:val="17"/>
                <w:vertAlign w:val="superscript"/>
              </w:rPr>
              <w:t xml:space="preserve">47</w:t>
            </w:r>
            <w:r>
              <w:rPr>
                <w:rFonts w:ascii="Times New Roman" w:cs="Times New Roman" w:eastAsia="Times New Roman" w:hAnsi="Times New Roman"/>
                <w:sz w:val="17"/>
                <w:szCs w:val="17"/>
              </w:rPr>
              <w:t xml:space="preserve">, BENDR</w:t>
            </w:r>
            <w:r>
              <w:rPr>
                <w:rFonts w:ascii="Times New Roman" w:cs="Times New Roman" w:eastAsia="Times New Roman" w:hAnsi="Times New Roman"/>
                <w:color w:val="1F4E9A"/>
                <w:sz w:val="17"/>
                <w:szCs w:val="17"/>
                <w:vertAlign w:val="superscript"/>
              </w:rPr>
              <w:t xml:space="preserve">50</w:t>
            </w:r>
            <w:r>
              <w:rPr>
                <w:rFonts w:ascii="Times New Roman" w:cs="Times New Roman" w:eastAsia="Times New Roman" w:hAnsi="Times New Roman"/>
                <w:sz w:val="17"/>
                <w:szCs w:val="17"/>
              </w:rPr>
              <w:t xml:space="preserve">, CLISA</w:t>
            </w:r>
            <w:r>
              <w:rPr>
                <w:rFonts w:ascii="Times New Roman" w:cs="Times New Roman" w:eastAsia="Times New Roman" w:hAnsi="Times New Roman"/>
                <w:color w:val="1F4E9A"/>
                <w:sz w:val="17"/>
                <w:szCs w:val="17"/>
                <w:vertAlign w:val="superscript"/>
              </w:rPr>
              <w:t xml:space="preserve">5</w:t>
            </w:r>
          </w:p>
        </w:tc>
        <w:tc>
          <w:tcPr>
            <w:tcW w:type="dxa" w:w="214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None for pretraining; labels for fine-tuning</w:t>
            </w:r>
          </w:p>
        </w:tc>
        <w:tc>
          <w:tcPr>
            <w:tcW w:type="dxa" w:w="253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Gains often reported after fine-tuning or calibration</w:t>
            </w:r>
          </w:p>
        </w:tc>
      </w:tr>
      <w:tr>
        <w:trPr>
          <w:cantSplit/>
        </w:trPr>
        <w:tc>
          <w:tcPr>
            <w:tcW w:type="dxa" w:w="214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Semi-supervised</w:t>
            </w:r>
          </w:p>
        </w:tc>
        <w:tc>
          <w:tcPr>
            <w:tcW w:type="dxa" w:w="292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Pseudo-label</w:t>
            </w:r>
            <w:r>
              <w:rPr>
                <w:rFonts w:ascii="Times New Roman" w:cs="Times New Roman" w:eastAsia="Times New Roman" w:hAnsi="Times New Roman"/>
                <w:color w:val="1F4E9A"/>
                <w:sz w:val="17"/>
                <w:szCs w:val="17"/>
                <w:vertAlign w:val="superscript"/>
              </w:rPr>
              <w:t xml:space="preserve">51</w:t>
            </w:r>
            <w:r>
              <w:rPr>
                <w:rFonts w:ascii="Times New Roman" w:cs="Times New Roman" w:eastAsia="Times New Roman" w:hAnsi="Times New Roman"/>
                <w:sz w:val="17"/>
                <w:szCs w:val="17"/>
              </w:rPr>
              <w:t xml:space="preserve">, MixMatch</w:t>
            </w:r>
            <w:r>
              <w:rPr>
                <w:rFonts w:ascii="Times New Roman" w:cs="Times New Roman" w:eastAsia="Times New Roman" w:hAnsi="Times New Roman"/>
                <w:color w:val="1F4E9A"/>
                <w:sz w:val="17"/>
                <w:szCs w:val="17"/>
                <w:vertAlign w:val="superscript"/>
              </w:rPr>
              <w:t xml:space="preserve">52</w:t>
            </w:r>
          </w:p>
        </w:tc>
        <w:tc>
          <w:tcPr>
            <w:tcW w:type="dxa" w:w="214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Unlabelled target data when transductive</w:t>
            </w:r>
          </w:p>
        </w:tc>
        <w:tc>
          <w:tcPr>
            <w:tcW w:type="dxa" w:w="253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Transductive; confirmation bias</w:t>
            </w:r>
          </w:p>
        </w:tc>
      </w:tr>
      <w:tr>
        <w:trPr>
          <w:cantSplit/>
        </w:trPr>
        <w:tc>
          <w:tcPr>
            <w:tcW w:type="dxa" w:w="214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Reduced-electrode and distillation</w:t>
            </w:r>
          </w:p>
        </w:tc>
        <w:tc>
          <w:tcPr>
            <w:tcW w:type="dxa" w:w="292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Channel selection</w:t>
            </w:r>
            <w:r>
              <w:rPr>
                <w:rFonts w:ascii="Times New Roman" w:cs="Times New Roman" w:eastAsia="Times New Roman" w:hAnsi="Times New Roman"/>
                <w:color w:val="1F4E9A"/>
                <w:sz w:val="17"/>
                <w:szCs w:val="17"/>
                <w:vertAlign w:val="superscript"/>
              </w:rPr>
              <w:t xml:space="preserve">3</w:t>
            </w:r>
            <w:r>
              <w:rPr>
                <w:rFonts w:ascii="Times New Roman" w:cs="Times New Roman" w:eastAsia="Times New Roman" w:hAnsi="Times New Roman"/>
                <w:sz w:val="17"/>
                <w:szCs w:val="17"/>
              </w:rPr>
              <w:t xml:space="preserve">, distillation</w:t>
            </w:r>
            <w:r>
              <w:rPr>
                <w:rFonts w:ascii="Times New Roman" w:cs="Times New Roman" w:eastAsia="Times New Roman" w:hAnsi="Times New Roman"/>
                <w:color w:val="1F4E9A"/>
                <w:sz w:val="17"/>
                <w:szCs w:val="17"/>
                <w:vertAlign w:val="superscript"/>
              </w:rPr>
              <w:t xml:space="preserve">53</w:t>
            </w:r>
          </w:p>
        </w:tc>
        <w:tc>
          <w:tcPr>
            <w:tcW w:type="dxa" w:w="214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Varies</w:t>
            </w:r>
          </w:p>
        </w:tc>
        <w:tc>
          <w:tcPr>
            <w:tcW w:type="dxa" w:w="253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Mostly subject-dependent evaluation</w:t>
            </w:r>
          </w:p>
        </w:tc>
      </w:tr>
    </w:tbl>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Table 2</w:t>
      </w:r>
      <w:r>
        <w:rPr>
          <w:rFonts w:ascii="Times New Roman" w:cs="Times New Roman" w:eastAsia="Times New Roman" w:hAnsi="Times New Roman"/>
          <w:sz w:val="19"/>
          <w:szCs w:val="19"/>
        </w:rPr>
        <w:t xml:space="preserve">. Main families of cross-participant EEG emotion recognition methods, the target-participant data they typically use, and the main limitation relevant to this study.</w:t>
      </w:r>
    </w:p>
    <w:p>
      <w:pPr>
        <w:pStyle w:val="Heading2"/>
        <w:keepNext/>
        <w:spacing w:after="40" w:before="220"/>
        <w:ind w:left="1700"/>
      </w:pPr>
      <w:r>
        <w:rPr>
          <w:rFonts w:ascii="Arial" w:cs="Arial" w:eastAsia="Arial" w:hAnsi="Arial"/>
          <w:b/>
          <w:bCs/>
          <w:color w:val="000000"/>
          <w:sz w:val="21"/>
          <w:szCs w:val="21"/>
        </w:rPr>
        <w:t xml:space="preserve">2.1 Emotion models and EEG correlates of affect</w:t>
      </w:r>
    </w:p>
    <w:p>
      <w:pPr>
        <w:spacing w:after="0" w:line="252"/>
        <w:ind w:left="1700" w:firstLine="0"/>
        <w:jc w:val="both"/>
      </w:pPr>
      <w:r>
        <w:rPr>
          <w:rFonts w:ascii="Times New Roman" w:cs="Times New Roman" w:eastAsia="Times New Roman" w:hAnsi="Times New Roman"/>
          <w:sz w:val="20"/>
          <w:szCs w:val="20"/>
        </w:rPr>
        <w:t xml:space="preserve">Computational studies of emotion usually adopt either discrete categories, such as the neutral, sad, fear and happy states of SEED-IV, or dimensional models in which emotions are located in a space spanned by valence and arousal</w:t>
      </w:r>
      <w:r>
        <w:rPr>
          <w:rFonts w:ascii="Times New Roman" w:cs="Times New Roman" w:eastAsia="Times New Roman" w:hAnsi="Times New Roman"/>
          <w:color w:val="1F4E9A"/>
          <w:sz w:val="20"/>
          <w:szCs w:val="20"/>
          <w:vertAlign w:val="superscript"/>
        </w:rPr>
        <w:t xml:space="preserve">1</w:t>
      </w:r>
      <w:r>
        <w:rPr>
          <w:rFonts w:ascii="Times New Roman" w:cs="Times New Roman" w:eastAsia="Times New Roman" w:hAnsi="Times New Roman"/>
          <w:sz w:val="20"/>
          <w:szCs w:val="20"/>
        </w:rPr>
        <w:t xml:space="preserve">. The discrete view simplifies labelling with film clips, whereas the dimensional view underlies datasets such as DEAP</w:t>
      </w:r>
      <w:r>
        <w:rPr>
          <w:rFonts w:ascii="Times New Roman" w:cs="Times New Roman" w:eastAsia="Times New Roman" w:hAnsi="Times New Roman"/>
          <w:color w:val="1F4E9A"/>
          <w:sz w:val="20"/>
          <w:szCs w:val="20"/>
          <w:vertAlign w:val="superscript"/>
        </w:rPr>
        <w:t xml:space="preserve">4</w:t>
      </w:r>
      <w:r>
        <w:rPr>
          <w:rFonts w:ascii="Times New Roman" w:cs="Times New Roman" w:eastAsia="Times New Roman" w:hAnsi="Times New Roman"/>
          <w:sz w:val="20"/>
          <w:szCs w:val="20"/>
        </w:rPr>
        <w:t xml:space="preserve"> and DREAMER</w:t>
      </w:r>
      <w:r>
        <w:rPr>
          <w:rFonts w:ascii="Times New Roman" w:cs="Times New Roman" w:eastAsia="Times New Roman" w:hAnsi="Times New Roman"/>
          <w:color w:val="1F4E9A"/>
          <w:sz w:val="20"/>
          <w:szCs w:val="20"/>
          <w:vertAlign w:val="superscript"/>
        </w:rPr>
        <w:t xml:space="preserve">19</w:t>
      </w:r>
      <w:r>
        <w:rPr>
          <w:rFonts w:ascii="Times New Roman" w:cs="Times New Roman" w:eastAsia="Times New Roman" w:hAnsi="Times New Roman"/>
          <w:sz w:val="20"/>
          <w:szCs w:val="20"/>
        </w:rPr>
        <w:t xml:space="preserve">. Both rest on the observation that affective states modulate cortical oscillations. The best-established correlate is frontal alpha asymmetry, in which relatively greater left frontal activity accompanies approach-related, positive affect and greater right frontal activity accompanies withdrawal-related, negative affect</w:t>
      </w:r>
      <w:r>
        <w:rPr>
          <w:rFonts w:ascii="Times New Roman" w:cs="Times New Roman" w:eastAsia="Times New Roman" w:hAnsi="Times New Roman"/>
          <w:color w:val="1F4E9A"/>
          <w:sz w:val="20"/>
          <w:szCs w:val="20"/>
          <w:vertAlign w:val="superscript"/>
        </w:rPr>
        <w:t xml:space="preserve">20,21</w:t>
      </w:r>
      <w:r>
        <w:rPr>
          <w:rFonts w:ascii="Times New Roman" w:cs="Times New Roman" w:eastAsia="Times New Roman" w:hAnsi="Times New Roman"/>
          <w:sz w:val="20"/>
          <w:szCs w:val="20"/>
        </w:rPr>
        <w:t xml:space="preserve">. Beyond the frontal lobes, emotion-related changes have been reported across theta, beta and gamma bands and in temporal and parietal regions, and high-frequency beta and gamma activity over lateral temporal sites has been found to be particularly discriminative for emotion</w:t>
      </w:r>
      <w:r>
        <w:rPr>
          <w:rFonts w:ascii="Times New Roman" w:cs="Times New Roman" w:eastAsia="Times New Roman" w:hAnsi="Times New Roman"/>
          <w:color w:val="1F4E9A"/>
          <w:sz w:val="20"/>
          <w:szCs w:val="20"/>
          <w:vertAlign w:val="superscript"/>
        </w:rPr>
        <w:t xml:space="preserve">3</w:t>
      </w:r>
      <w:r>
        <w:rPr>
          <w:rFonts w:ascii="Times New Roman" w:cs="Times New Roman" w:eastAsia="Times New Roman" w:hAnsi="Times New Roman"/>
          <w:sz w:val="20"/>
          <w:szCs w:val="20"/>
        </w:rPr>
        <w:t xml:space="preserve">.</w:t>
      </w:r>
    </w:p>
    <w:p>
      <w:pPr>
        <w:spacing w:after="0" w:line="252"/>
        <w:ind w:left="1700" w:firstLine="240"/>
        <w:jc w:val="both"/>
      </w:pPr>
      <w:r>
        <w:rPr>
          <w:rFonts w:ascii="Times New Roman" w:cs="Times New Roman" w:eastAsia="Times New Roman" w:hAnsi="Times New Roman"/>
          <w:sz w:val="20"/>
          <w:szCs w:val="20"/>
        </w:rPr>
        <w:t xml:space="preserve">Systematic surveys of EEG emotion recognition</w:t>
      </w:r>
      <w:r>
        <w:rPr>
          <w:rFonts w:ascii="Times New Roman" w:cs="Times New Roman" w:eastAsia="Times New Roman" w:hAnsi="Times New Roman"/>
          <w:color w:val="1F4E9A"/>
          <w:sz w:val="20"/>
          <w:szCs w:val="20"/>
          <w:vertAlign w:val="superscript"/>
        </w:rPr>
        <w:t xml:space="preserve">22,23</w:t>
      </w:r>
      <w:r>
        <w:rPr>
          <w:rFonts w:ascii="Times New Roman" w:cs="Times New Roman" w:eastAsia="Times New Roman" w:hAnsi="Times New Roman"/>
          <w:sz w:val="20"/>
          <w:szCs w:val="20"/>
        </w:rPr>
        <w:t xml:space="preserve"> highlight two consequences of this neurophysiology for machine learning. First, informative features are spread over many frequency bands and electrodes, which motivates multichannel spectral features and spatial models. Second, the same emotional stimulus evokes different spectral patterns in different people, so that a model trained on one group generalises poorly to another; this inter-participant variability is the central difficulty that the present study examines.</w:t>
      </w:r>
    </w:p>
    <w:p>
      <w:pPr>
        <w:pStyle w:val="Heading2"/>
        <w:keepNext/>
        <w:spacing w:after="40" w:before="220"/>
        <w:ind w:left="1700"/>
      </w:pPr>
      <w:r>
        <w:rPr>
          <w:rFonts w:ascii="Arial" w:cs="Arial" w:eastAsia="Arial" w:hAnsi="Arial"/>
          <w:b/>
          <w:bCs/>
          <w:color w:val="000000"/>
          <w:sz w:val="21"/>
          <w:szCs w:val="21"/>
        </w:rPr>
        <w:t xml:space="preserve">2.2 Datasets and the cross-participant problem</w:t>
      </w:r>
    </w:p>
    <w:p>
      <w:pPr>
        <w:spacing w:after="0" w:line="252"/>
        <w:ind w:left="1700" w:firstLine="0"/>
        <w:jc w:val="both"/>
      </w:pPr>
      <w:r>
        <w:rPr>
          <w:rFonts w:ascii="Times New Roman" w:cs="Times New Roman" w:eastAsia="Times New Roman" w:hAnsi="Times New Roman"/>
          <w:sz w:val="20"/>
          <w:szCs w:val="20"/>
        </w:rPr>
        <w:t xml:space="preserve">Public datasets have made controlled comparison possible. DEAP recorded 32-channel EEG from 32 participants watching music videos rated for valence and arousal</w:t>
      </w:r>
      <w:r>
        <w:rPr>
          <w:rFonts w:ascii="Times New Roman" w:cs="Times New Roman" w:eastAsia="Times New Roman" w:hAnsi="Times New Roman"/>
          <w:color w:val="1F4E9A"/>
          <w:sz w:val="20"/>
          <w:szCs w:val="20"/>
          <w:vertAlign w:val="superscript"/>
        </w:rPr>
        <w:t xml:space="preserve">4</w:t>
      </w:r>
      <w:r>
        <w:rPr>
          <w:rFonts w:ascii="Times New Roman" w:cs="Times New Roman" w:eastAsia="Times New Roman" w:hAnsi="Times New Roman"/>
          <w:sz w:val="20"/>
          <w:szCs w:val="20"/>
        </w:rPr>
        <w:t xml:space="preserve">; SEED recorded 62-channel EEG from 15 participants watching film clips eliciting positive, neutral and negative emotions</w:t>
      </w:r>
      <w:r>
        <w:rPr>
          <w:rFonts w:ascii="Times New Roman" w:cs="Times New Roman" w:eastAsia="Times New Roman" w:hAnsi="Times New Roman"/>
          <w:color w:val="1F4E9A"/>
          <w:sz w:val="20"/>
          <w:szCs w:val="20"/>
          <w:vertAlign w:val="superscript"/>
        </w:rPr>
        <w:t xml:space="preserve">3</w:t>
      </w:r>
      <w:r>
        <w:rPr>
          <w:rFonts w:ascii="Times New Roman" w:cs="Times New Roman" w:eastAsia="Times New Roman" w:hAnsi="Times New Roman"/>
          <w:sz w:val="20"/>
          <w:szCs w:val="20"/>
        </w:rPr>
        <w:t xml:space="preserve">; SEED-IV extended this design to four discrete emotions over three sessions</w:t>
      </w:r>
      <w:r>
        <w:rPr>
          <w:rFonts w:ascii="Times New Roman" w:cs="Times New Roman" w:eastAsia="Times New Roman" w:hAnsi="Times New Roman"/>
          <w:color w:val="1F4E9A"/>
          <w:sz w:val="20"/>
          <w:szCs w:val="20"/>
          <w:vertAlign w:val="superscript"/>
        </w:rPr>
        <w:t xml:space="preserve">2</w:t>
      </w:r>
      <w:r>
        <w:rPr>
          <w:rFonts w:ascii="Times New Roman" w:cs="Times New Roman" w:eastAsia="Times New Roman" w:hAnsi="Times New Roman"/>
          <w:sz w:val="20"/>
          <w:szCs w:val="20"/>
        </w:rPr>
        <w:t xml:space="preserve">; SEED-V added a fifth class</w:t>
      </w:r>
      <w:r>
        <w:rPr>
          <w:rFonts w:ascii="Times New Roman" w:cs="Times New Roman" w:eastAsia="Times New Roman" w:hAnsi="Times New Roman"/>
          <w:color w:val="1F4E9A"/>
          <w:sz w:val="20"/>
          <w:szCs w:val="20"/>
          <w:vertAlign w:val="superscript"/>
        </w:rPr>
        <w:t xml:space="preserve">24</w:t>
      </w:r>
      <w:r>
        <w:rPr>
          <w:rFonts w:ascii="Times New Roman" w:cs="Times New Roman" w:eastAsia="Times New Roman" w:hAnsi="Times New Roman"/>
          <w:sz w:val="20"/>
          <w:szCs w:val="20"/>
        </w:rPr>
        <w:t xml:space="preserve">; DREAMER used a 14-channel consumer headset</w:t>
      </w:r>
      <w:r>
        <w:rPr>
          <w:rFonts w:ascii="Times New Roman" w:cs="Times New Roman" w:eastAsia="Times New Roman" w:hAnsi="Times New Roman"/>
          <w:color w:val="1F4E9A"/>
          <w:sz w:val="20"/>
          <w:szCs w:val="20"/>
          <w:vertAlign w:val="superscript"/>
        </w:rPr>
        <w:t xml:space="preserve">19</w:t>
      </w:r>
      <w:r>
        <w:rPr>
          <w:rFonts w:ascii="Times New Roman" w:cs="Times New Roman" w:eastAsia="Times New Roman" w:hAnsi="Times New Roman"/>
          <w:sz w:val="20"/>
          <w:szCs w:val="20"/>
        </w:rPr>
        <w:t xml:space="preserve">; and FACED provides 32-channel recordings from 123 participants with nine fine-grained emotion categories</w:t>
      </w:r>
      <w:r>
        <w:rPr>
          <w:rFonts w:ascii="Times New Roman" w:cs="Times New Roman" w:eastAsia="Times New Roman" w:hAnsi="Times New Roman"/>
          <w:color w:val="1F4E9A"/>
          <w:sz w:val="20"/>
          <w:szCs w:val="20"/>
          <w:vertAlign w:val="superscript"/>
        </w:rPr>
        <w:t xml:space="preserve">25</w:t>
      </w:r>
      <w:r>
        <w:rPr>
          <w:rFonts w:ascii="Times New Roman" w:cs="Times New Roman" w:eastAsia="Times New Roman" w:hAnsi="Times New Roman"/>
          <w:sz w:val="20"/>
          <w:szCs w:val="20"/>
        </w:rPr>
        <w:t xml:space="preserve">. Because SEED and SEED-IV release precomputed differential-entropy features, they have become the de facto benchmarks for cross-participant studies.</w:t>
      </w:r>
    </w:p>
    <w:p>
      <w:pPr>
        <w:spacing w:after="0" w:line="252"/>
        <w:ind w:left="1700" w:firstLine="240"/>
        <w:jc w:val="both"/>
      </w:pPr>
      <w:r>
        <w:rPr>
          <w:rFonts w:ascii="Times New Roman" w:cs="Times New Roman" w:eastAsia="Times New Roman" w:hAnsi="Times New Roman"/>
          <w:sz w:val="20"/>
          <w:szCs w:val="20"/>
        </w:rPr>
        <w:t xml:space="preserve">In these datasets, each film clip yields many consecutive windows that share a label. This structure creates two distinct generalisation problems: generalisation to new windows or trials of a participant whose other data were used for training (subject-dependent), and generalisation to a participant whose data were never seen (subject-independent or cross-participant). Accuracies for the second problem are consistently and substantially lower than for the first</w:t>
      </w:r>
      <w:r>
        <w:rPr>
          <w:rFonts w:ascii="Times New Roman" w:cs="Times New Roman" w:eastAsia="Times New Roman" w:hAnsi="Times New Roman"/>
          <w:color w:val="1F4E9A"/>
          <w:sz w:val="20"/>
          <w:szCs w:val="20"/>
          <w:vertAlign w:val="superscript"/>
        </w:rPr>
        <w:t xml:space="preserve">26,27</w:t>
      </w:r>
      <w:r>
        <w:rPr>
          <w:rFonts w:ascii="Times New Roman" w:cs="Times New Roman" w:eastAsia="Times New Roman" w:hAnsi="Times New Roman"/>
          <w:sz w:val="20"/>
          <w:szCs w:val="20"/>
        </w:rPr>
        <w:t xml:space="preserve">, and it is the second that matters for deployment.</w:t>
      </w:r>
    </w:p>
    <w:p>
      <w:pPr>
        <w:pStyle w:val="Heading2"/>
        <w:keepNext/>
        <w:spacing w:after="40" w:before="220"/>
        <w:ind w:left="1700"/>
      </w:pPr>
      <w:r>
        <w:rPr>
          <w:rFonts w:ascii="Arial" w:cs="Arial" w:eastAsia="Arial" w:hAnsi="Arial"/>
          <w:b/>
          <w:bCs/>
          <w:color w:val="000000"/>
          <w:sz w:val="21"/>
          <w:szCs w:val="21"/>
        </w:rPr>
        <w:t xml:space="preserve">2.3 Hand-crafted features and classical classifiers</w:t>
      </w:r>
    </w:p>
    <w:p>
      <w:pPr>
        <w:spacing w:after="0" w:line="252"/>
        <w:ind w:left="1700" w:firstLine="0"/>
        <w:jc w:val="both"/>
      </w:pPr>
      <w:r>
        <w:rPr>
          <w:rFonts w:ascii="Times New Roman" w:cs="Times New Roman" w:eastAsia="Times New Roman" w:hAnsi="Times New Roman"/>
          <w:sz w:val="20"/>
          <w:szCs w:val="20"/>
        </w:rPr>
        <w:t xml:space="preserve">Early work relied on hand-crafted features. Jenke and colleagues compared a broad set of time-domain, frequency-domain and time–frequency features and found that band-power-related features and their combinations were among the most informative</w:t>
      </w:r>
      <w:r>
        <w:rPr>
          <w:rFonts w:ascii="Times New Roman" w:cs="Times New Roman" w:eastAsia="Times New Roman" w:hAnsi="Times New Roman"/>
          <w:color w:val="1F4E9A"/>
          <w:sz w:val="20"/>
          <w:szCs w:val="20"/>
          <w:vertAlign w:val="superscript"/>
        </w:rPr>
        <w:t xml:space="preserve">23</w:t>
      </w:r>
      <w:r>
        <w:rPr>
          <w:rFonts w:ascii="Times New Roman" w:cs="Times New Roman" w:eastAsia="Times New Roman" w:hAnsi="Times New Roman"/>
          <w:sz w:val="20"/>
          <w:szCs w:val="20"/>
        </w:rPr>
        <w:t xml:space="preserve">. Differential entropy (DE), the entropy of a band-limited signal, which for approximately Gaussian signals equals the logarithm of band power up to a constant, was introduced as a robust emotion feature</w:t>
      </w:r>
      <w:r>
        <w:rPr>
          <w:rFonts w:ascii="Times New Roman" w:cs="Times New Roman" w:eastAsia="Times New Roman" w:hAnsi="Times New Roman"/>
          <w:color w:val="1F4E9A"/>
          <w:sz w:val="20"/>
          <w:szCs w:val="20"/>
          <w:vertAlign w:val="superscript"/>
        </w:rPr>
        <w:t xml:space="preserve">28</w:t>
      </w:r>
      <w:r>
        <w:rPr>
          <w:rFonts w:ascii="Times New Roman" w:cs="Times New Roman" w:eastAsia="Times New Roman" w:hAnsi="Times New Roman"/>
          <w:sz w:val="20"/>
          <w:szCs w:val="20"/>
        </w:rPr>
        <w:t xml:space="preserve"> and outperformed band power in SEED</w:t>
      </w:r>
      <w:r>
        <w:rPr>
          <w:rFonts w:ascii="Times New Roman" w:cs="Times New Roman" w:eastAsia="Times New Roman" w:hAnsi="Times New Roman"/>
          <w:color w:val="1F4E9A"/>
          <w:sz w:val="20"/>
          <w:szCs w:val="20"/>
          <w:vertAlign w:val="superscript"/>
        </w:rPr>
        <w:t xml:space="preserve">3</w:t>
      </w:r>
      <w:r>
        <w:rPr>
          <w:rFonts w:ascii="Times New Roman" w:cs="Times New Roman" w:eastAsia="Times New Roman" w:hAnsi="Times New Roman"/>
          <w:sz w:val="20"/>
          <w:szCs w:val="20"/>
        </w:rPr>
        <w:t xml:space="preserve">. Smoothing the DE sequence with a linear dynamical system further improved accuracy by suppressing window-to-window noise</w:t>
      </w:r>
      <w:r>
        <w:rPr>
          <w:rFonts w:ascii="Times New Roman" w:cs="Times New Roman" w:eastAsia="Times New Roman" w:hAnsi="Times New Roman"/>
          <w:color w:val="1F4E9A"/>
          <w:sz w:val="20"/>
          <w:szCs w:val="20"/>
          <w:vertAlign w:val="superscript"/>
        </w:rPr>
        <w:t xml:space="preserve">3</w:t>
      </w:r>
      <w:r>
        <w:rPr>
          <w:rFonts w:ascii="Times New Roman" w:cs="Times New Roman" w:eastAsia="Times New Roman" w:hAnsi="Times New Roman"/>
          <w:sz w:val="20"/>
          <w:szCs w:val="20"/>
        </w:rPr>
        <w:t xml:space="preserve">, at the cost of introducing temporal dependence between neighbouring windows. Classical classifiers such as support vector machines, linear discriminant analysis and ensembles of decision trees remain strong baselines on these features</w:t>
      </w:r>
      <w:r>
        <w:rPr>
          <w:rFonts w:ascii="Times New Roman" w:cs="Times New Roman" w:eastAsia="Times New Roman" w:hAnsi="Times New Roman"/>
          <w:color w:val="1F4E9A"/>
          <w:sz w:val="20"/>
          <w:szCs w:val="20"/>
          <w:vertAlign w:val="superscript"/>
        </w:rPr>
        <w:t xml:space="preserve">29,30</w:t>
      </w:r>
      <w:r>
        <w:rPr>
          <w:rFonts w:ascii="Times New Roman" w:cs="Times New Roman" w:eastAsia="Times New Roman" w:hAnsi="Times New Roman"/>
          <w:sz w:val="20"/>
          <w:szCs w:val="20"/>
        </w:rPr>
        <w:t xml:space="preserve">, and our own classical benchmark confirms that they carry emotion information across participants.</w:t>
      </w:r>
    </w:p>
    <w:p>
      <w:pPr>
        <w:pStyle w:val="Heading2"/>
        <w:keepNext/>
        <w:spacing w:after="40" w:before="220"/>
        <w:ind w:left="1700"/>
      </w:pPr>
      <w:r>
        <w:rPr>
          <w:rFonts w:ascii="Arial" w:cs="Arial" w:eastAsia="Arial" w:hAnsi="Arial"/>
          <w:b/>
          <w:bCs/>
          <w:color w:val="000000"/>
          <w:sz w:val="21"/>
          <w:szCs w:val="21"/>
        </w:rPr>
        <w:t xml:space="preserve">2.4 Deep architectures for EEG emotion recognition</w:t>
      </w:r>
    </w:p>
    <w:p>
      <w:pPr>
        <w:spacing w:after="0" w:line="252"/>
        <w:ind w:left="1700" w:firstLine="0"/>
        <w:jc w:val="both"/>
      </w:pPr>
      <w:r>
        <w:rPr>
          <w:rFonts w:ascii="Times New Roman" w:cs="Times New Roman" w:eastAsia="Times New Roman" w:hAnsi="Times New Roman"/>
          <w:sz w:val="20"/>
          <w:szCs w:val="20"/>
        </w:rPr>
        <w:t xml:space="preserve">Deep learning has been applied both to raw EEG and to spectral features</w:t>
      </w:r>
      <w:r>
        <w:rPr>
          <w:rFonts w:ascii="Times New Roman" w:cs="Times New Roman" w:eastAsia="Times New Roman" w:hAnsi="Times New Roman"/>
          <w:color w:val="1F4E9A"/>
          <w:sz w:val="20"/>
          <w:szCs w:val="20"/>
          <w:vertAlign w:val="superscript"/>
        </w:rPr>
        <w:t xml:space="preserve">31,32</w:t>
      </w:r>
      <w:r>
        <w:rPr>
          <w:rFonts w:ascii="Times New Roman" w:cs="Times New Roman" w:eastAsia="Times New Roman" w:hAnsi="Times New Roman"/>
          <w:sz w:val="20"/>
          <w:szCs w:val="20"/>
        </w:rPr>
        <w:t xml:space="preserve">. Convolutional architectures designed for raw EEG, such as the deep and shallow ConvNets of Schirrmeister and colleagues</w:t>
      </w:r>
      <w:r>
        <w:rPr>
          <w:rFonts w:ascii="Times New Roman" w:cs="Times New Roman" w:eastAsia="Times New Roman" w:hAnsi="Times New Roman"/>
          <w:color w:val="1F4E9A"/>
          <w:sz w:val="20"/>
          <w:szCs w:val="20"/>
          <w:vertAlign w:val="superscript"/>
        </w:rPr>
        <w:t xml:space="preserve">33</w:t>
      </w:r>
      <w:r>
        <w:rPr>
          <w:rFonts w:ascii="Times New Roman" w:cs="Times New Roman" w:eastAsia="Times New Roman" w:hAnsi="Times New Roman"/>
          <w:sz w:val="20"/>
          <w:szCs w:val="20"/>
        </w:rPr>
        <w:t xml:space="preserve"> and the compact EEGNet</w:t>
      </w:r>
      <w:r>
        <w:rPr>
          <w:rFonts w:ascii="Times New Roman" w:cs="Times New Roman" w:eastAsia="Times New Roman" w:hAnsi="Times New Roman"/>
          <w:color w:val="1F4E9A"/>
          <w:sz w:val="20"/>
          <w:szCs w:val="20"/>
          <w:vertAlign w:val="superscript"/>
        </w:rPr>
        <w:t xml:space="preserve">34</w:t>
      </w:r>
      <w:r>
        <w:rPr>
          <w:rFonts w:ascii="Times New Roman" w:cs="Times New Roman" w:eastAsia="Times New Roman" w:hAnsi="Times New Roman"/>
          <w:sz w:val="20"/>
          <w:szCs w:val="20"/>
        </w:rPr>
        <w:t xml:space="preserve">, learn temporal and spatial filters end to end, and transformer-based models such as EEG Conformer add global self-attention</w:t>
      </w:r>
      <w:r>
        <w:rPr>
          <w:rFonts w:ascii="Times New Roman" w:cs="Times New Roman" w:eastAsia="Times New Roman" w:hAnsi="Times New Roman"/>
          <w:color w:val="1F4E9A"/>
          <w:sz w:val="20"/>
          <w:szCs w:val="20"/>
          <w:vertAlign w:val="superscript"/>
        </w:rPr>
        <w:t xml:space="preserve">35,36</w:t>
      </w:r>
      <w:r>
        <w:rPr>
          <w:rFonts w:ascii="Times New Roman" w:cs="Times New Roman" w:eastAsia="Times New Roman" w:hAnsi="Times New Roman"/>
          <w:sz w:val="20"/>
          <w:szCs w:val="20"/>
        </w:rPr>
        <w:t xml:space="preserve">. For DE features, which are organised by electrode and band, graph neural networks have been particularly influential. DGCNN learns an adjacency matrix between electrodes</w:t>
      </w:r>
      <w:r>
        <w:rPr>
          <w:rFonts w:ascii="Times New Roman" w:cs="Times New Roman" w:eastAsia="Times New Roman" w:hAnsi="Times New Roman"/>
          <w:color w:val="1F4E9A"/>
          <w:sz w:val="20"/>
          <w:szCs w:val="20"/>
          <w:vertAlign w:val="superscript"/>
        </w:rPr>
        <w:t xml:space="preserve">10</w:t>
      </w:r>
      <w:r>
        <w:rPr>
          <w:rFonts w:ascii="Times New Roman" w:cs="Times New Roman" w:eastAsia="Times New Roman" w:hAnsi="Times New Roman"/>
          <w:sz w:val="20"/>
          <w:szCs w:val="20"/>
        </w:rPr>
        <w:t xml:space="preserve">; RGNN regularises this graph with anatomical connectivity and node-wise domain adversarial training</w:t>
      </w:r>
      <w:r>
        <w:rPr>
          <w:rFonts w:ascii="Times New Roman" w:cs="Times New Roman" w:eastAsia="Times New Roman" w:hAnsi="Times New Roman"/>
          <w:color w:val="1F4E9A"/>
          <w:sz w:val="20"/>
          <w:szCs w:val="20"/>
          <w:vertAlign w:val="superscript"/>
        </w:rPr>
        <w:t xml:space="preserve">11</w:t>
      </w:r>
      <w:r>
        <w:rPr>
          <w:rFonts w:ascii="Times New Roman" w:cs="Times New Roman" w:eastAsia="Times New Roman" w:hAnsi="Times New Roman"/>
          <w:sz w:val="20"/>
          <w:szCs w:val="20"/>
        </w:rPr>
        <w:t xml:space="preserve">; SOGNN constructs a sample-specific graph</w:t>
      </w:r>
      <w:r>
        <w:rPr>
          <w:rFonts w:ascii="Times New Roman" w:cs="Times New Roman" w:eastAsia="Times New Roman" w:hAnsi="Times New Roman"/>
          <w:color w:val="1F4E9A"/>
          <w:sz w:val="20"/>
          <w:szCs w:val="20"/>
          <w:vertAlign w:val="superscript"/>
        </w:rPr>
        <w:t xml:space="preserve">12</w:t>
      </w:r>
      <w:r>
        <w:rPr>
          <w:rFonts w:ascii="Times New Roman" w:cs="Times New Roman" w:eastAsia="Times New Roman" w:hAnsi="Times New Roman"/>
          <w:sz w:val="20"/>
          <w:szCs w:val="20"/>
        </w:rPr>
        <w:t xml:space="preserve">; and hierarchical spatial–temporal models aggregate regional and global brain information</w:t>
      </w:r>
      <w:r>
        <w:rPr>
          <w:rFonts w:ascii="Times New Roman" w:cs="Times New Roman" w:eastAsia="Times New Roman" w:hAnsi="Times New Roman"/>
          <w:color w:val="1F4E9A"/>
          <w:sz w:val="20"/>
          <w:szCs w:val="20"/>
          <w:vertAlign w:val="superscript"/>
        </w:rPr>
        <w:t xml:space="preserve">37</w:t>
      </w:r>
      <w:r>
        <w:rPr>
          <w:rFonts w:ascii="Times New Roman" w:cs="Times New Roman" w:eastAsia="Times New Roman" w:hAnsi="Times New Roman"/>
          <w:sz w:val="20"/>
          <w:szCs w:val="20"/>
        </w:rPr>
        <w:t xml:space="preserve">. More recent attention-based and frequency-band graph models</w:t>
      </w:r>
      <w:r>
        <w:rPr>
          <w:rFonts w:ascii="Times New Roman" w:cs="Times New Roman" w:eastAsia="Times New Roman" w:hAnsi="Times New Roman"/>
          <w:color w:val="1F4E9A"/>
          <w:sz w:val="20"/>
          <w:szCs w:val="20"/>
          <w:vertAlign w:val="superscript"/>
        </w:rPr>
        <w:t xml:space="preserve">13,14</w:t>
      </w:r>
      <w:r>
        <w:rPr>
          <w:rFonts w:ascii="Times New Roman" w:cs="Times New Roman" w:eastAsia="Times New Roman" w:hAnsi="Times New Roman"/>
          <w:sz w:val="20"/>
          <w:szCs w:val="20"/>
        </w:rPr>
        <w:t xml:space="preserve"> and self-supervised graph models</w:t>
      </w:r>
      <w:r>
        <w:rPr>
          <w:rFonts w:ascii="Times New Roman" w:cs="Times New Roman" w:eastAsia="Times New Roman" w:hAnsi="Times New Roman"/>
          <w:color w:val="1F4E9A"/>
          <w:sz w:val="20"/>
          <w:szCs w:val="20"/>
          <w:vertAlign w:val="superscript"/>
        </w:rPr>
        <w:t xml:space="preserve">15</w:t>
      </w:r>
      <w:r>
        <w:rPr>
          <w:rFonts w:ascii="Times New Roman" w:cs="Times New Roman" w:eastAsia="Times New Roman" w:hAnsi="Times New Roman"/>
          <w:sz w:val="20"/>
          <w:szCs w:val="20"/>
        </w:rPr>
        <w:t xml:space="preserve"> report the highest SEED-IV accuracies (Table 1).</w:t>
      </w:r>
    </w:p>
    <w:p>
      <w:pPr>
        <w:spacing w:after="0" w:line="252"/>
        <w:ind w:left="1700" w:firstLine="240"/>
        <w:jc w:val="both"/>
      </w:pPr>
      <w:r>
        <w:rPr>
          <w:rFonts w:ascii="Times New Roman" w:cs="Times New Roman" w:eastAsia="Times New Roman" w:hAnsi="Times New Roman"/>
          <w:sz w:val="20"/>
          <w:szCs w:val="20"/>
        </w:rPr>
        <w:t xml:space="preserve">Two observations temper these advances. First, systematic reviews have noted that the reported gains of deep models over classical pipelines vary widely, depend strongly on the evaluation protocol and are often obtained with within-participant evaluation</w:t>
      </w:r>
      <w:r>
        <w:rPr>
          <w:rFonts w:ascii="Times New Roman" w:cs="Times New Roman" w:eastAsia="Times New Roman" w:hAnsi="Times New Roman"/>
          <w:color w:val="1F4E9A"/>
          <w:sz w:val="20"/>
          <w:szCs w:val="20"/>
          <w:vertAlign w:val="superscript"/>
        </w:rPr>
        <w:t xml:space="preserve">31,32</w:t>
      </w:r>
      <w:r>
        <w:rPr>
          <w:rFonts w:ascii="Times New Roman" w:cs="Times New Roman" w:eastAsia="Times New Roman" w:hAnsi="Times New Roman"/>
          <w:sz w:val="20"/>
          <w:szCs w:val="20"/>
        </w:rPr>
        <w:t xml:space="preserve">. Second, the architectural gains reported on SEED-IV are entangled with differences in evaluation protocol, as discussed below, so that the contribution of the architecture itself is difficult to isolate.</w:t>
      </w:r>
    </w:p>
    <w:p>
      <w:pPr>
        <w:pStyle w:val="Heading2"/>
        <w:keepNext/>
        <w:spacing w:after="40" w:before="220"/>
        <w:ind w:left="1700"/>
      </w:pPr>
      <w:r>
        <w:rPr>
          <w:rFonts w:ascii="Arial" w:cs="Arial" w:eastAsia="Arial" w:hAnsi="Arial"/>
          <w:b/>
          <w:bCs/>
          <w:color w:val="000000"/>
          <w:sz w:val="21"/>
          <w:szCs w:val="21"/>
        </w:rPr>
        <w:t xml:space="preserve">2.5 Transfer learning and domain adaptation across participants</w:t>
      </w:r>
    </w:p>
    <w:p>
      <w:pPr>
        <w:spacing w:after="0" w:line="252"/>
        <w:ind w:left="1700" w:firstLine="0"/>
        <w:jc w:val="both"/>
      </w:pPr>
      <w:r>
        <w:rPr>
          <w:rFonts w:ascii="Times New Roman" w:cs="Times New Roman" w:eastAsia="Times New Roman" w:hAnsi="Times New Roman"/>
          <w:sz w:val="20"/>
          <w:szCs w:val="20"/>
        </w:rPr>
        <w:t xml:space="preserve">Because inter-participant variability resembles a shift between data distributions, cross-participant EEG has been framed as a transfer-learning or domain-adaptation problem</w:t>
      </w:r>
      <w:r>
        <w:rPr>
          <w:rFonts w:ascii="Times New Roman" w:cs="Times New Roman" w:eastAsia="Times New Roman" w:hAnsi="Times New Roman"/>
          <w:color w:val="1F4E9A"/>
          <w:sz w:val="20"/>
          <w:szCs w:val="20"/>
          <w:vertAlign w:val="superscript"/>
        </w:rPr>
        <w:t xml:space="preserve">26,27</w:t>
      </w:r>
      <w:r>
        <w:rPr>
          <w:rFonts w:ascii="Times New Roman" w:cs="Times New Roman" w:eastAsia="Times New Roman" w:hAnsi="Times New Roman"/>
          <w:sz w:val="20"/>
          <w:szCs w:val="20"/>
        </w:rPr>
        <w:t xml:space="preserve">. Shallow approaches align feature distributions directly, for example with transfer component analysis</w:t>
      </w:r>
      <w:r>
        <w:rPr>
          <w:rFonts w:ascii="Times New Roman" w:cs="Times New Roman" w:eastAsia="Times New Roman" w:hAnsi="Times New Roman"/>
          <w:color w:val="1F4E9A"/>
          <w:sz w:val="20"/>
          <w:szCs w:val="20"/>
          <w:vertAlign w:val="superscript"/>
        </w:rPr>
        <w:t xml:space="preserve">38</w:t>
      </w:r>
      <w:r>
        <w:rPr>
          <w:rFonts w:ascii="Times New Roman" w:cs="Times New Roman" w:eastAsia="Times New Roman" w:hAnsi="Times New Roman"/>
          <w:sz w:val="20"/>
          <w:szCs w:val="20"/>
        </w:rPr>
        <w:t xml:space="preserve">, and early EEG studies showed that personalising models through transfer learning improves accuracy on new participants</w:t>
      </w:r>
      <w:r>
        <w:rPr>
          <w:rFonts w:ascii="Times New Roman" w:cs="Times New Roman" w:eastAsia="Times New Roman" w:hAnsi="Times New Roman"/>
          <w:color w:val="1F4E9A"/>
          <w:sz w:val="20"/>
          <w:szCs w:val="20"/>
          <w:vertAlign w:val="superscript"/>
        </w:rPr>
        <w:t xml:space="preserve">39</w:t>
      </w:r>
      <w:r>
        <w:rPr>
          <w:rFonts w:ascii="Times New Roman" w:cs="Times New Roman" w:eastAsia="Times New Roman" w:hAnsi="Times New Roman"/>
          <w:sz w:val="20"/>
          <w:szCs w:val="20"/>
        </w:rPr>
        <w:t xml:space="preserve">. In brain–computer interfaces more broadly, Riemannian re-centring of covariance matrices</w:t>
      </w:r>
      <w:r>
        <w:rPr>
          <w:rFonts w:ascii="Times New Roman" w:cs="Times New Roman" w:eastAsia="Times New Roman" w:hAnsi="Times New Roman"/>
          <w:color w:val="1F4E9A"/>
          <w:sz w:val="20"/>
          <w:szCs w:val="20"/>
          <w:vertAlign w:val="superscript"/>
        </w:rPr>
        <w:t xml:space="preserve">40</w:t>
      </w:r>
      <w:r>
        <w:rPr>
          <w:rFonts w:ascii="Times New Roman" w:cs="Times New Roman" w:eastAsia="Times New Roman" w:hAnsi="Times New Roman"/>
          <w:sz w:val="20"/>
          <w:szCs w:val="20"/>
        </w:rPr>
        <w:t xml:space="preserve"> and Euclidean alignment of each participant’s data</w:t>
      </w:r>
      <w:r>
        <w:rPr>
          <w:rFonts w:ascii="Times New Roman" w:cs="Times New Roman" w:eastAsia="Times New Roman" w:hAnsi="Times New Roman"/>
          <w:color w:val="1F4E9A"/>
          <w:sz w:val="20"/>
          <w:szCs w:val="20"/>
          <w:vertAlign w:val="superscript"/>
        </w:rPr>
        <w:t xml:space="preserve">41</w:t>
      </w:r>
      <w:r>
        <w:rPr>
          <w:rFonts w:ascii="Times New Roman" w:cs="Times New Roman" w:eastAsia="Times New Roman" w:hAnsi="Times New Roman"/>
          <w:sz w:val="20"/>
          <w:szCs w:val="20"/>
        </w:rPr>
        <w:t xml:space="preserve"> reduce inter-participant shift with little or no labelled target data.</w:t>
      </w:r>
    </w:p>
    <w:p>
      <w:pPr>
        <w:spacing w:after="0" w:line="252"/>
        <w:ind w:left="1700" w:firstLine="240"/>
        <w:jc w:val="both"/>
      </w:pPr>
      <w:r>
        <w:rPr>
          <w:rFonts w:ascii="Times New Roman" w:cs="Times New Roman" w:eastAsia="Times New Roman" w:hAnsi="Times New Roman"/>
          <w:sz w:val="20"/>
          <w:szCs w:val="20"/>
        </w:rPr>
        <w:t xml:space="preserve">Deep domain adaptation extends these ideas to learned representations. Deep adaptation networks minimise a maximum mean discrepancy between source and target features</w:t>
      </w:r>
      <w:r>
        <w:rPr>
          <w:rFonts w:ascii="Times New Roman" w:cs="Times New Roman" w:eastAsia="Times New Roman" w:hAnsi="Times New Roman"/>
          <w:color w:val="1F4E9A"/>
          <w:sz w:val="20"/>
          <w:szCs w:val="20"/>
          <w:vertAlign w:val="superscript"/>
        </w:rPr>
        <w:t xml:space="preserve">42</w:t>
      </w:r>
      <w:r>
        <w:rPr>
          <w:rFonts w:ascii="Times New Roman" w:cs="Times New Roman" w:eastAsia="Times New Roman" w:hAnsi="Times New Roman"/>
          <w:sz w:val="20"/>
          <w:szCs w:val="20"/>
        </w:rPr>
        <w:t xml:space="preserve">, and their application to SEED and SEED-IV improved cross-participant accuracy</w:t>
      </w:r>
      <w:r>
        <w:rPr>
          <w:rFonts w:ascii="Times New Roman" w:cs="Times New Roman" w:eastAsia="Times New Roman" w:hAnsi="Times New Roman"/>
          <w:color w:val="1F4E9A"/>
          <w:sz w:val="20"/>
          <w:szCs w:val="20"/>
          <w:vertAlign w:val="superscript"/>
        </w:rPr>
        <w:t xml:space="preserve">7</w:t>
      </w:r>
      <w:r>
        <w:rPr>
          <w:rFonts w:ascii="Times New Roman" w:cs="Times New Roman" w:eastAsia="Times New Roman" w:hAnsi="Times New Roman"/>
          <w:sz w:val="20"/>
          <w:szCs w:val="20"/>
        </w:rPr>
        <w:t xml:space="preserve">. Domain-adversarial training removes domain information with a gradient-reversal layer</w:t>
      </w:r>
      <w:r>
        <w:rPr>
          <w:rFonts w:ascii="Times New Roman" w:cs="Times New Roman" w:eastAsia="Times New Roman" w:hAnsi="Times New Roman"/>
          <w:color w:val="1F4E9A"/>
          <w:sz w:val="20"/>
          <w:szCs w:val="20"/>
          <w:vertAlign w:val="superscript"/>
        </w:rPr>
        <w:t xml:space="preserve">6</w:t>
      </w:r>
      <w:r>
        <w:rPr>
          <w:rFonts w:ascii="Times New Roman" w:cs="Times New Roman" w:eastAsia="Times New Roman" w:hAnsi="Times New Roman"/>
          <w:sz w:val="20"/>
          <w:szCs w:val="20"/>
        </w:rPr>
        <w:t xml:space="preserve"> and has been combined with bi-hemispheric models</w:t>
      </w:r>
      <w:r>
        <w:rPr>
          <w:rFonts w:ascii="Times New Roman" w:cs="Times New Roman" w:eastAsia="Times New Roman" w:hAnsi="Times New Roman"/>
          <w:color w:val="1F4E9A"/>
          <w:sz w:val="20"/>
          <w:szCs w:val="20"/>
          <w:vertAlign w:val="superscript"/>
        </w:rPr>
        <w:t xml:space="preserve">8,9</w:t>
      </w:r>
      <w:r>
        <w:rPr>
          <w:rFonts w:ascii="Times New Roman" w:cs="Times New Roman" w:eastAsia="Times New Roman" w:hAnsi="Times New Roman"/>
          <w:sz w:val="20"/>
          <w:szCs w:val="20"/>
        </w:rPr>
        <w:t xml:space="preserve">. Multisource transfer selects and weights the most similar source participants</w:t>
      </w:r>
      <w:r>
        <w:rPr>
          <w:rFonts w:ascii="Times New Roman" w:cs="Times New Roman" w:eastAsia="Times New Roman" w:hAnsi="Times New Roman"/>
          <w:color w:val="1F4E9A"/>
          <w:sz w:val="20"/>
          <w:szCs w:val="20"/>
          <w:vertAlign w:val="superscript"/>
        </w:rPr>
        <w:t xml:space="preserve">43</w:t>
      </w:r>
      <w:r>
        <w:rPr>
          <w:rFonts w:ascii="Times New Roman" w:cs="Times New Roman" w:eastAsia="Times New Roman" w:hAnsi="Times New Roman"/>
          <w:sz w:val="20"/>
          <w:szCs w:val="20"/>
        </w:rPr>
        <w:t xml:space="preserve">, and plug-and-play domain adaptation adapts a pretrained model to a new participant with a small amount of target data</w:t>
      </w:r>
      <w:r>
        <w:rPr>
          <w:rFonts w:ascii="Times New Roman" w:cs="Times New Roman" w:eastAsia="Times New Roman" w:hAnsi="Times New Roman"/>
          <w:color w:val="1F4E9A"/>
          <w:sz w:val="20"/>
          <w:szCs w:val="20"/>
          <w:vertAlign w:val="superscript"/>
        </w:rPr>
        <w:t xml:space="preserve">44</w:t>
      </w:r>
      <w:r>
        <w:rPr>
          <w:rFonts w:ascii="Times New Roman" w:cs="Times New Roman" w:eastAsia="Times New Roman" w:hAnsi="Times New Roman"/>
          <w:sz w:val="20"/>
          <w:szCs w:val="20"/>
        </w:rPr>
        <w:t xml:space="preserve">. A simpler mechanism, adaptive batch normalisation, re-estimates normalisation statistics on target data without changing the learned weights</w:t>
      </w:r>
      <w:r>
        <w:rPr>
          <w:rFonts w:ascii="Times New Roman" w:cs="Times New Roman" w:eastAsia="Times New Roman" w:hAnsi="Times New Roman"/>
          <w:color w:val="1F4E9A"/>
          <w:sz w:val="20"/>
          <w:szCs w:val="20"/>
          <w:vertAlign w:val="superscript"/>
        </w:rPr>
        <w:t xml:space="preserve">45</w:t>
      </w:r>
      <w:r>
        <w:rPr>
          <w:rFonts w:ascii="Times New Roman" w:cs="Times New Roman" w:eastAsia="Times New Roman" w:hAnsi="Times New Roman"/>
          <w:sz w:val="20"/>
          <w:szCs w:val="20"/>
        </w:rPr>
        <w:t xml:space="preserve">. A common feature of most of these methods is that they use data from the test participant: unlabelled data in the transductive setting, or a small labelled set in the calibration setting. Their reported accuracies therefore measure a different quantity from zero-shot generalisation, a distinction that is rarely made explicit.</w:t>
      </w:r>
    </w:p>
    <w:p>
      <w:pPr>
        <w:pStyle w:val="Heading2"/>
        <w:keepNext/>
        <w:spacing w:after="40" w:before="220"/>
        <w:ind w:left="1700"/>
      </w:pPr>
      <w:r>
        <w:rPr>
          <w:rFonts w:ascii="Arial" w:cs="Arial" w:eastAsia="Arial" w:hAnsi="Arial"/>
          <w:b/>
          <w:bCs/>
          <w:color w:val="000000"/>
          <w:sz w:val="21"/>
          <w:szCs w:val="21"/>
        </w:rPr>
        <w:t xml:space="preserve">2.6 Self-supervised, contrastive and semi-supervised learning</w:t>
      </w:r>
    </w:p>
    <w:p>
      <w:pPr>
        <w:spacing w:after="0" w:line="252"/>
        <w:ind w:left="1700" w:firstLine="0"/>
        <w:jc w:val="both"/>
      </w:pPr>
      <w:r>
        <w:rPr>
          <w:rFonts w:ascii="Times New Roman" w:cs="Times New Roman" w:eastAsia="Times New Roman" w:hAnsi="Times New Roman"/>
          <w:sz w:val="20"/>
          <w:szCs w:val="20"/>
        </w:rPr>
        <w:t xml:space="preserve">Self-supervised learning offers a way to learn representations without labels. Contrastive methods such as SimCLR pull together two augmented views of the same sample and push apart other samples</w:t>
      </w:r>
      <w:r>
        <w:rPr>
          <w:rFonts w:ascii="Times New Roman" w:cs="Times New Roman" w:eastAsia="Times New Roman" w:hAnsi="Times New Roman"/>
          <w:color w:val="1F4E9A"/>
          <w:sz w:val="20"/>
          <w:szCs w:val="20"/>
          <w:vertAlign w:val="superscript"/>
        </w:rPr>
        <w:t xml:space="preserve">46</w:t>
      </w:r>
      <w:r>
        <w:rPr>
          <w:rFonts w:ascii="Times New Roman" w:cs="Times New Roman" w:eastAsia="Times New Roman" w:hAnsi="Times New Roman"/>
          <w:sz w:val="20"/>
          <w:szCs w:val="20"/>
        </w:rPr>
        <w:t xml:space="preserve">, while BYOL avoids negative pairs by predicting one view from another with a slowly updated target network</w:t>
      </w:r>
      <w:r>
        <w:rPr>
          <w:rFonts w:ascii="Times New Roman" w:cs="Times New Roman" w:eastAsia="Times New Roman" w:hAnsi="Times New Roman"/>
          <w:color w:val="1F4E9A"/>
          <w:sz w:val="20"/>
          <w:szCs w:val="20"/>
          <w:vertAlign w:val="superscript"/>
        </w:rPr>
        <w:t xml:space="preserve">47</w:t>
      </w:r>
      <w:r>
        <w:rPr>
          <w:rFonts w:ascii="Times New Roman" w:cs="Times New Roman" w:eastAsia="Times New Roman" w:hAnsi="Times New Roman"/>
          <w:sz w:val="20"/>
          <w:szCs w:val="20"/>
        </w:rPr>
        <w:t xml:space="preserve">. For EEG, contrastive pretraining with signal-specific augmentations</w:t>
      </w:r>
      <w:r>
        <w:rPr>
          <w:rFonts w:ascii="Times New Roman" w:cs="Times New Roman" w:eastAsia="Times New Roman" w:hAnsi="Times New Roman"/>
          <w:color w:val="1F4E9A"/>
          <w:sz w:val="20"/>
          <w:szCs w:val="20"/>
          <w:vertAlign w:val="superscript"/>
        </w:rPr>
        <w:t xml:space="preserve">48</w:t>
      </w:r>
      <w:r>
        <w:rPr>
          <w:rFonts w:ascii="Times New Roman" w:cs="Times New Roman" w:eastAsia="Times New Roman" w:hAnsi="Times New Roman"/>
          <w:sz w:val="20"/>
          <w:szCs w:val="20"/>
        </w:rPr>
        <w:t xml:space="preserve">, relative-positioning and temporal-shuffling pretext tasks</w:t>
      </w:r>
      <w:r>
        <w:rPr>
          <w:rFonts w:ascii="Times New Roman" w:cs="Times New Roman" w:eastAsia="Times New Roman" w:hAnsi="Times New Roman"/>
          <w:color w:val="1F4E9A"/>
          <w:sz w:val="20"/>
          <w:szCs w:val="20"/>
          <w:vertAlign w:val="superscript"/>
        </w:rPr>
        <w:t xml:space="preserve">49</w:t>
      </w:r>
      <w:r>
        <w:rPr>
          <w:rFonts w:ascii="Times New Roman" w:cs="Times New Roman" w:eastAsia="Times New Roman" w:hAnsi="Times New Roman"/>
          <w:sz w:val="20"/>
          <w:szCs w:val="20"/>
        </w:rPr>
        <w:t xml:space="preserve"> and transformer-based contrastive pretraining on large unlabelled corpora</w:t>
      </w:r>
      <w:r>
        <w:rPr>
          <w:rFonts w:ascii="Times New Roman" w:cs="Times New Roman" w:eastAsia="Times New Roman" w:hAnsi="Times New Roman"/>
          <w:color w:val="1F4E9A"/>
          <w:sz w:val="20"/>
          <w:szCs w:val="20"/>
          <w:vertAlign w:val="superscript"/>
        </w:rPr>
        <w:t xml:space="preserve">50</w:t>
      </w:r>
      <w:r>
        <w:rPr>
          <w:rFonts w:ascii="Times New Roman" w:cs="Times New Roman" w:eastAsia="Times New Roman" w:hAnsi="Times New Roman"/>
          <w:sz w:val="20"/>
          <w:szCs w:val="20"/>
        </w:rPr>
        <w:t xml:space="preserve"> have all produced representations that transfer to downstream tasks. CLISA adapted contrastive learning specifically to cross-participant emotion recognition by treating the time-aligned responses of different participants to the same stimulus as positive pairs, explicitly encouraging inter-participant alignment</w:t>
      </w:r>
      <w:r>
        <w:rPr>
          <w:rFonts w:ascii="Times New Roman" w:cs="Times New Roman" w:eastAsia="Times New Roman" w:hAnsi="Times New Roman"/>
          <w:color w:val="1F4E9A"/>
          <w:sz w:val="20"/>
          <w:szCs w:val="20"/>
          <w:vertAlign w:val="superscript"/>
        </w:rPr>
        <w:t xml:space="preserve">5</w:t>
      </w:r>
      <w:r>
        <w:rPr>
          <w:rFonts w:ascii="Times New Roman" w:cs="Times New Roman" w:eastAsia="Times New Roman" w:hAnsi="Times New Roman"/>
          <w:sz w:val="20"/>
          <w:szCs w:val="20"/>
        </w:rPr>
        <w:t xml:space="preserve">.</w:t>
      </w:r>
    </w:p>
    <w:p>
      <w:pPr>
        <w:spacing w:after="0" w:line="252"/>
        <w:ind w:left="1700" w:firstLine="240"/>
        <w:jc w:val="both"/>
      </w:pPr>
      <w:r>
        <w:rPr>
          <w:rFonts w:ascii="Times New Roman" w:cs="Times New Roman" w:eastAsia="Times New Roman" w:hAnsi="Times New Roman"/>
          <w:sz w:val="20"/>
          <w:szCs w:val="20"/>
        </w:rPr>
        <w:t xml:space="preserve">Semi-supervised methods exploit unlabelled data during supervised training. Pseudo-labelling adds confident predictions on unlabelled data as training targets</w:t>
      </w:r>
      <w:r>
        <w:rPr>
          <w:rFonts w:ascii="Times New Roman" w:cs="Times New Roman" w:eastAsia="Times New Roman" w:hAnsi="Times New Roman"/>
          <w:color w:val="1F4E9A"/>
          <w:sz w:val="20"/>
          <w:szCs w:val="20"/>
          <w:vertAlign w:val="superscript"/>
        </w:rPr>
        <w:t xml:space="preserve">51</w:t>
      </w:r>
      <w:r>
        <w:rPr>
          <w:rFonts w:ascii="Times New Roman" w:cs="Times New Roman" w:eastAsia="Times New Roman" w:hAnsi="Times New Roman"/>
          <w:sz w:val="20"/>
          <w:szCs w:val="20"/>
        </w:rPr>
        <w:t xml:space="preserve">, and MixMatch combines consistency regularisation, entropy minimisation and mixing</w:t>
      </w:r>
      <w:r>
        <w:rPr>
          <w:rFonts w:ascii="Times New Roman" w:cs="Times New Roman" w:eastAsia="Times New Roman" w:hAnsi="Times New Roman"/>
          <w:color w:val="1F4E9A"/>
          <w:sz w:val="20"/>
          <w:szCs w:val="20"/>
          <w:vertAlign w:val="superscript"/>
        </w:rPr>
        <w:t xml:space="preserve">52</w:t>
      </w:r>
      <w:r>
        <w:rPr>
          <w:rFonts w:ascii="Times New Roman" w:cs="Times New Roman" w:eastAsia="Times New Roman" w:hAnsi="Times New Roman"/>
          <w:sz w:val="20"/>
          <w:szCs w:val="20"/>
        </w:rPr>
        <w:t xml:space="preserve">. When the unlabelled data come from the test participant, these methods become transductive. Knowledge distillation</w:t>
      </w:r>
      <w:r>
        <w:rPr>
          <w:rFonts w:ascii="Times New Roman" w:cs="Times New Roman" w:eastAsia="Times New Roman" w:hAnsi="Times New Roman"/>
          <w:color w:val="1F4E9A"/>
          <w:sz w:val="20"/>
          <w:szCs w:val="20"/>
          <w:vertAlign w:val="superscript"/>
        </w:rPr>
        <w:t xml:space="preserve">53</w:t>
      </w:r>
      <w:r>
        <w:rPr>
          <w:rFonts w:ascii="Times New Roman" w:cs="Times New Roman" w:eastAsia="Times New Roman" w:hAnsi="Times New Roman"/>
          <w:sz w:val="20"/>
          <w:szCs w:val="20"/>
        </w:rPr>
        <w:t xml:space="preserve"> has been used to transfer information from a large teacher to a compact student and is relevant when moving from dense to sparse electrode montages.</w:t>
      </w:r>
    </w:p>
    <w:p>
      <w:pPr>
        <w:pStyle w:val="Heading2"/>
        <w:keepNext/>
        <w:spacing w:after="40" w:before="220"/>
        <w:ind w:left="1700"/>
      </w:pPr>
      <w:r>
        <w:rPr>
          <w:rFonts w:ascii="Arial" w:cs="Arial" w:eastAsia="Arial" w:hAnsi="Arial"/>
          <w:b/>
          <w:bCs/>
          <w:color w:val="000000"/>
          <w:sz w:val="21"/>
          <w:szCs w:val="21"/>
        </w:rPr>
        <w:t xml:space="preserve">2.7 Calibration, evaluation protocols and reporting</w:t>
      </w:r>
    </w:p>
    <w:p>
      <w:pPr>
        <w:spacing w:after="0" w:line="252"/>
        <w:ind w:left="1700" w:firstLine="0"/>
        <w:jc w:val="both"/>
      </w:pPr>
      <w:r>
        <w:rPr>
          <w:rFonts w:ascii="Times New Roman" w:cs="Times New Roman" w:eastAsia="Times New Roman" w:hAnsi="Times New Roman"/>
          <w:sz w:val="20"/>
          <w:szCs w:val="20"/>
        </w:rPr>
        <w:t xml:space="preserve">In motor-imagery and event-related brain–computer interfaces, a short calibration session for each new user is standard practice, and transfer learning is primarily used to shorten it</w:t>
      </w:r>
      <w:r>
        <w:rPr>
          <w:rFonts w:ascii="Times New Roman" w:cs="Times New Roman" w:eastAsia="Times New Roman" w:hAnsi="Times New Roman"/>
          <w:color w:val="1F4E9A"/>
          <w:sz w:val="20"/>
          <w:szCs w:val="20"/>
          <w:vertAlign w:val="superscript"/>
        </w:rPr>
        <w:t xml:space="preserve">26,27,29</w:t>
      </w:r>
      <w:r>
        <w:rPr>
          <w:rFonts w:ascii="Times New Roman" w:cs="Times New Roman" w:eastAsia="Times New Roman" w:hAnsi="Times New Roman"/>
          <w:sz w:val="20"/>
          <w:szCs w:val="20"/>
        </w:rPr>
        <w:t xml:space="preserve">. In EEG emotion recognition, by contrast, results labelled as cross-participant or subject-independent may be zero-shot, transductive or calibrated, and the protocol is often described only implicitly. The amount of target data and how it is selected are rarely reported, even though, as the present study shows, they can dominate the outcome.</w:t>
      </w:r>
    </w:p>
    <w:p>
      <w:pPr>
        <w:spacing w:after="0" w:line="252"/>
        <w:ind w:left="1700" w:firstLine="240"/>
        <w:jc w:val="both"/>
      </w:pPr>
      <w:r>
        <w:rPr>
          <w:rFonts w:ascii="Times New Roman" w:cs="Times New Roman" w:eastAsia="Times New Roman" w:hAnsi="Times New Roman"/>
          <w:sz w:val="20"/>
          <w:szCs w:val="20"/>
        </w:rPr>
        <w:t xml:space="preserve">Data splitting raises related concerns. When windows from the same participant or trial appear in both training and test data, models can exploit participant identity or temporal autocorrelation rather than the effect of interest, inflating accuracy</w:t>
      </w:r>
      <w:r>
        <w:rPr>
          <w:rFonts w:ascii="Times New Roman" w:cs="Times New Roman" w:eastAsia="Times New Roman" w:hAnsi="Times New Roman"/>
          <w:color w:val="1F4E9A"/>
          <w:sz w:val="20"/>
          <w:szCs w:val="20"/>
          <w:vertAlign w:val="superscript"/>
        </w:rPr>
        <w:t xml:space="preserve">16,17</w:t>
      </w:r>
      <w:r>
        <w:rPr>
          <w:rFonts w:ascii="Times New Roman" w:cs="Times New Roman" w:eastAsia="Times New Roman" w:hAnsi="Times New Roman"/>
          <w:sz w:val="20"/>
          <w:szCs w:val="20"/>
        </w:rPr>
        <w:t xml:space="preserve">. In EEG, block designs in which all samples of a class are recorded together allow classifiers to learn slow temporal drifts instead of class-specific responses</w:t>
      </w:r>
      <w:r>
        <w:rPr>
          <w:rFonts w:ascii="Times New Roman" w:cs="Times New Roman" w:eastAsia="Times New Roman" w:hAnsi="Times New Roman"/>
          <w:color w:val="1F4E9A"/>
          <w:sz w:val="20"/>
          <w:szCs w:val="20"/>
          <w:vertAlign w:val="superscript"/>
        </w:rPr>
        <w:t xml:space="preserve">18</w:t>
      </w:r>
      <w:r>
        <w:rPr>
          <w:rFonts w:ascii="Times New Roman" w:cs="Times New Roman" w:eastAsia="Times New Roman" w:hAnsi="Times New Roman"/>
          <w:sz w:val="20"/>
          <w:szCs w:val="20"/>
        </w:rPr>
        <w:t xml:space="preserve">. Finally, many studies report the mean of a small number of runs without participant-level uncertainty, and some report the best fold, which is not an estimate of expected performance. Reporting guidelines for prediction models, such as TRIPOD+AI</w:t>
      </w:r>
      <w:r>
        <w:rPr>
          <w:rFonts w:ascii="Times New Roman" w:cs="Times New Roman" w:eastAsia="Times New Roman" w:hAnsi="Times New Roman"/>
          <w:color w:val="1F4E9A"/>
          <w:sz w:val="20"/>
          <w:szCs w:val="20"/>
          <w:vertAlign w:val="superscript"/>
        </w:rPr>
        <w:t xml:space="preserve">54</w:t>
      </w:r>
      <w:r>
        <w:rPr>
          <w:rFonts w:ascii="Times New Roman" w:cs="Times New Roman" w:eastAsia="Times New Roman" w:hAnsi="Times New Roman"/>
          <w:sz w:val="20"/>
          <w:szCs w:val="20"/>
        </w:rPr>
        <w:t xml:space="preserve">, and statistical procedures for comparing classifiers across data sets</w:t>
      </w:r>
      <w:r>
        <w:rPr>
          <w:rFonts w:ascii="Times New Roman" w:cs="Times New Roman" w:eastAsia="Times New Roman" w:hAnsi="Times New Roman"/>
          <w:color w:val="1F4E9A"/>
          <w:sz w:val="20"/>
          <w:szCs w:val="20"/>
          <w:vertAlign w:val="superscript"/>
        </w:rPr>
        <w:t xml:space="preserve">55</w:t>
      </w:r>
      <w:r>
        <w:rPr>
          <w:rFonts w:ascii="Times New Roman" w:cs="Times New Roman" w:eastAsia="Times New Roman" w:hAnsi="Times New Roman"/>
          <w:sz w:val="20"/>
          <w:szCs w:val="20"/>
        </w:rPr>
        <w:t xml:space="preserve"> provide a framework for addressing these issues that has seldom been applied to EEG emotion recognition.</w:t>
      </w:r>
    </w:p>
    <w:p>
      <w:pPr>
        <w:pStyle w:val="Heading2"/>
        <w:keepNext/>
        <w:spacing w:after="40" w:before="220"/>
        <w:ind w:left="1700"/>
      </w:pPr>
      <w:r>
        <w:rPr>
          <w:rFonts w:ascii="Arial" w:cs="Arial" w:eastAsia="Arial" w:hAnsi="Arial"/>
          <w:b/>
          <w:bCs/>
          <w:color w:val="000000"/>
          <w:sz w:val="21"/>
          <w:szCs w:val="21"/>
        </w:rPr>
        <w:t xml:space="preserve">2.8 Reduced-electrode and wearable EEG</w:t>
      </w:r>
    </w:p>
    <w:p>
      <w:pPr>
        <w:spacing w:after="0" w:line="252"/>
        <w:ind w:left="1700" w:firstLine="0"/>
        <w:jc w:val="both"/>
      </w:pPr>
      <w:r>
        <w:rPr>
          <w:rFonts w:ascii="Times New Roman" w:cs="Times New Roman" w:eastAsia="Times New Roman" w:hAnsi="Times New Roman"/>
          <w:sz w:val="20"/>
          <w:szCs w:val="20"/>
        </w:rPr>
        <w:t xml:space="preserve">Practical affective interfaces require few electrodes. Consumer headsets such as the 14-channel device used in DREAMER</w:t>
      </w:r>
      <w:r>
        <w:rPr>
          <w:rFonts w:ascii="Times New Roman" w:cs="Times New Roman" w:eastAsia="Times New Roman" w:hAnsi="Times New Roman"/>
          <w:color w:val="1F4E9A"/>
          <w:sz w:val="20"/>
          <w:szCs w:val="20"/>
          <w:vertAlign w:val="superscript"/>
        </w:rPr>
        <w:t xml:space="preserve">19</w:t>
      </w:r>
      <w:r>
        <w:rPr>
          <w:rFonts w:ascii="Times New Roman" w:cs="Times New Roman" w:eastAsia="Times New Roman" w:hAnsi="Times New Roman"/>
          <w:sz w:val="20"/>
          <w:szCs w:val="20"/>
        </w:rPr>
        <w:t xml:space="preserve"> and four-channel forehead-and-ear headbands have been validated for some research purposes</w:t>
      </w:r>
      <w:r>
        <w:rPr>
          <w:rFonts w:ascii="Times New Roman" w:cs="Times New Roman" w:eastAsia="Times New Roman" w:hAnsi="Times New Roman"/>
          <w:color w:val="1F4E9A"/>
          <w:sz w:val="20"/>
          <w:szCs w:val="20"/>
          <w:vertAlign w:val="superscript"/>
        </w:rPr>
        <w:t xml:space="preserve">56</w:t>
      </w:r>
      <w:r>
        <w:rPr>
          <w:rFonts w:ascii="Times New Roman" w:cs="Times New Roman" w:eastAsia="Times New Roman" w:hAnsi="Times New Roman"/>
          <w:sz w:val="20"/>
          <w:szCs w:val="20"/>
        </w:rPr>
        <w:t xml:space="preserve">, and wearable EEG is an active area of engineering development</w:t>
      </w:r>
      <w:r>
        <w:rPr>
          <w:rFonts w:ascii="Times New Roman" w:cs="Times New Roman" w:eastAsia="Times New Roman" w:hAnsi="Times New Roman"/>
          <w:color w:val="1F4E9A"/>
          <w:sz w:val="20"/>
          <w:szCs w:val="20"/>
          <w:vertAlign w:val="superscript"/>
        </w:rPr>
        <w:t xml:space="preserve">57</w:t>
      </w:r>
      <w:r>
        <w:rPr>
          <w:rFonts w:ascii="Times New Roman" w:cs="Times New Roman" w:eastAsia="Times New Roman" w:hAnsi="Times New Roman"/>
          <w:sz w:val="20"/>
          <w:szCs w:val="20"/>
        </w:rPr>
        <w:t xml:space="preserve">. In SEED, Zheng and Lu showed that selected subsets of four to six lateral temporal electrodes retained accuracy close to the full montage in subject-dependent classification</w:t>
      </w:r>
      <w:r>
        <w:rPr>
          <w:rFonts w:ascii="Times New Roman" w:cs="Times New Roman" w:eastAsia="Times New Roman" w:hAnsi="Times New Roman"/>
          <w:color w:val="1F4E9A"/>
          <w:sz w:val="20"/>
          <w:szCs w:val="20"/>
          <w:vertAlign w:val="superscript"/>
        </w:rPr>
        <w:t xml:space="preserve">3</w:t>
      </w:r>
      <w:r>
        <w:rPr>
          <w:rFonts w:ascii="Times New Roman" w:cs="Times New Roman" w:eastAsia="Times New Roman" w:hAnsi="Times New Roman"/>
          <w:sz w:val="20"/>
          <w:szCs w:val="20"/>
        </w:rPr>
        <w:t xml:space="preserve">, consistent with the emotion-related information carried by frontal and temporal sites</w:t>
      </w:r>
      <w:r>
        <w:rPr>
          <w:rFonts w:ascii="Times New Roman" w:cs="Times New Roman" w:eastAsia="Times New Roman" w:hAnsi="Times New Roman"/>
          <w:color w:val="1F4E9A"/>
          <w:sz w:val="20"/>
          <w:szCs w:val="20"/>
          <w:vertAlign w:val="superscript"/>
        </w:rPr>
        <w:t xml:space="preserve">20,21</w:t>
      </w:r>
      <w:r>
        <w:rPr>
          <w:rFonts w:ascii="Times New Roman" w:cs="Times New Roman" w:eastAsia="Times New Roman" w:hAnsi="Times New Roman"/>
          <w:sz w:val="20"/>
          <w:szCs w:val="20"/>
        </w:rPr>
        <w:t xml:space="preserve">. Knowledge distillation from dense to sparse montages has also been proposed</w:t>
      </w:r>
      <w:r>
        <w:rPr>
          <w:rFonts w:ascii="Times New Roman" w:cs="Times New Roman" w:eastAsia="Times New Roman" w:hAnsi="Times New Roman"/>
          <w:color w:val="1F4E9A"/>
          <w:sz w:val="20"/>
          <w:szCs w:val="20"/>
          <w:vertAlign w:val="superscript"/>
        </w:rPr>
        <w:t xml:space="preserve">53</w:t>
      </w:r>
      <w:r>
        <w:rPr>
          <w:rFonts w:ascii="Times New Roman" w:cs="Times New Roman" w:eastAsia="Times New Roman" w:hAnsi="Times New Roman"/>
          <w:sz w:val="20"/>
          <w:szCs w:val="20"/>
        </w:rPr>
        <w:t xml:space="preserve">.</w:t>
      </w:r>
    </w:p>
    <w:p>
      <w:pPr>
        <w:spacing w:after="0" w:line="252"/>
        <w:ind w:left="1700" w:firstLine="240"/>
        <w:jc w:val="both"/>
      </w:pPr>
      <w:r>
        <w:rPr>
          <w:rFonts w:ascii="Times New Roman" w:cs="Times New Roman" w:eastAsia="Times New Roman" w:hAnsi="Times New Roman"/>
          <w:sz w:val="20"/>
          <w:szCs w:val="20"/>
        </w:rPr>
        <w:t xml:space="preserve">However, most reduced-electrode studies evaluate subject-dependent performance, select electrodes using data from the same participants on which they are tested, or compare different models across montages. How much cross-participant performance survives electrode reduction when the same models and the same protocol are used, and how this depends on calibration, has not been quantified with participant-level uncertainty.</w:t>
      </w:r>
    </w:p>
    <w:p>
      <w:pPr>
        <w:pStyle w:val="Heading2"/>
        <w:keepNext/>
        <w:spacing w:after="40" w:before="220"/>
        <w:ind w:left="1700"/>
      </w:pPr>
      <w:r>
        <w:rPr>
          <w:rFonts w:ascii="Arial" w:cs="Arial" w:eastAsia="Arial" w:hAnsi="Arial"/>
          <w:b/>
          <w:bCs/>
          <w:color w:val="000000"/>
          <w:sz w:val="21"/>
          <w:szCs w:val="21"/>
        </w:rPr>
        <w:t xml:space="preserve">2.9 Research gap</w:t>
      </w:r>
    </w:p>
    <w:p>
      <w:pPr>
        <w:spacing w:after="0" w:line="252"/>
        <w:ind w:left="1700" w:firstLine="0"/>
        <w:jc w:val="both"/>
      </w:pPr>
      <w:r>
        <w:rPr>
          <w:rFonts w:ascii="Times New Roman" w:cs="Times New Roman" w:eastAsia="Times New Roman" w:hAnsi="Times New Roman"/>
          <w:sz w:val="20"/>
          <w:szCs w:val="20"/>
        </w:rPr>
        <w:t xml:space="preserve">Four gaps emerge from this literature. First, reported cross-participant accuracies mix zero-shot, transductive and calibrated protocols and are sometimes summarised as a best fold rather than a participant mean, so they cannot be compared (Table 1). Second, no study has separated, under one protocol, how much of the performance of classical, supervised, self-supervised, adversarial and semi-supervised models (Table 2) comes from labelled data of the new user. Third, the consequences of temporal dependence between windows for calibration and validation are rarely considered. Fourth, electrode reduction is rarely quantified with the same models, the same protocol and participant-level uncertainty. The present study addresses these gaps with a 26-model benchmark that reports zero-shot and calibrated performance separately, uses participant-level statistics, documents the limitations of its own calibration protocol, and evaluates a six-electrode wearable-compatible montage under identical conditions.</w:t>
      </w:r>
    </w:p>
    <w:p>
      <w:pPr>
        <w:pStyle w:val="Heading1"/>
        <w:keepNext/>
        <w:spacing w:after="40" w:before="300"/>
        <w:ind w:left="1700"/>
      </w:pPr>
      <w:r>
        <w:rPr>
          <w:rFonts w:ascii="Arial" w:cs="Arial" w:eastAsia="Arial" w:hAnsi="Arial"/>
          <w:b/>
          <w:bCs/>
          <w:color w:val="000000"/>
          <w:sz w:val="26"/>
          <w:szCs w:val="26"/>
        </w:rPr>
        <w:t xml:space="preserve">3 Materials and Methods</w:t>
      </w:r>
    </w:p>
    <w:p>
      <w:pPr>
        <w:spacing w:after="0" w:line="252"/>
        <w:ind w:left="1700" w:firstLine="0"/>
        <w:jc w:val="both"/>
      </w:pPr>
      <w:r>
        <w:rPr>
          <w:rFonts w:ascii="Times New Roman" w:cs="Times New Roman" w:eastAsia="Times New Roman" w:hAnsi="Times New Roman"/>
          <w:sz w:val="20"/>
          <w:szCs w:val="20"/>
        </w:rPr>
        <w:t xml:space="preserve">In this section, the dataset, evaluation protocol, model families, the CLISA-EWU architecture, evaluation metrics and statistical analysis are described. The overall workflow of the study is shown in Fig. 1.</w:t>
      </w:r>
    </w:p>
    <w:p>
      <w:pPr>
        <w:keepNext/>
        <w:spacing w:before="240"/>
        <w:jc w:val="center"/>
      </w:pPr>
      <w:r>
        <w:drawing>
          <wp:inline distT="0" distB="0" distL="0" distR="0">
            <wp:extent cx="4638675"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38675" cy="5334000"/>
                    </a:xfrm>
                    <a:prstGeom prst="rect">
                      <a:avLst/>
                    </a:prstGeom>
                  </pic:spPr>
                </pic:pic>
              </a:graphicData>
            </a:graphic>
          </wp:inline>
        </w:drawing>
      </w:r>
    </w:p>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Fig. 1</w:t>
      </w:r>
      <w:r>
        <w:rPr>
          <w:rFonts w:ascii="Times New Roman" w:cs="Times New Roman" w:eastAsia="Times New Roman" w:hAnsi="Times New Roman"/>
          <w:sz w:val="19"/>
          <w:szCs w:val="19"/>
        </w:rPr>
        <w:t xml:space="preserve">. Experimental workflow. Exploratory data analysis; leave-one-participant-out splitting with three seeds; classical, supervised, self-supervised, semi-supervised and domain-adversarial model families; electrode selection for the six-electrode montage; and zero-shot and calibrated evaluation with accuracy, macro F1, confusion matrices and t-SNE.</w:t>
      </w:r>
    </w:p>
    <w:p>
      <w:pPr>
        <w:pStyle w:val="Heading2"/>
        <w:keepNext/>
        <w:spacing w:after="40" w:before="220"/>
        <w:ind w:left="1700"/>
      </w:pPr>
      <w:r>
        <w:rPr>
          <w:rFonts w:ascii="Arial" w:cs="Arial" w:eastAsia="Arial" w:hAnsi="Arial"/>
          <w:b/>
          <w:bCs/>
          <w:color w:val="000000"/>
          <w:sz w:val="21"/>
          <w:szCs w:val="21"/>
        </w:rPr>
        <w:t xml:space="preserve">3.1 Study design and reporting</w:t>
      </w:r>
    </w:p>
    <w:p>
      <w:pPr>
        <w:spacing w:after="0" w:line="252"/>
        <w:ind w:left="1700" w:firstLine="0"/>
        <w:jc w:val="both"/>
      </w:pPr>
      <w:r>
        <w:rPr>
          <w:rFonts w:ascii="Times New Roman" w:cs="Times New Roman" w:eastAsia="Times New Roman" w:hAnsi="Times New Roman"/>
          <w:sz w:val="20"/>
          <w:szCs w:val="20"/>
        </w:rPr>
        <w:t xml:space="preserve">This study is a retrospective secondary analysis of a public EEG dataset with a pre-defined evaluation design in which the participant is the unit of analysis. All models were trained and evaluated under the same leave-one-participant-out protocol, with the same features, splits and seeds, so that differences between models reflect the models rather than the protocol. The study is reported following the TRIPOD+AI guideline where applicable</w:t>
      </w:r>
      <w:r>
        <w:rPr>
          <w:rFonts w:ascii="Times New Roman" w:cs="Times New Roman" w:eastAsia="Times New Roman" w:hAnsi="Times New Roman"/>
          <w:color w:val="1F4E9A"/>
          <w:sz w:val="20"/>
          <w:szCs w:val="20"/>
          <w:vertAlign w:val="superscript"/>
        </w:rPr>
        <w:t xml:space="preserve">54</w:t>
      </w:r>
      <w:r>
        <w:rPr>
          <w:rFonts w:ascii="Times New Roman" w:cs="Times New Roman" w:eastAsia="Times New Roman" w:hAnsi="Times New Roman"/>
          <w:sz w:val="20"/>
          <w:szCs w:val="20"/>
        </w:rPr>
        <w:t xml:space="preserve">. No new participants were recruited and no participant-level data beyond the released features were accessed.</w:t>
      </w:r>
    </w:p>
    <w:p>
      <w:pPr>
        <w:pStyle w:val="Heading2"/>
        <w:keepNext/>
        <w:spacing w:after="40" w:before="220"/>
        <w:ind w:left="1700"/>
      </w:pPr>
      <w:r>
        <w:rPr>
          <w:rFonts w:ascii="Arial" w:cs="Arial" w:eastAsia="Arial" w:hAnsi="Arial"/>
          <w:b/>
          <w:bCs/>
          <w:color w:val="000000"/>
          <w:sz w:val="21"/>
          <w:szCs w:val="21"/>
        </w:rPr>
        <w:t xml:space="preserve">3.2 Data description</w:t>
      </w:r>
    </w:p>
    <w:p>
      <w:pPr>
        <w:spacing w:after="0" w:line="252"/>
        <w:ind w:left="1700" w:firstLine="0"/>
        <w:jc w:val="both"/>
      </w:pPr>
      <w:r>
        <w:rPr>
          <w:rFonts w:ascii="Times New Roman" w:cs="Times New Roman" w:eastAsia="Times New Roman" w:hAnsi="Times New Roman"/>
          <w:sz w:val="20"/>
          <w:szCs w:val="20"/>
        </w:rPr>
        <w:t xml:space="preserve">The public SEED-IV dataset</w:t>
      </w:r>
      <w:r>
        <w:rPr>
          <w:rFonts w:ascii="Times New Roman" w:cs="Times New Roman" w:eastAsia="Times New Roman" w:hAnsi="Times New Roman"/>
          <w:color w:val="1F4E9A"/>
          <w:sz w:val="20"/>
          <w:szCs w:val="20"/>
          <w:vertAlign w:val="superscript"/>
        </w:rPr>
        <w:t xml:space="preserve">2</w:t>
      </w:r>
      <w:r>
        <w:rPr>
          <w:rFonts w:ascii="Times New Roman" w:cs="Times New Roman" w:eastAsia="Times New Roman" w:hAnsi="Times New Roman"/>
          <w:sz w:val="20"/>
          <w:szCs w:val="20"/>
        </w:rPr>
        <w:t xml:space="preserve"> was used. Fifteen healthy adults </w:t>
      </w:r>
      <w:r>
        <w:rPr>
          <w:rFonts w:ascii="Times New Roman" w:cs="Times New Roman" w:eastAsia="Times New Roman" w:hAnsi="Times New Roman"/>
          <w:sz w:val="20"/>
          <w:szCs w:val="20"/>
          <w:highlight w:val="yellow"/>
          <w:highlightCs w:val="yellow"/>
        </w:rPr>
        <w:t xml:space="preserve">[report sex and age range from the dataset paper]</w:t>
      </w:r>
      <w:r>
        <w:rPr>
          <w:rFonts w:ascii="Times New Roman" w:cs="Times New Roman" w:eastAsia="Times New Roman" w:hAnsi="Times New Roman"/>
          <w:sz w:val="20"/>
          <w:szCs w:val="20"/>
        </w:rPr>
        <w:t xml:space="preserve"> watched 72 film clips (24 per session, three sessions on different days) selected to elicit neutral, sad, fear and happy states while 62-channel EEG was recorded according to the international 10–20 system. The released feature set contains 37,575 four-second windows, 2505 per participant, with 10,170 neutral (27.1%), 10,245 sad (27.3%), 9225 fear (24.6%) and 7935 happy (21.1%) windows (Fig. 2); the classes are therefore close to balanced. Labels are assigned per film clip, so all windows of a trial share one label.</w:t>
      </w:r>
    </w:p>
    <w:p>
      <w:pPr>
        <w:keepNext/>
        <w:spacing w:before="240"/>
        <w:jc w:val="center"/>
      </w:pPr>
      <w:r>
        <w:drawing>
          <wp:inline distT="0" distB="0" distL="0" distR="0">
            <wp:extent cx="60960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2276475"/>
                    </a:xfrm>
                    <a:prstGeom prst="rect">
                      <a:avLst/>
                    </a:prstGeom>
                  </pic:spPr>
                </pic:pic>
              </a:graphicData>
            </a:graphic>
          </wp:inline>
        </w:drawing>
      </w:r>
    </w:p>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Fig. 2</w:t>
      </w:r>
      <w:r>
        <w:rPr>
          <w:rFonts w:ascii="Times New Roman" w:cs="Times New Roman" w:eastAsia="Times New Roman" w:hAnsi="Times New Roman"/>
          <w:sz w:val="19"/>
          <w:szCs w:val="19"/>
        </w:rPr>
        <w:t xml:space="preserve">. SEED-IV differential-entropy dataset composition. (a) Windows per participant (2505 each; 37,575 in total). (b) Windows per emotion class.</w:t>
      </w:r>
    </w:p>
    <w:p>
      <w:pPr>
        <w:spacing w:after="0" w:line="252"/>
        <w:ind w:left="1700" w:firstLine="240"/>
        <w:jc w:val="both"/>
      </w:pPr>
      <w:r>
        <w:rPr>
          <w:rFonts w:ascii="Times New Roman" w:cs="Times New Roman" w:eastAsia="Times New Roman" w:hAnsi="Times New Roman"/>
          <w:sz w:val="20"/>
          <w:szCs w:val="20"/>
        </w:rPr>
        <w:t xml:space="preserve">This study used only the publicly available, de-identified SEED-IV dataset. Data collection was approved by the providers’ institutional ethics committee and all participants gave informed consent; no new human data were collected. All methods were carried out in accordance with relevant guidelines and regulations.</w:t>
      </w:r>
    </w:p>
    <w:p>
      <w:pPr>
        <w:pStyle w:val="Heading2"/>
        <w:keepNext/>
        <w:spacing w:after="40" w:before="220"/>
        <w:ind w:left="1700"/>
      </w:pPr>
      <w:r>
        <w:rPr>
          <w:rFonts w:ascii="Arial" w:cs="Arial" w:eastAsia="Arial" w:hAnsi="Arial"/>
          <w:b/>
          <w:bCs/>
          <w:color w:val="000000"/>
          <w:sz w:val="21"/>
          <w:szCs w:val="21"/>
        </w:rPr>
        <w:t xml:space="preserve">3.3 Data preprocessing and feature extraction</w:t>
      </w:r>
    </w:p>
    <w:p>
      <w:pPr>
        <w:spacing w:after="0" w:line="252"/>
        <w:ind w:left="1700" w:firstLine="0"/>
        <w:jc w:val="both"/>
      </w:pPr>
      <w:r>
        <w:rPr>
          <w:rFonts w:ascii="Times New Roman" w:cs="Times New Roman" w:eastAsia="Times New Roman" w:hAnsi="Times New Roman"/>
          <w:sz w:val="20"/>
          <w:szCs w:val="20"/>
        </w:rPr>
        <w:t xml:space="preserve">The EEG in SEED-IV was downsampled to 200 Hz and band-pass filtered by the dataset providers</w:t>
      </w:r>
      <w:r>
        <w:rPr>
          <w:rFonts w:ascii="Times New Roman" w:cs="Times New Roman" w:eastAsia="Times New Roman" w:hAnsi="Times New Roman"/>
          <w:color w:val="1F4E9A"/>
          <w:sz w:val="20"/>
          <w:szCs w:val="20"/>
          <w:vertAlign w:val="superscript"/>
        </w:rPr>
        <w:t xml:space="preserve">2,3</w:t>
      </w:r>
      <w:r>
        <w:rPr>
          <w:rFonts w:ascii="Times New Roman" w:cs="Times New Roman" w:eastAsia="Times New Roman" w:hAnsi="Times New Roman"/>
          <w:sz w:val="20"/>
          <w:szCs w:val="20"/>
        </w:rPr>
        <w:t xml:space="preserve">. Differential entropy (DE) features were computed in non-overlapping 4-s windows for five frequency bands (delta, theta, alpha, beta and gamma) </w:t>
      </w:r>
      <w:r>
        <w:rPr>
          <w:rFonts w:ascii="Times New Roman" w:cs="Times New Roman" w:eastAsia="Times New Roman" w:hAnsi="Times New Roman"/>
          <w:sz w:val="20"/>
          <w:szCs w:val="20"/>
          <w:highlight w:val="yellow"/>
          <w:highlightCs w:val="yellow"/>
        </w:rPr>
        <w:t xml:space="preserve">[confirm band limits against the dataset documentation]</w:t>
      </w:r>
      <w:r>
        <w:rPr>
          <w:rFonts w:ascii="Times New Roman" w:cs="Times New Roman" w:eastAsia="Times New Roman" w:hAnsi="Times New Roman"/>
          <w:sz w:val="20"/>
          <w:szCs w:val="20"/>
        </w:rPr>
        <w:t xml:space="preserve">. For a band-limited signal that is approximately Gaussian with variance σ², the differential entropy reduces to a function of band power:</w:t>
      </w:r>
    </w:p>
    <w:p>
      <w:pPr>
        <w:keepLines/>
        <w:tabs>
          <w:tab w:val="center" w:pos="4023"/>
          <w:tab w:val="right" w:pos="8046"/>
        </w:tabs>
        <w:spacing w:after="120" w:before="120"/>
        <w:ind w:left="1700"/>
      </w:pPr>
      <w:r>
        <w:rPr>
          <w:rFonts w:ascii="Times New Roman" w:cs="Times New Roman" w:eastAsia="Times New Roman" w:hAnsi="Times New Roman"/>
        </w:rPr>
        <w:t xml:space="preserve">	</w:t>
      </w:r>
      <w:r>
        <w:drawing>
          <wp:inline distT="0" distB="0" distL="0" distR="0">
            <wp:extent cx="2647950" cy="39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47950" cy="390525"/>
                    </a:xfrm>
                    <a:prstGeom prst="rect">
                      <a:avLst/>
                    </a:prstGeom>
                  </pic:spPr>
                </pic:pic>
              </a:graphicData>
            </a:graphic>
          </wp:inline>
        </w:drawing>
      </w:r>
      <w:r>
        <w:rPr>
          <w:rFonts w:ascii="Times New Roman" w:cs="Times New Roman" w:eastAsia="Times New Roman" w:hAnsi="Times New Roman"/>
          <w:sz w:val="20"/>
          <w:szCs w:val="20"/>
        </w:rPr>
        <w:t xml:space="preserve">	(1)</w:t>
      </w:r>
    </w:p>
    <w:p>
      <w:pPr>
        <w:spacing w:after="0" w:line="252"/>
        <w:ind w:left="1700" w:firstLine="240"/>
        <w:jc w:val="both"/>
      </w:pPr>
      <w:r>
        <w:rPr>
          <w:rFonts w:ascii="Times New Roman" w:cs="Times New Roman" w:eastAsia="Times New Roman" w:hAnsi="Times New Roman"/>
          <w:sz w:val="20"/>
          <w:szCs w:val="20"/>
        </w:rPr>
        <w:t xml:space="preserve">The released DE features were smoothed over time with a linear dynamical system (de_LDS)</w:t>
      </w:r>
      <w:r>
        <w:rPr>
          <w:rFonts w:ascii="Times New Roman" w:cs="Times New Roman" w:eastAsia="Times New Roman" w:hAnsi="Times New Roman"/>
          <w:color w:val="1F4E9A"/>
          <w:sz w:val="20"/>
          <w:szCs w:val="20"/>
          <w:vertAlign w:val="superscript"/>
        </w:rPr>
        <w:t xml:space="preserve">3</w:t>
      </w:r>
      <w:r>
        <w:rPr>
          <w:rFonts w:ascii="Times New Roman" w:cs="Times New Roman" w:eastAsia="Times New Roman" w:hAnsi="Times New Roman"/>
          <w:sz w:val="20"/>
          <w:szCs w:val="20"/>
        </w:rPr>
        <w:t xml:space="preserve">, which reduces window-to-window noise but also increases the correlation between neighbouring windows of a trial. For each window the 62 × 5 DE matrix was flattened into a 310-dimensional vector. Each feature </w:t>
      </w:r>
      <w:r>
        <w:rPr>
          <w:rFonts w:ascii="Times New Roman" w:cs="Times New Roman" w:eastAsia="Times New Roman" w:hAnsi="Times New Roman"/>
          <w:i/>
          <w:iCs/>
          <w:sz w:val="20"/>
          <w:szCs w:val="20"/>
        </w:rPr>
        <w:t xml:space="preserve">j</w:t>
      </w:r>
      <w:r>
        <w:rPr>
          <w:rFonts w:ascii="Times New Roman" w:cs="Times New Roman" w:eastAsia="Times New Roman" w:hAnsi="Times New Roman"/>
          <w:sz w:val="20"/>
          <w:szCs w:val="20"/>
        </w:rPr>
        <w:t xml:space="preserve"> was z-standardised,</w:t>
      </w:r>
    </w:p>
    <w:p>
      <w:pPr>
        <w:keepLines/>
        <w:tabs>
          <w:tab w:val="center" w:pos="4023"/>
          <w:tab w:val="right" w:pos="8046"/>
        </w:tabs>
        <w:spacing w:after="120" w:before="120"/>
        <w:ind w:left="1700"/>
      </w:pPr>
      <w:r>
        <w:rPr>
          <w:rFonts w:ascii="Times New Roman" w:cs="Times New Roman" w:eastAsia="Times New Roman" w:hAnsi="Times New Roman"/>
        </w:rPr>
        <w:t xml:space="preserve">	</w:t>
      </w:r>
      <w:r>
        <w:drawing>
          <wp:inline distT="0" distB="0" distL="0" distR="0">
            <wp:extent cx="1781175"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781175" cy="400050"/>
                    </a:xfrm>
                    <a:prstGeom prst="rect">
                      <a:avLst/>
                    </a:prstGeom>
                  </pic:spPr>
                </pic:pic>
              </a:graphicData>
            </a:graphic>
          </wp:inline>
        </w:drawing>
      </w:r>
      <w:r>
        <w:rPr>
          <w:rFonts w:ascii="Times New Roman" w:cs="Times New Roman" w:eastAsia="Times New Roman" w:hAnsi="Times New Roman"/>
          <w:sz w:val="20"/>
          <w:szCs w:val="20"/>
        </w:rPr>
        <w:t xml:space="preserve">	(2)</w:t>
      </w:r>
    </w:p>
    <w:p>
      <w:pPr>
        <w:spacing w:after="0" w:line="252"/>
        <w:ind w:left="1700" w:firstLine="240"/>
        <w:jc w:val="both"/>
      </w:pPr>
      <w:r>
        <w:rPr>
          <w:rFonts w:ascii="Times New Roman" w:cs="Times New Roman" w:eastAsia="Times New Roman" w:hAnsi="Times New Roman"/>
          <w:sz w:val="20"/>
          <w:szCs w:val="20"/>
        </w:rPr>
        <w:t xml:space="preserve">where μ</w:t>
      </w:r>
      <w:r>
        <w:rPr>
          <w:rFonts w:ascii="Times New Roman" w:cs="Times New Roman" w:eastAsia="Times New Roman" w:hAnsi="Times New Roman"/>
          <w:sz w:val="20"/>
          <w:szCs w:val="20"/>
          <w:vertAlign w:val="subscript"/>
        </w:rPr>
        <w:t xml:space="preserve">j</w:t>
      </w:r>
      <w:r>
        <w:rPr>
          <w:rFonts w:ascii="Times New Roman" w:cs="Times New Roman" w:eastAsia="Times New Roman" w:hAnsi="Times New Roman"/>
          <w:sz w:val="20"/>
          <w:szCs w:val="20"/>
        </w:rPr>
        <w:t xml:space="preserve"> and σ</w:t>
      </w:r>
      <w:r>
        <w:rPr>
          <w:rFonts w:ascii="Times New Roman" w:cs="Times New Roman" w:eastAsia="Times New Roman" w:hAnsi="Times New Roman"/>
          <w:sz w:val="20"/>
          <w:szCs w:val="20"/>
          <w:vertAlign w:val="subscript"/>
        </w:rPr>
        <w:t xml:space="preserve">j</w:t>
      </w:r>
      <w:r>
        <w:rPr>
          <w:rFonts w:ascii="Times New Roman" w:cs="Times New Roman" w:eastAsia="Times New Roman" w:hAnsi="Times New Roman"/>
          <w:sz w:val="20"/>
          <w:szCs w:val="20"/>
        </w:rPr>
        <w:t xml:space="preserve"> are the mean and standard deviation of feature </w:t>
      </w:r>
      <w:r>
        <w:rPr>
          <w:rFonts w:ascii="Times New Roman" w:cs="Times New Roman" w:eastAsia="Times New Roman" w:hAnsi="Times New Roman"/>
          <w:i/>
          <w:iCs/>
          <w:sz w:val="20"/>
          <w:szCs w:val="20"/>
        </w:rPr>
        <w:t xml:space="preserve">j</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highlight w:val="yellow"/>
          <w:highlightCs w:val="yellow"/>
        </w:rPr>
        <w:t xml:space="preserve">[confirm that μ and σ are computed on the training participants of each fold; if they were computed on all 15 participants, re-run with fold-wise statistics]</w:t>
      </w:r>
      <w:r>
        <w:rPr>
          <w:rFonts w:ascii="Times New Roman" w:cs="Times New Roman" w:eastAsia="Times New Roman" w:hAnsi="Times New Roman"/>
          <w:sz w:val="20"/>
          <w:szCs w:val="20"/>
        </w:rPr>
        <w:t xml:space="preserve">. No further normalisation was applied.</w:t>
      </w:r>
    </w:p>
    <w:p>
      <w:pPr>
        <w:pStyle w:val="Heading2"/>
        <w:keepNext/>
        <w:spacing w:after="40" w:before="220"/>
        <w:ind w:left="1700"/>
      </w:pPr>
      <w:r>
        <w:rPr>
          <w:rFonts w:ascii="Arial" w:cs="Arial" w:eastAsia="Arial" w:hAnsi="Arial"/>
          <w:b/>
          <w:bCs/>
          <w:color w:val="000000"/>
          <w:sz w:val="21"/>
          <w:szCs w:val="21"/>
        </w:rPr>
        <w:t xml:space="preserve">3.4 Electrode montages</w:t>
      </w:r>
    </w:p>
    <w:p>
      <w:pPr>
        <w:spacing w:after="0" w:line="252"/>
        <w:ind w:left="1700" w:firstLine="0"/>
        <w:jc w:val="both"/>
      </w:pPr>
      <w:r>
        <w:rPr>
          <w:rFonts w:ascii="Times New Roman" w:cs="Times New Roman" w:eastAsia="Times New Roman" w:hAnsi="Times New Roman"/>
          <w:sz w:val="20"/>
          <w:szCs w:val="20"/>
        </w:rPr>
        <w:t xml:space="preserve">Two electrode configurations were compared. The full montage used all 62 electrodes (310 features). The wearable-compatible montage used six electrodes reachable by a forehead-and-temple band, FP1, FP2, F7, F8, T7 and T8, giving 30 features (6 electrodes × 5 bands). The six-electrode features are an exact column subset of the full feature matrix (indices 0, 2, 5, 13, 23 and 31 of the 62-channel ordering), so the two configurations differ only in electrode density and not in preprocessing.</w:t>
      </w:r>
    </w:p>
    <w:p>
      <w:pPr>
        <w:pStyle w:val="Heading2"/>
        <w:keepNext/>
        <w:spacing w:after="40" w:before="220"/>
        <w:ind w:left="1700"/>
      </w:pPr>
      <w:r>
        <w:rPr>
          <w:rFonts w:ascii="Arial" w:cs="Arial" w:eastAsia="Arial" w:hAnsi="Arial"/>
          <w:b/>
          <w:bCs/>
          <w:color w:val="000000"/>
          <w:sz w:val="21"/>
          <w:szCs w:val="21"/>
        </w:rPr>
        <w:t xml:space="preserve">3.5 Data augmentation and class balancing</w:t>
      </w:r>
    </w:p>
    <w:p>
      <w:pPr>
        <w:spacing w:after="0" w:line="252"/>
        <w:ind w:left="1700" w:firstLine="0"/>
        <w:jc w:val="both"/>
      </w:pPr>
      <w:r>
        <w:rPr>
          <w:rFonts w:ascii="Times New Roman" w:cs="Times New Roman" w:eastAsia="Times New Roman" w:hAnsi="Times New Roman"/>
          <w:sz w:val="20"/>
          <w:szCs w:val="20"/>
        </w:rPr>
        <w:t xml:space="preserve">Data augmentation was used to create the two views required by contrastive pretraining. For a standardised window </w:t>
      </w:r>
      <w:r>
        <w:rPr>
          <w:rFonts w:ascii="Times New Roman" w:cs="Times New Roman" w:eastAsia="Times New Roman" w:hAnsi="Times New Roman"/>
          <w:i/>
          <w:iCs/>
          <w:sz w:val="20"/>
          <w:szCs w:val="20"/>
        </w:rPr>
        <w:t xml:space="preserve">x</w:t>
      </w:r>
      <w:r>
        <w:rPr>
          <w:rFonts w:ascii="Times New Roman" w:cs="Times New Roman" w:eastAsia="Times New Roman" w:hAnsi="Times New Roman"/>
          <w:sz w:val="20"/>
          <w:szCs w:val="20"/>
        </w:rPr>
        <w:t xml:space="preserve">, the first view adds isotropic Gaussian noise, and the second view masks whole electrodes across all five bands with a random binary mask </w:t>
      </w:r>
      <w:r>
        <w:rPr>
          <w:rFonts w:ascii="Times New Roman" w:cs="Times New Roman" w:eastAsia="Times New Roman" w:hAnsi="Times New Roman"/>
          <w:i/>
          <w:iCs/>
          <w:sz w:val="20"/>
          <w:szCs w:val="20"/>
        </w:rPr>
        <w:t xml:space="preserve">m</w:t>
      </w:r>
      <w:r>
        <w:rPr>
          <w:rFonts w:ascii="Times New Roman" w:cs="Times New Roman" w:eastAsia="Times New Roman" w:hAnsi="Times New Roman"/>
          <w:sz w:val="20"/>
          <w:szCs w:val="20"/>
        </w:rPr>
        <w:t xml:space="preserve">, each electrode being kept with probability 0.7:</w:t>
      </w:r>
    </w:p>
    <w:p>
      <w:pPr>
        <w:keepLines/>
        <w:tabs>
          <w:tab w:val="center" w:pos="4023"/>
          <w:tab w:val="right" w:pos="8046"/>
        </w:tabs>
        <w:spacing w:after="120" w:before="120"/>
        <w:ind w:left="1700"/>
      </w:pPr>
      <w:r>
        <w:rPr>
          <w:rFonts w:ascii="Times New Roman" w:cs="Times New Roman" w:eastAsia="Times New Roman" w:hAnsi="Times New Roman"/>
        </w:rPr>
        <w:t xml:space="preserve">	</w:t>
      </w:r>
      <w:r>
        <w:drawing>
          <wp:inline distT="0" distB="0" distL="0" distR="0">
            <wp:extent cx="466725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667250" cy="228600"/>
                    </a:xfrm>
                    <a:prstGeom prst="rect">
                      <a:avLst/>
                    </a:prstGeom>
                  </pic:spPr>
                </pic:pic>
              </a:graphicData>
            </a:graphic>
          </wp:inline>
        </w:drawing>
      </w:r>
      <w:r>
        <w:rPr>
          <w:rFonts w:ascii="Times New Roman" w:cs="Times New Roman" w:eastAsia="Times New Roman" w:hAnsi="Times New Roman"/>
          <w:sz w:val="20"/>
          <w:szCs w:val="20"/>
        </w:rPr>
        <w:t xml:space="preserve">	(3)</w:t>
      </w:r>
    </w:p>
    <w:p>
      <w:pPr>
        <w:spacing w:after="0" w:line="252"/>
        <w:ind w:left="1700" w:firstLine="240"/>
        <w:jc w:val="both"/>
      </w:pPr>
      <w:r>
        <w:rPr>
          <w:rFonts w:ascii="Times New Roman" w:cs="Times New Roman" w:eastAsia="Times New Roman" w:hAnsi="Times New Roman"/>
          <w:sz w:val="20"/>
          <w:szCs w:val="20"/>
        </w:rPr>
        <w:t xml:space="preserve">The noise view encourages invariance to small amplitude perturbations, and the masking view encourages invariance to missing or poorly contacting electrodes, a frequent problem with wearable headsets. Augmentation was applied on the fly to each mini-batch during stage 1 only; supervised fine-tuning and evaluation used unaugmented windows. To counter the mild class imbalance, training mini-batches were drawn with a class-balanced sampler whose sampling weight for a window of class </w:t>
      </w:r>
      <w:r>
        <w:rPr>
          <w:rFonts w:ascii="Times New Roman" w:cs="Times New Roman" w:eastAsia="Times New Roman" w:hAnsi="Times New Roman"/>
          <w:i/>
          <w:iCs/>
          <w:sz w:val="20"/>
          <w:szCs w:val="20"/>
        </w:rPr>
        <w:t xml:space="preserve">i</w:t>
      </w:r>
      <w:r>
        <w:rPr>
          <w:rFonts w:ascii="Times New Roman" w:cs="Times New Roman" w:eastAsia="Times New Roman" w:hAnsi="Times New Roman"/>
          <w:sz w:val="20"/>
          <w:szCs w:val="20"/>
        </w:rPr>
        <w:t xml:space="preserve"> is proportional to 1/</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vertAlign w:val="subscript"/>
        </w:rPr>
        <w:t xml:space="preserve">i</w:t>
      </w:r>
      <w:r>
        <w:rPr>
          <w:rFonts w:ascii="Times New Roman" w:cs="Times New Roman" w:eastAsia="Times New Roman" w:hAnsi="Times New Roman"/>
          <w:sz w:val="20"/>
          <w:szCs w:val="20"/>
        </w:rPr>
        <w:t xml:space="preserve">.</w:t>
      </w:r>
    </w:p>
    <w:p>
      <w:pPr>
        <w:pStyle w:val="Heading2"/>
        <w:keepNext/>
        <w:spacing w:after="40" w:before="220"/>
        <w:ind w:left="1700"/>
      </w:pPr>
      <w:r>
        <w:rPr>
          <w:rFonts w:ascii="Arial" w:cs="Arial" w:eastAsia="Arial" w:hAnsi="Arial"/>
          <w:b/>
          <w:bCs/>
          <w:color w:val="000000"/>
          <w:sz w:val="21"/>
          <w:szCs w:val="21"/>
        </w:rPr>
        <w:t xml:space="preserve">3.6 Data splitting and evaluation protocol</w:t>
      </w:r>
    </w:p>
    <w:p>
      <w:pPr>
        <w:spacing w:after="0" w:line="252"/>
        <w:ind w:left="1700" w:firstLine="0"/>
        <w:jc w:val="both"/>
      </w:pPr>
      <w:r>
        <w:rPr>
          <w:rFonts w:ascii="Times New Roman" w:cs="Times New Roman" w:eastAsia="Times New Roman" w:hAnsi="Times New Roman"/>
          <w:sz w:val="20"/>
          <w:szCs w:val="20"/>
        </w:rPr>
        <w:t xml:space="preserve">We used leave-one-participant-out (LOSO) cross-validation. In each of 15 folds one participant was held out entirely, and the windows of the remaining 14 were split at random into training (85%, about 29,810 windows) and validation (15%, about 5260 windows) sets (Fig. 3). The procedure was repeated with seeds 1, 7 and 21, giving 45 runs per model and montage (Table 3). The complete workflow is shown in Fig. 1.</w:t>
      </w:r>
    </w:p>
    <w:p>
      <w:pPr>
        <w:spacing w:before="2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5"/>
        <w:gridCol w:w="7311"/>
      </w:tblGrid>
      <w:tr>
        <w:trPr>
          <w:tblHeader/>
        </w:trPr>
        <w:tc>
          <w:tcPr>
            <w:tcW w:type="dxa" w:w="2435"/>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7"/>
                <w:szCs w:val="17"/>
              </w:rPr>
              <w:t xml:space="preserve">Item</w:t>
            </w:r>
          </w:p>
        </w:tc>
        <w:tc>
          <w:tcPr>
            <w:tcW w:type="dxa" w:w="7311"/>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7"/>
                <w:szCs w:val="17"/>
              </w:rPr>
              <w:t xml:space="preserve">Setting</w:t>
            </w:r>
          </w:p>
        </w:tc>
      </w:tr>
      <w:tr>
        <w:trPr>
          <w:cantSplit/>
        </w:trPr>
        <w:tc>
          <w:tcPr>
            <w:tcW w:type="dxa" w:w="243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Dataset</w:t>
            </w:r>
          </w:p>
        </w:tc>
        <w:tc>
          <w:tcPr>
            <w:tcW w:type="dxa" w:w="7311"/>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SEED-IV, 15 participants, 3 sessions, 72 trials per participant</w:t>
            </w:r>
          </w:p>
        </w:tc>
      </w:tr>
      <w:tr>
        <w:trPr>
          <w:cantSplit/>
        </w:trPr>
        <w:tc>
          <w:tcPr>
            <w:tcW w:type="dxa" w:w="243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Classes</w:t>
            </w:r>
          </w:p>
        </w:tc>
        <w:tc>
          <w:tcPr>
            <w:tcW w:type="dxa" w:w="7311"/>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Neutral, sad, fear, happy (four-class)</w:t>
            </w:r>
          </w:p>
        </w:tc>
      </w:tr>
      <w:tr>
        <w:trPr>
          <w:cantSplit/>
        </w:trPr>
        <w:tc>
          <w:tcPr>
            <w:tcW w:type="dxa" w:w="243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Features</w:t>
            </w:r>
          </w:p>
        </w:tc>
        <w:tc>
          <w:tcPr>
            <w:tcW w:type="dxa" w:w="7311"/>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Differential entropy (de_LDS), 4-s windows, five bands</w:t>
            </w:r>
          </w:p>
        </w:tc>
      </w:tr>
      <w:tr>
        <w:trPr>
          <w:cantSplit/>
        </w:trPr>
        <w:tc>
          <w:tcPr>
            <w:tcW w:type="dxa" w:w="243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Full montage</w:t>
            </w:r>
          </w:p>
        </w:tc>
        <w:tc>
          <w:tcPr>
            <w:tcW w:type="dxa" w:w="7311"/>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62 electrodes, 310 features</w:t>
            </w:r>
          </w:p>
        </w:tc>
      </w:tr>
      <w:tr>
        <w:trPr>
          <w:cantSplit/>
        </w:trPr>
        <w:tc>
          <w:tcPr>
            <w:tcW w:type="dxa" w:w="243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Wearable montage</w:t>
            </w:r>
          </w:p>
        </w:tc>
        <w:tc>
          <w:tcPr>
            <w:tcW w:type="dxa" w:w="7311"/>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FP1, FP2, F7, F8, T7, T8; 30 features</w:t>
            </w:r>
          </w:p>
        </w:tc>
      </w:tr>
      <w:tr>
        <w:trPr>
          <w:cantSplit/>
        </w:trPr>
        <w:tc>
          <w:tcPr>
            <w:tcW w:type="dxa" w:w="243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Split</w:t>
            </w:r>
          </w:p>
        </w:tc>
        <w:tc>
          <w:tcPr>
            <w:tcW w:type="dxa" w:w="7311"/>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Leave-one-participant-out, 15 folds; 85/15 random train/validation split of the 14 training participants</w:t>
            </w:r>
          </w:p>
        </w:tc>
      </w:tr>
      <w:tr>
        <w:trPr>
          <w:cantSplit/>
        </w:trPr>
        <w:tc>
          <w:tcPr>
            <w:tcW w:type="dxa" w:w="243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Seeds</w:t>
            </w:r>
          </w:p>
        </w:tc>
        <w:tc>
          <w:tcPr>
            <w:tcW w:type="dxa" w:w="7311"/>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1, 7, 21 (45 runs per model and montage)</w:t>
            </w:r>
          </w:p>
        </w:tc>
      </w:tr>
      <w:tr>
        <w:trPr>
          <w:cantSplit/>
        </w:trPr>
        <w:tc>
          <w:tcPr>
            <w:tcW w:type="dxa" w:w="243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Protocols</w:t>
            </w:r>
          </w:p>
        </w:tc>
        <w:tc>
          <w:tcPr>
            <w:tcW w:type="dxa" w:w="7311"/>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Zero-shot; few-shot calibration with 20 labelled target windows</w:t>
            </w:r>
          </w:p>
        </w:tc>
      </w:tr>
      <w:tr>
        <w:trPr>
          <w:cantSplit/>
        </w:trPr>
        <w:tc>
          <w:tcPr>
            <w:tcW w:type="dxa" w:w="243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Metrics</w:t>
            </w:r>
          </w:p>
        </w:tc>
        <w:tc>
          <w:tcPr>
            <w:tcW w:type="dxa" w:w="7311"/>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Accuracy and macro F1 (all models); balanced accuracy, precision, specificity, weighted F1, Cohen’s κ, MCC, G-mean and ITR (CLISA-EWU and DANN)</w:t>
            </w:r>
          </w:p>
        </w:tc>
      </w:tr>
      <w:tr>
        <w:trPr>
          <w:cantSplit/>
        </w:trPr>
        <w:tc>
          <w:tcPr>
            <w:tcW w:type="dxa" w:w="243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Statistics</w:t>
            </w:r>
          </w:p>
        </w:tc>
        <w:tc>
          <w:tcPr>
            <w:tcW w:type="dxa" w:w="7311"/>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Participant-level means, bootstrap 95% CI, paired Wilcoxon signed-rank tests, Holm correction</w:t>
            </w:r>
          </w:p>
        </w:tc>
      </w:tr>
    </w:tbl>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Table 3</w:t>
      </w:r>
      <w:r>
        <w:rPr>
          <w:rFonts w:ascii="Times New Roman" w:cs="Times New Roman" w:eastAsia="Times New Roman" w:hAnsi="Times New Roman"/>
          <w:sz w:val="19"/>
          <w:szCs w:val="19"/>
        </w:rPr>
        <w:t xml:space="preserve">. Dataset, feature and evaluation protocol summary.</w:t>
      </w:r>
    </w:p>
    <w:p>
      <w:pPr>
        <w:keepNext/>
        <w:spacing w:before="240"/>
        <w:jc w:val="center"/>
      </w:pPr>
      <w:r>
        <w:drawing>
          <wp:inline distT="0" distB="0" distL="0" distR="0">
            <wp:extent cx="5629275"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29275" cy="5334000"/>
                    </a:xfrm>
                    <a:prstGeom prst="rect">
                      <a:avLst/>
                    </a:prstGeom>
                  </pic:spPr>
                </pic:pic>
              </a:graphicData>
            </a:graphic>
          </wp:inline>
        </w:drawing>
      </w:r>
    </w:p>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Fig. 3</w:t>
      </w:r>
      <w:r>
        <w:rPr>
          <w:rFonts w:ascii="Times New Roman" w:cs="Times New Roman" w:eastAsia="Times New Roman" w:hAnsi="Times New Roman"/>
          <w:sz w:val="19"/>
          <w:szCs w:val="19"/>
        </w:rPr>
        <w:t xml:space="preserve">. Composition of one leave-one-participant-out fold. Windows of the 14 training participants were split at random into training (79.3% of all windows) and validation (14.0%) sets; all 2505 windows of the held-out participant (6.7%) formed the test set. Validation windows share participants and trials with training windows.</w:t>
      </w:r>
    </w:p>
    <w:p>
      <w:pPr>
        <w:keepNext/>
        <w:spacing w:after="0" w:before="200"/>
        <w:ind w:left="1700"/>
      </w:pPr>
      <w:r>
        <w:rPr>
          <w:rFonts w:ascii="Times New Roman" w:cs="Times New Roman" w:eastAsia="Times New Roman" w:hAnsi="Times New Roman"/>
          <w:i/>
          <w:iCs/>
          <w:sz w:val="20"/>
          <w:szCs w:val="20"/>
        </w:rPr>
        <w:t xml:space="preserve">Strategy 1: zero-shot evaluation</w:t>
      </w:r>
    </w:p>
    <w:p>
      <w:pPr>
        <w:spacing w:after="0" w:line="252"/>
        <w:ind w:left="1700" w:firstLine="0"/>
        <w:jc w:val="both"/>
      </w:pPr>
      <w:r>
        <w:rPr>
          <w:rFonts w:ascii="Times New Roman" w:cs="Times New Roman" w:eastAsia="Times New Roman" w:hAnsi="Times New Roman"/>
          <w:sz w:val="20"/>
          <w:szCs w:val="20"/>
        </w:rPr>
        <w:t xml:space="preserve">The trained model predicts all 2505 windows of the held-out participant without access to any of their labels or unlabelled EEG (except for PseudoLabel, which uses unlabelled held-out EEG during training by design). This protocol measures true cross-participant generalization.</w:t>
      </w:r>
    </w:p>
    <w:p>
      <w:pPr>
        <w:keepNext/>
        <w:spacing w:after="0" w:before="200"/>
        <w:ind w:left="1700"/>
      </w:pPr>
      <w:r>
        <w:rPr>
          <w:rFonts w:ascii="Times New Roman" w:cs="Times New Roman" w:eastAsia="Times New Roman" w:hAnsi="Times New Roman"/>
          <w:i/>
          <w:iCs/>
          <w:sz w:val="20"/>
          <w:szCs w:val="20"/>
        </w:rPr>
        <w:t xml:space="preserve">Strategy 2: few-shot calibration</w:t>
      </w:r>
    </w:p>
    <w:p>
      <w:pPr>
        <w:spacing w:after="0" w:line="252"/>
        <w:ind w:left="1700" w:firstLine="0"/>
        <w:jc w:val="both"/>
      </w:pPr>
      <w:r>
        <w:rPr>
          <w:rFonts w:ascii="Times New Roman" w:cs="Times New Roman" w:eastAsia="Times New Roman" w:hAnsi="Times New Roman"/>
          <w:sz w:val="20"/>
          <w:szCs w:val="20"/>
        </w:rPr>
        <w:t xml:space="preserve">Twenty windows of the held-out participant are drawn at random, all network parameters are fine-tuned on them for 10 epochs (Adam, learning rate 10</w:t>
      </w:r>
      <w:r>
        <w:rPr>
          <w:rFonts w:ascii="Times New Roman" w:cs="Times New Roman" w:eastAsia="Times New Roman" w:hAnsi="Times New Roman"/>
          <w:sz w:val="20"/>
          <w:szCs w:val="20"/>
          <w:vertAlign w:val="superscript"/>
        </w:rPr>
        <w:t xml:space="preserve">−3</w:t>
      </w:r>
      <w:r>
        <w:rPr>
          <w:rFonts w:ascii="Times New Roman" w:cs="Times New Roman" w:eastAsia="Times New Roman" w:hAnsi="Times New Roman"/>
          <w:sz w:val="20"/>
          <w:szCs w:val="20"/>
        </w:rPr>
        <w:t xml:space="preserve">), and performance is measured on the remaining 2485 windows. Twenty windows correspond to about 80 s of EEG, or 0.8% of the participant’s data, and emulate a short user-calibration session.</w:t>
      </w:r>
    </w:p>
    <w:p>
      <w:pPr>
        <w:spacing w:after="0" w:line="252"/>
        <w:ind w:left="1700" w:firstLine="240"/>
        <w:jc w:val="both"/>
      </w:pPr>
      <w:r>
        <w:rPr>
          <w:rFonts w:ascii="Times New Roman" w:cs="Times New Roman" w:eastAsia="Times New Roman" w:hAnsi="Times New Roman"/>
          <w:sz w:val="20"/>
          <w:szCs w:val="20"/>
        </w:rPr>
        <w:t xml:space="preserve">Because calibration windows were sampled across trials, a calibration window and a test window could come from the same film-clip trial; with temporally smoothed features such windows are correlated, so calibrated estimates may be optimistic</w:t>
      </w:r>
      <w:r>
        <w:rPr>
          <w:rFonts w:ascii="Times New Roman" w:cs="Times New Roman" w:eastAsia="Times New Roman" w:hAnsi="Times New Roman"/>
          <w:color w:val="1F4E9A"/>
          <w:sz w:val="20"/>
          <w:szCs w:val="20"/>
          <w:vertAlign w:val="superscript"/>
        </w:rPr>
        <w:t xml:space="preserve">18</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highlight w:val="yellow"/>
          <w:highlightCs w:val="yellow"/>
        </w:rPr>
        <w:t xml:space="preserve">[pending: trial-held-out calibration (calibrate on session 1, test on sessions 2–3) and a calibration-budget curve of 5–200 windows]</w:t>
      </w:r>
      <w:r>
        <w:rPr>
          <w:rFonts w:ascii="Times New Roman" w:cs="Times New Roman" w:eastAsia="Times New Roman" w:hAnsi="Times New Roman"/>
          <w:sz w:val="20"/>
          <w:szCs w:val="20"/>
        </w:rPr>
        <w:t xml:space="preserve">. Validation windows came from the same participants and trials as training windows, so validation scores were near ceiling (median macro F1 1.00 for supervised models) and early stopping effectively selected late epochs; this does not compromise the independence of the held-out participant.</w:t>
      </w:r>
    </w:p>
    <w:p>
      <w:pPr>
        <w:pStyle w:val="Heading2"/>
        <w:keepNext/>
        <w:spacing w:after="40" w:before="220"/>
        <w:ind w:left="1700"/>
      </w:pPr>
      <w:r>
        <w:rPr>
          <w:rFonts w:ascii="Arial" w:cs="Arial" w:eastAsia="Arial" w:hAnsi="Arial"/>
          <w:b/>
          <w:bCs/>
          <w:color w:val="000000"/>
          <w:sz w:val="21"/>
          <w:szCs w:val="21"/>
        </w:rPr>
        <w:t xml:space="preserve">3.7 Baseline models</w:t>
      </w:r>
    </w:p>
    <w:p>
      <w:pPr>
        <w:spacing w:after="0" w:line="252"/>
        <w:ind w:left="1700" w:firstLine="0"/>
        <w:jc w:val="both"/>
      </w:pPr>
      <w:r>
        <w:rPr>
          <w:rFonts w:ascii="Times New Roman" w:cs="Times New Roman" w:eastAsia="Times New Roman" w:hAnsi="Times New Roman"/>
          <w:sz w:val="20"/>
          <w:szCs w:val="20"/>
        </w:rPr>
        <w:t xml:space="preserve">We evaluated ten classical classifiers (linear discriminant analysis, support vector machine with radial basis kernel, random forest, extra trees, gradient boosting, XGBoost</w:t>
      </w:r>
      <w:r>
        <w:rPr>
          <w:rFonts w:ascii="Times New Roman" w:cs="Times New Roman" w:eastAsia="Times New Roman" w:hAnsi="Times New Roman"/>
          <w:color w:val="1F4E9A"/>
          <w:sz w:val="20"/>
          <w:szCs w:val="20"/>
          <w:vertAlign w:val="superscript"/>
        </w:rPr>
        <w:t xml:space="preserve">30</w:t>
      </w:r>
      <w:r>
        <w:rPr>
          <w:rFonts w:ascii="Times New Roman" w:cs="Times New Roman" w:eastAsia="Times New Roman" w:hAnsi="Times New Roman"/>
          <w:sz w:val="20"/>
          <w:szCs w:val="20"/>
        </w:rPr>
        <w:t xml:space="preserve">, k-nearest neighbours, logistic regression, naive Bayes and a scikit-learn multilayer perceptron) and 16 deep models in five families (Table 4): supervised networks (two-layer and deep perceptrons, LSTM, GRU, one-dimensional CNN, transformer</w:t>
      </w:r>
      <w:r>
        <w:rPr>
          <w:rFonts w:ascii="Times New Roman" w:cs="Times New Roman" w:eastAsia="Times New Roman" w:hAnsi="Times New Roman"/>
          <w:color w:val="1F4E9A"/>
          <w:sz w:val="20"/>
          <w:szCs w:val="20"/>
          <w:vertAlign w:val="superscript"/>
        </w:rPr>
        <w:t xml:space="preserve">36</w:t>
      </w:r>
      <w:r>
        <w:rPr>
          <w:rFonts w:ascii="Times New Roman" w:cs="Times New Roman" w:eastAsia="Times New Roman" w:hAnsi="Times New Roman"/>
          <w:sz w:val="20"/>
          <w:szCs w:val="20"/>
        </w:rPr>
        <w:t xml:space="preserve">, EEG Conformer</w:t>
      </w:r>
      <w:r>
        <w:rPr>
          <w:rFonts w:ascii="Times New Roman" w:cs="Times New Roman" w:eastAsia="Times New Roman" w:hAnsi="Times New Roman"/>
          <w:color w:val="1F4E9A"/>
          <w:sz w:val="20"/>
          <w:szCs w:val="20"/>
          <w:vertAlign w:val="superscript"/>
        </w:rPr>
        <w:t xml:space="preserve">35</w:t>
      </w:r>
      <w:r>
        <w:rPr>
          <w:rFonts w:ascii="Times New Roman" w:cs="Times New Roman" w:eastAsia="Times New Roman" w:hAnsi="Times New Roman"/>
          <w:sz w:val="20"/>
          <w:szCs w:val="20"/>
        </w:rPr>
        <w:t xml:space="preserve"> and a channel-dropout transformer); a domain-adversarial network (DANN)</w:t>
      </w:r>
      <w:r>
        <w:rPr>
          <w:rFonts w:ascii="Times New Roman" w:cs="Times New Roman" w:eastAsia="Times New Roman" w:hAnsi="Times New Roman"/>
          <w:color w:val="1F4E9A"/>
          <w:sz w:val="20"/>
          <w:szCs w:val="20"/>
          <w:vertAlign w:val="superscript"/>
        </w:rPr>
        <w:t xml:space="preserve">6</w:t>
      </w:r>
      <w:r>
        <w:rPr>
          <w:rFonts w:ascii="Times New Roman" w:cs="Times New Roman" w:eastAsia="Times New Roman" w:hAnsi="Times New Roman"/>
          <w:sz w:val="20"/>
          <w:szCs w:val="20"/>
        </w:rPr>
        <w:t xml:space="preserve"> whose discriminator predicted training-participant identity through a gradient-reversal layer; self-supervised models (SimCLR</w:t>
      </w:r>
      <w:r>
        <w:rPr>
          <w:rFonts w:ascii="Times New Roman" w:cs="Times New Roman" w:eastAsia="Times New Roman" w:hAnsi="Times New Roman"/>
          <w:color w:val="1F4E9A"/>
          <w:sz w:val="20"/>
          <w:szCs w:val="20"/>
          <w:vertAlign w:val="superscript"/>
        </w:rPr>
        <w:t xml:space="preserve">46</w:t>
      </w:r>
      <w:r>
        <w:rPr>
          <w:rFonts w:ascii="Times New Roman" w:cs="Times New Roman" w:eastAsia="Times New Roman" w:hAnsi="Times New Roman"/>
          <w:sz w:val="20"/>
          <w:szCs w:val="20"/>
        </w:rPr>
        <w:t xml:space="preserve">, BYOL</w:t>
      </w:r>
      <w:r>
        <w:rPr>
          <w:rFonts w:ascii="Times New Roman" w:cs="Times New Roman" w:eastAsia="Times New Roman" w:hAnsi="Times New Roman"/>
          <w:color w:val="1F4E9A"/>
          <w:sz w:val="20"/>
          <w:szCs w:val="20"/>
          <w:vertAlign w:val="superscript"/>
        </w:rPr>
        <w:t xml:space="preserve">47</w:t>
      </w:r>
      <w:r>
        <w:rPr>
          <w:rFonts w:ascii="Times New Roman" w:cs="Times New Roman" w:eastAsia="Times New Roman" w:hAnsi="Times New Roman"/>
          <w:sz w:val="20"/>
          <w:szCs w:val="20"/>
        </w:rPr>
        <w:t xml:space="preserve">); semi-supervised models (PseudoLabel</w:t>
      </w:r>
      <w:r>
        <w:rPr>
          <w:rFonts w:ascii="Times New Roman" w:cs="Times New Roman" w:eastAsia="Times New Roman" w:hAnsi="Times New Roman"/>
          <w:color w:val="1F4E9A"/>
          <w:sz w:val="20"/>
          <w:szCs w:val="20"/>
          <w:vertAlign w:val="superscript"/>
        </w:rPr>
        <w:t xml:space="preserve">51</w:t>
      </w:r>
      <w:r>
        <w:rPr>
          <w:rFonts w:ascii="Times New Roman" w:cs="Times New Roman" w:eastAsia="Times New Roman" w:hAnsi="Times New Roman"/>
          <w:sz w:val="20"/>
          <w:szCs w:val="20"/>
        </w:rPr>
        <w:t xml:space="preserve">, which used confident predictions on the unlabelled held-out participant, and MixMatch</w:t>
      </w:r>
      <w:r>
        <w:rPr>
          <w:rFonts w:ascii="Times New Roman" w:cs="Times New Roman" w:eastAsia="Times New Roman" w:hAnsi="Times New Roman"/>
          <w:color w:val="1F4E9A"/>
          <w:sz w:val="20"/>
          <w:szCs w:val="20"/>
          <w:vertAlign w:val="superscript"/>
        </w:rPr>
        <w:t xml:space="preserve">52</w:t>
      </w:r>
      <w:r>
        <w:rPr>
          <w:rFonts w:ascii="Times New Roman" w:cs="Times New Roman" w:eastAsia="Times New Roman" w:hAnsi="Times New Roman"/>
          <w:sz w:val="20"/>
          <w:szCs w:val="20"/>
        </w:rPr>
        <w:t xml:space="preserve">); and a teacher–student distillation pair (DANCE)</w:t>
      </w:r>
      <w:r>
        <w:rPr>
          <w:rFonts w:ascii="Times New Roman" w:cs="Times New Roman" w:eastAsia="Times New Roman" w:hAnsi="Times New Roman"/>
          <w:color w:val="1F4E9A"/>
          <w:sz w:val="20"/>
          <w:szCs w:val="20"/>
          <w:vertAlign w:val="superscript"/>
        </w:rPr>
        <w:t xml:space="preserve">53</w:t>
      </w:r>
      <w:r>
        <w:rPr>
          <w:rFonts w:ascii="Times New Roman" w:cs="Times New Roman" w:eastAsia="Times New Roman" w:hAnsi="Times New Roman"/>
          <w:sz w:val="20"/>
          <w:szCs w:val="20"/>
        </w:rPr>
        <w:t xml:space="preserve">.</w:t>
      </w:r>
    </w:p>
    <w:p>
      <w:pPr>
        <w:spacing w:before="2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5"/>
        <w:gridCol w:w="4874"/>
        <w:gridCol w:w="2437"/>
      </w:tblGrid>
      <w:tr>
        <w:trPr>
          <w:tblHeader/>
        </w:trPr>
        <w:tc>
          <w:tcPr>
            <w:tcW w:type="dxa" w:w="2435"/>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7"/>
                <w:szCs w:val="17"/>
              </w:rPr>
              <w:t xml:space="preserve">Family</w:t>
            </w:r>
          </w:p>
        </w:tc>
        <w:tc>
          <w:tcPr>
            <w:tcW w:type="dxa" w:w="4874"/>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7"/>
                <w:szCs w:val="17"/>
              </w:rPr>
              <w:t xml:space="preserve">Models</w:t>
            </w:r>
          </w:p>
        </w:tc>
        <w:tc>
          <w:tcPr>
            <w:tcW w:type="dxa" w:w="2437"/>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7"/>
                <w:szCs w:val="17"/>
              </w:rPr>
              <w:t xml:space="preserve">Role</w:t>
            </w:r>
          </w:p>
        </w:tc>
      </w:tr>
      <w:tr>
        <w:trPr>
          <w:cantSplit/>
        </w:trPr>
        <w:tc>
          <w:tcPr>
            <w:tcW w:type="dxa" w:w="243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Classical machine learning</w:t>
            </w:r>
          </w:p>
        </w:tc>
        <w:tc>
          <w:tcPr>
            <w:tcW w:type="dxa" w:w="487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LDA, SVM, random forest, extra trees, gradient boosting, XGBoost, k-NN, logistic regression, naive Bayes, MLP (scikit-learn)</w:t>
            </w:r>
          </w:p>
        </w:tc>
        <w:tc>
          <w:tcPr>
            <w:tcW w:type="dxa" w:w="243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Non-deep baselines</w:t>
            </w:r>
          </w:p>
        </w:tc>
      </w:tr>
      <w:tr>
        <w:trPr>
          <w:cantSplit/>
        </w:trPr>
        <w:tc>
          <w:tcPr>
            <w:tcW w:type="dxa" w:w="243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Supervised deep learning</w:t>
            </w:r>
          </w:p>
        </w:tc>
        <w:tc>
          <w:tcPr>
            <w:tcW w:type="dxa" w:w="487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Two-layer perceptron, deep perceptron, LSTM, GRU, Conv1D, transformer, EEG Conformer, channel-dropout transformer</w:t>
            </w:r>
          </w:p>
        </w:tc>
        <w:tc>
          <w:tcPr>
            <w:tcW w:type="dxa" w:w="243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Supervised neural baselines</w:t>
            </w:r>
          </w:p>
        </w:tc>
      </w:tr>
      <w:tr>
        <w:trPr>
          <w:cantSplit/>
        </w:trPr>
        <w:tc>
          <w:tcPr>
            <w:tcW w:type="dxa" w:w="243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Domain-adversarial</w:t>
            </w:r>
          </w:p>
        </w:tc>
        <w:tc>
          <w:tcPr>
            <w:tcW w:type="dxa" w:w="487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DANN</w:t>
            </w:r>
          </w:p>
        </w:tc>
        <w:tc>
          <w:tcPr>
            <w:tcW w:type="dxa" w:w="243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Removes training-participant information</w:t>
            </w:r>
          </w:p>
        </w:tc>
      </w:tr>
      <w:tr>
        <w:trPr>
          <w:cantSplit/>
        </w:trPr>
        <w:tc>
          <w:tcPr>
            <w:tcW w:type="dxa" w:w="243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Self-supervised</w:t>
            </w:r>
          </w:p>
        </w:tc>
        <w:tc>
          <w:tcPr>
            <w:tcW w:type="dxa" w:w="487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SimCLR, BYOL</w:t>
            </w:r>
          </w:p>
        </w:tc>
        <w:tc>
          <w:tcPr>
            <w:tcW w:type="dxa" w:w="243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Contrastive and bootstrap pretraining</w:t>
            </w:r>
          </w:p>
        </w:tc>
      </w:tr>
      <w:tr>
        <w:trPr>
          <w:cantSplit/>
        </w:trPr>
        <w:tc>
          <w:tcPr>
            <w:tcW w:type="dxa" w:w="243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Semi-supervised</w:t>
            </w:r>
          </w:p>
        </w:tc>
        <w:tc>
          <w:tcPr>
            <w:tcW w:type="dxa" w:w="487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PseudoLabel (transductive), MixMatch</w:t>
            </w:r>
          </w:p>
        </w:tc>
        <w:tc>
          <w:tcPr>
            <w:tcW w:type="dxa" w:w="243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Exploits unlabelled data</w:t>
            </w:r>
          </w:p>
        </w:tc>
      </w:tr>
      <w:tr>
        <w:trPr>
          <w:cantSplit/>
        </w:trPr>
        <w:tc>
          <w:tcPr>
            <w:tcW w:type="dxa" w:w="243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Distillation</w:t>
            </w:r>
          </w:p>
        </w:tc>
        <w:tc>
          <w:tcPr>
            <w:tcW w:type="dxa" w:w="487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DANCE teacher (62) → student (6)</w:t>
            </w:r>
          </w:p>
        </w:tc>
        <w:tc>
          <w:tcPr>
            <w:tcW w:type="dxa" w:w="243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Secondary reference</w:t>
            </w:r>
          </w:p>
        </w:tc>
      </w:tr>
      <w:tr>
        <w:trPr>
          <w:cantSplit/>
        </w:trPr>
        <w:tc>
          <w:tcPr>
            <w:tcW w:type="dxa" w:w="243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Model of interest</w:t>
            </w:r>
          </w:p>
        </w:tc>
        <w:tc>
          <w:tcPr>
            <w:tcW w:type="dxa" w:w="487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CLISA-EWU</w:t>
            </w:r>
          </w:p>
        </w:tc>
        <w:tc>
          <w:tcPr>
            <w:tcW w:type="dxa" w:w="243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Two-stage contrastive pretraining and supervised fine-tuning</w:t>
            </w:r>
          </w:p>
        </w:tc>
      </w:tr>
    </w:tbl>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Table 4</w:t>
      </w:r>
      <w:r>
        <w:rPr>
          <w:rFonts w:ascii="Times New Roman" w:cs="Times New Roman" w:eastAsia="Times New Roman" w:hAnsi="Times New Roman"/>
          <w:sz w:val="19"/>
          <w:szCs w:val="19"/>
        </w:rPr>
        <w:t xml:space="preserve">. Model families evaluated in this study.</w:t>
      </w:r>
    </w:p>
    <w:p>
      <w:pPr>
        <w:pStyle w:val="Heading2"/>
        <w:keepNext/>
        <w:spacing w:after="40" w:before="220"/>
        <w:ind w:left="1700"/>
      </w:pPr>
      <w:r>
        <w:rPr>
          <w:rFonts w:ascii="Arial" w:cs="Arial" w:eastAsia="Arial" w:hAnsi="Arial"/>
          <w:b/>
          <w:bCs/>
          <w:color w:val="000000"/>
          <w:sz w:val="21"/>
          <w:szCs w:val="21"/>
        </w:rPr>
        <w:t xml:space="preserve">3.8 Proposed model: CLISA-EWU</w:t>
      </w:r>
    </w:p>
    <w:p>
      <w:pPr>
        <w:spacing w:after="0" w:line="252"/>
        <w:ind w:left="1700" w:firstLine="0"/>
        <w:jc w:val="both"/>
      </w:pPr>
      <w:r>
        <w:rPr>
          <w:rFonts w:ascii="Times New Roman" w:cs="Times New Roman" w:eastAsia="Times New Roman" w:hAnsi="Times New Roman"/>
          <w:sz w:val="20"/>
          <w:szCs w:val="20"/>
        </w:rPr>
        <w:t xml:space="preserve">CLISA-EWU (Fig. 4) consists of an encoder </w:t>
      </w:r>
      <w:r>
        <w:rPr>
          <w:rFonts w:ascii="Times New Roman" w:cs="Times New Roman" w:eastAsia="Times New Roman" w:hAnsi="Times New Roman"/>
          <w:i/>
          <w:iCs/>
          <w:sz w:val="20"/>
          <w:szCs w:val="20"/>
        </w:rPr>
        <w:t xml:space="preserve">f</w:t>
      </w:r>
      <w:r>
        <w:rPr>
          <w:rFonts w:ascii="Times New Roman" w:cs="Times New Roman" w:eastAsia="Times New Roman" w:hAnsi="Times New Roman"/>
          <w:sz w:val="20"/>
          <w:szCs w:val="20"/>
          <w:vertAlign w:val="subscript"/>
        </w:rPr>
        <w:t xml:space="preserve">θ</w:t>
      </w:r>
      <w:r>
        <w:rPr>
          <w:rFonts w:ascii="Times New Roman" w:cs="Times New Roman" w:eastAsia="Times New Roman" w:hAnsi="Times New Roman"/>
          <w:sz w:val="20"/>
          <w:szCs w:val="20"/>
        </w:rPr>
        <w:t xml:space="preserve">, a projection head </w:t>
      </w:r>
      <w:r>
        <w:rPr>
          <w:rFonts w:ascii="Times New Roman" w:cs="Times New Roman" w:eastAsia="Times New Roman" w:hAnsi="Times New Roman"/>
          <w:i/>
          <w:iCs/>
          <w:sz w:val="20"/>
          <w:szCs w:val="20"/>
        </w:rPr>
        <w:t xml:space="preserve">g</w:t>
      </w:r>
      <w:r>
        <w:rPr>
          <w:rFonts w:ascii="Times New Roman" w:cs="Times New Roman" w:eastAsia="Times New Roman" w:hAnsi="Times New Roman"/>
          <w:sz w:val="20"/>
          <w:szCs w:val="20"/>
          <w:vertAlign w:val="subscript"/>
        </w:rPr>
        <w:t xml:space="preserve">φ</w:t>
      </w:r>
      <w:r>
        <w:rPr>
          <w:rFonts w:ascii="Times New Roman" w:cs="Times New Roman" w:eastAsia="Times New Roman" w:hAnsi="Times New Roman"/>
          <w:sz w:val="20"/>
          <w:szCs w:val="20"/>
        </w:rPr>
        <w:t xml:space="preserve"> used only during pretraining, and a linear classifier. The encoder maps a window </w:t>
      </w:r>
      <w:r>
        <w:rPr>
          <w:rFonts w:ascii="Times New Roman" w:cs="Times New Roman" w:eastAsia="Times New Roman" w:hAnsi="Times New Roman"/>
          <w:i/>
          <w:iCs/>
          <w:sz w:val="20"/>
          <w:szCs w:val="20"/>
        </w:rPr>
        <w:t xml:space="preserve">x</w:t>
      </w:r>
      <w:r>
        <w:rPr>
          <w:rFonts w:ascii="Times New Roman" w:cs="Times New Roman" w:eastAsia="Times New Roman" w:hAnsi="Times New Roman"/>
          <w:sz w:val="20"/>
          <w:szCs w:val="20"/>
        </w:rPr>
        <w:t xml:space="preserve"> to a 128-dimensional representation </w:t>
      </w:r>
      <w:r>
        <w:rPr>
          <w:rFonts w:ascii="Times New Roman" w:cs="Times New Roman" w:eastAsia="Times New Roman" w:hAnsi="Times New Roman"/>
          <w:i/>
          <w:iCs/>
          <w:sz w:val="20"/>
          <w:szCs w:val="20"/>
        </w:rPr>
        <w:t xml:space="preserve">h</w:t>
      </w:r>
      <w:r>
        <w:rPr>
          <w:rFonts w:ascii="Times New Roman" w:cs="Times New Roman" w:eastAsia="Times New Roman" w:hAnsi="Times New Roman"/>
          <w:sz w:val="20"/>
          <w:szCs w:val="20"/>
        </w:rPr>
        <w:t xml:space="preserve">, and the projection head maps </w:t>
      </w:r>
      <w:r>
        <w:rPr>
          <w:rFonts w:ascii="Times New Roman" w:cs="Times New Roman" w:eastAsia="Times New Roman" w:hAnsi="Times New Roman"/>
          <w:i/>
          <w:iCs/>
          <w:sz w:val="20"/>
          <w:szCs w:val="20"/>
        </w:rPr>
        <w:t xml:space="preserve">h</w:t>
      </w:r>
      <w:r>
        <w:rPr>
          <w:rFonts w:ascii="Times New Roman" w:cs="Times New Roman" w:eastAsia="Times New Roman" w:hAnsi="Times New Roman"/>
          <w:sz w:val="20"/>
          <w:szCs w:val="20"/>
        </w:rPr>
        <w:t xml:space="preserve"> to a 64-dimensional unit vector </w:t>
      </w:r>
      <w:r>
        <w:rPr>
          <w:rFonts w:ascii="Times New Roman" w:cs="Times New Roman" w:eastAsia="Times New Roman" w:hAnsi="Times New Roman"/>
          <w:i/>
          <w:iCs/>
          <w:sz w:val="20"/>
          <w:szCs w:val="20"/>
        </w:rPr>
        <w:t xml:space="preserve">z</w:t>
      </w:r>
      <w:r>
        <w:rPr>
          <w:rFonts w:ascii="Times New Roman" w:cs="Times New Roman" w:eastAsia="Times New Roman" w:hAnsi="Times New Roman"/>
          <w:sz w:val="20"/>
          <w:szCs w:val="20"/>
        </w:rPr>
        <w:t xml:space="preserve">:</w:t>
      </w:r>
    </w:p>
    <w:p>
      <w:pPr>
        <w:keepNext/>
        <w:spacing w:before="240"/>
        <w:jc w:val="center"/>
      </w:pPr>
      <w:r>
        <w:drawing>
          <wp:inline distT="0" distB="0" distL="0" distR="0">
            <wp:extent cx="6096000" cy="495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4953000"/>
                    </a:xfrm>
                    <a:prstGeom prst="rect">
                      <a:avLst/>
                    </a:prstGeom>
                  </pic:spPr>
                </pic:pic>
              </a:graphicData>
            </a:graphic>
          </wp:inline>
        </w:drawing>
      </w:r>
    </w:p>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Fig. 4</w:t>
      </w:r>
      <w:r>
        <w:rPr>
          <w:rFonts w:ascii="Times New Roman" w:cs="Times New Roman" w:eastAsia="Times New Roman" w:hAnsi="Times New Roman"/>
          <w:sz w:val="19"/>
          <w:szCs w:val="19"/>
        </w:rPr>
        <w:t xml:space="preserve">. CLISA-EWU architecture. Stage 1: contrastive pretraining of the encoder and projector with the NT-Xent loss on a Gaussian-noise view and an electrode-masking view of each window (AdamW, cosine annealing). Stage 2: supervised fine-tuning of the encoder and linear classifier with cross-entropy. The model is evaluated zero-shot and after 20-window calibration.</w:t>
      </w:r>
    </w:p>
    <w:p>
      <w:pPr>
        <w:keepLines/>
        <w:tabs>
          <w:tab w:val="center" w:pos="4023"/>
          <w:tab w:val="right" w:pos="8046"/>
        </w:tabs>
        <w:spacing w:after="120" w:before="120"/>
        <w:ind w:left="1700"/>
      </w:pPr>
      <w:r>
        <w:rPr>
          <w:rFonts w:ascii="Times New Roman" w:cs="Times New Roman" w:eastAsia="Times New Roman" w:hAnsi="Times New Roman"/>
        </w:rPr>
        <w:t xml:space="preserve">	</w:t>
      </w:r>
      <w:r>
        <w:drawing>
          <wp:inline distT="0" distB="0" distL="0" distR="0">
            <wp:extent cx="4619625"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619625" cy="438150"/>
                    </a:xfrm>
                    <a:prstGeom prst="rect">
                      <a:avLst/>
                    </a:prstGeom>
                  </pic:spPr>
                </pic:pic>
              </a:graphicData>
            </a:graphic>
          </wp:inline>
        </w:drawing>
      </w:r>
      <w:r>
        <w:rPr>
          <w:rFonts w:ascii="Times New Roman" w:cs="Times New Roman" w:eastAsia="Times New Roman" w:hAnsi="Times New Roman"/>
          <w:sz w:val="20"/>
          <w:szCs w:val="20"/>
        </w:rPr>
        <w:t xml:space="preserve">	(4)</w:t>
      </w:r>
    </w:p>
    <w:p>
      <w:pPr>
        <w:spacing w:after="0" w:line="252"/>
        <w:ind w:left="1700" w:firstLine="240"/>
        <w:jc w:val="both"/>
      </w:pPr>
      <w:r>
        <w:rPr>
          <w:rFonts w:ascii="Times New Roman" w:cs="Times New Roman" w:eastAsia="Times New Roman" w:hAnsi="Times New Roman"/>
          <w:sz w:val="20"/>
          <w:szCs w:val="20"/>
        </w:rPr>
        <w:t xml:space="preserve">where </w:t>
      </w:r>
      <w:r>
        <w:rPr>
          <w:rFonts w:ascii="Times New Roman" w:cs="Times New Roman" w:eastAsia="Times New Roman" w:hAnsi="Times New Roman"/>
          <w:i/>
          <w:iCs/>
          <w:sz w:val="20"/>
          <w:szCs w:val="20"/>
        </w:rPr>
        <w:t xml:space="preserve">W</w:t>
      </w:r>
      <w:r>
        <w:rPr>
          <w:rFonts w:ascii="Times New Roman" w:cs="Times New Roman" w:eastAsia="Times New Roman" w:hAnsi="Times New Roman"/>
          <w:sz w:val="20"/>
          <w:szCs w:val="20"/>
          <w:vertAlign w:val="subscript"/>
        </w:rPr>
        <w:t xml:space="preserve">1</w:t>
      </w:r>
      <w:r>
        <w:rPr>
          <w:rFonts w:ascii="Times New Roman" w:cs="Times New Roman" w:eastAsia="Times New Roman" w:hAnsi="Times New Roman"/>
          <w:sz w:val="20"/>
          <w:szCs w:val="20"/>
        </w:rPr>
        <w:t xml:space="preserve"> ∈ ℝ</w:t>
      </w:r>
      <w:r>
        <w:rPr>
          <w:rFonts w:ascii="Times New Roman" w:cs="Times New Roman" w:eastAsia="Times New Roman" w:hAnsi="Times New Roman"/>
          <w:sz w:val="20"/>
          <w:szCs w:val="20"/>
          <w:vertAlign w:val="superscript"/>
        </w:rPr>
        <w:t xml:space="preserve">256×d</w:t>
      </w:r>
      <w:r>
        <w:rPr>
          <w:rFonts w:ascii="Times New Roman" w:cs="Times New Roman" w:eastAsia="Times New Roman" w:hAnsi="Times New Roman"/>
          <w:sz w:val="20"/>
          <w:szCs w:val="20"/>
        </w:rPr>
        <w:t xml:space="preserve"> and </w:t>
      </w:r>
      <w:r>
        <w:rPr>
          <w:rFonts w:ascii="Times New Roman" w:cs="Times New Roman" w:eastAsia="Times New Roman" w:hAnsi="Times New Roman"/>
          <w:i/>
          <w:iCs/>
          <w:sz w:val="20"/>
          <w:szCs w:val="20"/>
        </w:rPr>
        <w:t xml:space="preserve">W</w:t>
      </w:r>
      <w:r>
        <w:rPr>
          <w:rFonts w:ascii="Times New Roman" w:cs="Times New Roman" w:eastAsia="Times New Roman" w:hAnsi="Times New Roman"/>
          <w:sz w:val="20"/>
          <w:szCs w:val="20"/>
          <w:vertAlign w:val="subscript"/>
        </w:rPr>
        <w:t xml:space="preserve">2</w:t>
      </w:r>
      <w:r>
        <w:rPr>
          <w:rFonts w:ascii="Times New Roman" w:cs="Times New Roman" w:eastAsia="Times New Roman" w:hAnsi="Times New Roman"/>
          <w:sz w:val="20"/>
          <w:szCs w:val="20"/>
        </w:rPr>
        <w:t xml:space="preserve"> ∈ ℝ</w:t>
      </w:r>
      <w:r>
        <w:rPr>
          <w:rFonts w:ascii="Times New Roman" w:cs="Times New Roman" w:eastAsia="Times New Roman" w:hAnsi="Times New Roman"/>
          <w:sz w:val="20"/>
          <w:szCs w:val="20"/>
          <w:vertAlign w:val="superscript"/>
        </w:rPr>
        <w:t xml:space="preserve">128×256</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d</w:t>
      </w:r>
      <w:r>
        <w:rPr>
          <w:rFonts w:ascii="Times New Roman" w:cs="Times New Roman" w:eastAsia="Times New Roman" w:hAnsi="Times New Roman"/>
          <w:sz w:val="20"/>
          <w:szCs w:val="20"/>
        </w:rPr>
        <w:t xml:space="preserve"> = 310 or 30), BN denotes batch normalisation and dropout has rate 0.3. The classifier outputs class probabilities ŷ = softmax(</w:t>
      </w:r>
      <w:r>
        <w:rPr>
          <w:rFonts w:ascii="Times New Roman" w:cs="Times New Roman" w:eastAsia="Times New Roman" w:hAnsi="Times New Roman"/>
          <w:i/>
          <w:iCs/>
          <w:sz w:val="20"/>
          <w:szCs w:val="20"/>
        </w:rPr>
        <w:t xml:space="preserve">W</w:t>
      </w:r>
      <w:r>
        <w:rPr>
          <w:rFonts w:ascii="Times New Roman" w:cs="Times New Roman" w:eastAsia="Times New Roman" w:hAnsi="Times New Roman"/>
          <w:sz w:val="20"/>
          <w:szCs w:val="20"/>
          <w:vertAlign w:val="subscript"/>
        </w:rPr>
        <w:t xml:space="preserve">c</w:t>
      </w:r>
      <w:r>
        <w:rPr>
          <w:rFonts w:ascii="Times New Roman" w:cs="Times New Roman" w:eastAsia="Times New Roman" w:hAnsi="Times New Roman"/>
          <w:i/>
          <w:iCs/>
          <w:sz w:val="20"/>
          <w:szCs w:val="20"/>
        </w:rPr>
        <w:t xml:space="preserve">h</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b</w:t>
      </w:r>
      <w:r>
        <w:rPr>
          <w:rFonts w:ascii="Times New Roman" w:cs="Times New Roman" w:eastAsia="Times New Roman" w:hAnsi="Times New Roman"/>
          <w:sz w:val="20"/>
          <w:szCs w:val="20"/>
          <w:vertAlign w:val="subscript"/>
        </w:rPr>
        <w:t xml:space="preserve">c</w:t>
      </w:r>
      <w:r>
        <w:rPr>
          <w:rFonts w:ascii="Times New Roman" w:cs="Times New Roman" w:eastAsia="Times New Roman" w:hAnsi="Times New Roman"/>
          <w:sz w:val="20"/>
          <w:szCs w:val="20"/>
        </w:rPr>
        <w:t xml:space="preserve">). Training has two stages. In stage 1, the encoder and projection head are trained with the NT-Xent contrastive loss</w:t>
      </w:r>
      <w:r>
        <w:rPr>
          <w:rFonts w:ascii="Times New Roman" w:cs="Times New Roman" w:eastAsia="Times New Roman" w:hAnsi="Times New Roman"/>
          <w:color w:val="1F4E9A"/>
          <w:sz w:val="20"/>
          <w:szCs w:val="20"/>
          <w:vertAlign w:val="superscript"/>
        </w:rPr>
        <w:t xml:space="preserve">46</w:t>
      </w:r>
      <w:r>
        <w:rPr>
          <w:rFonts w:ascii="Times New Roman" w:cs="Times New Roman" w:eastAsia="Times New Roman" w:hAnsi="Times New Roman"/>
          <w:sz w:val="20"/>
          <w:szCs w:val="20"/>
        </w:rPr>
        <w:t xml:space="preserve"> on the two augmented views. For a batch of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windows, the views give 2</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projections, and for a positive pair (</w:t>
      </w:r>
      <w:r>
        <w:rPr>
          <w:rFonts w:ascii="Times New Roman" w:cs="Times New Roman" w:eastAsia="Times New Roman" w:hAnsi="Times New Roman"/>
          <w:i/>
          <w:iCs/>
          <w:sz w:val="20"/>
          <w:szCs w:val="20"/>
        </w:rPr>
        <w:t xml:space="preserve">i</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j</w:t>
      </w:r>
      <w:r>
        <w:rPr>
          <w:rFonts w:ascii="Times New Roman" w:cs="Times New Roman" w:eastAsia="Times New Roman" w:hAnsi="Times New Roman"/>
          <w:sz w:val="20"/>
          <w:szCs w:val="20"/>
        </w:rPr>
        <w:t xml:space="preserve">) the loss is</w:t>
      </w:r>
    </w:p>
    <w:p>
      <w:pPr>
        <w:keepLines/>
        <w:tabs>
          <w:tab w:val="center" w:pos="4023"/>
          <w:tab w:val="right" w:pos="8046"/>
        </w:tabs>
        <w:spacing w:after="120" w:before="120"/>
        <w:ind w:left="1700"/>
      </w:pPr>
      <w:r>
        <w:rPr>
          <w:rFonts w:ascii="Times New Roman" w:cs="Times New Roman" w:eastAsia="Times New Roman" w:hAnsi="Times New Roman"/>
        </w:rPr>
        <w:t xml:space="preserve">	</w:t>
      </w:r>
      <w:r>
        <w:drawing>
          <wp:inline distT="0" distB="0" distL="0" distR="0">
            <wp:extent cx="2305050" cy="65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305050" cy="657225"/>
                    </a:xfrm>
                    <a:prstGeom prst="rect">
                      <a:avLst/>
                    </a:prstGeom>
                  </pic:spPr>
                </pic:pic>
              </a:graphicData>
            </a:graphic>
          </wp:inline>
        </w:drawing>
      </w:r>
      <w:r>
        <w:rPr>
          <w:rFonts w:ascii="Times New Roman" w:cs="Times New Roman" w:eastAsia="Times New Roman" w:hAnsi="Times New Roman"/>
          <w:sz w:val="20"/>
          <w:szCs w:val="20"/>
        </w:rPr>
        <w:t xml:space="preserve">	(5)</w:t>
      </w:r>
    </w:p>
    <w:p>
      <w:pPr>
        <w:spacing w:after="0" w:line="252"/>
        <w:ind w:left="1700" w:firstLine="240"/>
        <w:jc w:val="both"/>
      </w:pPr>
      <w:r>
        <w:rPr>
          <w:rFonts w:ascii="Times New Roman" w:cs="Times New Roman" w:eastAsia="Times New Roman" w:hAnsi="Times New Roman"/>
          <w:sz w:val="20"/>
          <w:szCs w:val="20"/>
        </w:rPr>
        <w:t xml:space="preserve">where sim(·,·) is cosine similarity and τ = 0.5. In stage 2, the encoder and classifier are fine-tuned with the cross-entropy loss over mini-batches B,</w:t>
      </w:r>
    </w:p>
    <w:p>
      <w:pPr>
        <w:keepLines/>
        <w:tabs>
          <w:tab w:val="center" w:pos="4023"/>
          <w:tab w:val="right" w:pos="8046"/>
        </w:tabs>
        <w:spacing w:after="120" w:before="120"/>
        <w:ind w:left="1700"/>
      </w:pPr>
      <w:r>
        <w:rPr>
          <w:rFonts w:ascii="Times New Roman" w:cs="Times New Roman" w:eastAsia="Times New Roman" w:hAnsi="Times New Roman"/>
        </w:rPr>
        <w:t xml:space="preserve">	</w:t>
      </w:r>
      <w:r>
        <w:drawing>
          <wp:inline distT="0" distB="0" distL="0" distR="0">
            <wp:extent cx="187642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876425" cy="419100"/>
                    </a:xfrm>
                    <a:prstGeom prst="rect">
                      <a:avLst/>
                    </a:prstGeom>
                  </pic:spPr>
                </pic:pic>
              </a:graphicData>
            </a:graphic>
          </wp:inline>
        </w:drawing>
      </w:r>
      <w:r>
        <w:rPr>
          <w:rFonts w:ascii="Times New Roman" w:cs="Times New Roman" w:eastAsia="Times New Roman" w:hAnsi="Times New Roman"/>
          <w:sz w:val="20"/>
          <w:szCs w:val="20"/>
        </w:rPr>
        <w:t xml:space="preserve">	(6)</w:t>
      </w:r>
    </w:p>
    <w:p>
      <w:pPr>
        <w:spacing w:after="0" w:line="252"/>
        <w:ind w:left="1700" w:firstLine="240"/>
        <w:jc w:val="both"/>
      </w:pPr>
      <w:r>
        <w:rPr>
          <w:rFonts w:ascii="Times New Roman" w:cs="Times New Roman" w:eastAsia="Times New Roman" w:hAnsi="Times New Roman"/>
          <w:sz w:val="20"/>
          <w:szCs w:val="20"/>
        </w:rPr>
        <w:t xml:space="preserve">Unlike the original CLISA</w:t>
      </w:r>
      <w:r>
        <w:rPr>
          <w:rFonts w:ascii="Times New Roman" w:cs="Times New Roman" w:eastAsia="Times New Roman" w:hAnsi="Times New Roman"/>
          <w:color w:val="1F4E9A"/>
          <w:sz w:val="20"/>
          <w:szCs w:val="20"/>
          <w:vertAlign w:val="superscript"/>
        </w:rPr>
        <w:t xml:space="preserve">5</w:t>
      </w:r>
      <w:r>
        <w:rPr>
          <w:rFonts w:ascii="Times New Roman" w:cs="Times New Roman" w:eastAsia="Times New Roman" w:hAnsi="Times New Roman"/>
          <w:sz w:val="20"/>
          <w:szCs w:val="20"/>
        </w:rPr>
        <w:t xml:space="preserve">, which treats time-aligned responses of different participants to the same stimulus as positives, the stage-1 objective here contrasts augmented views of the same window and does not use participant or stimulus identity </w:t>
      </w:r>
      <w:r>
        <w:rPr>
          <w:rFonts w:ascii="Times New Roman" w:cs="Times New Roman" w:eastAsia="Times New Roman" w:hAnsi="Times New Roman"/>
          <w:sz w:val="20"/>
          <w:szCs w:val="20"/>
          <w:highlight w:val="yellow"/>
          <w:highlightCs w:val="yellow"/>
        </w:rPr>
        <w:t xml:space="preserve">[either implement cross-participant stimulus-aligned positives or rename the model to avoid implying explicit inter-subject alignment]</w:t>
      </w:r>
      <w:r>
        <w:rPr>
          <w:rFonts w:ascii="Times New Roman" w:cs="Times New Roman" w:eastAsia="Times New Roman" w:hAnsi="Times New Roman"/>
          <w:sz w:val="20"/>
          <w:szCs w:val="20"/>
        </w:rPr>
        <w:t xml:space="preserve">.</w:t>
      </w:r>
    </w:p>
    <w:p>
      <w:pPr>
        <w:pStyle w:val="Heading2"/>
        <w:keepNext/>
        <w:spacing w:after="40" w:before="220"/>
        <w:ind w:left="1700"/>
      </w:pPr>
      <w:r>
        <w:rPr>
          <w:rFonts w:ascii="Arial" w:cs="Arial" w:eastAsia="Arial" w:hAnsi="Arial"/>
          <w:b/>
          <w:bCs/>
          <w:color w:val="000000"/>
          <w:sz w:val="21"/>
          <w:szCs w:val="21"/>
        </w:rPr>
        <w:t xml:space="preserve">3.9 Training algorithm</w:t>
      </w:r>
    </w:p>
    <w:p>
      <w:pPr>
        <w:spacing w:after="0" w:line="252"/>
        <w:ind w:left="1700" w:firstLine="0"/>
        <w:jc w:val="both"/>
      </w:pPr>
      <w:r>
        <w:rPr>
          <w:rFonts w:ascii="Times New Roman" w:cs="Times New Roman" w:eastAsia="Times New Roman" w:hAnsi="Times New Roman"/>
          <w:sz w:val="20"/>
          <w:szCs w:val="20"/>
        </w:rPr>
        <w:t xml:space="preserve">Algorithm 1 summarises the complete training and evaluation procedure for one montage, including both evaluation protocols.</w:t>
      </w:r>
    </w:p>
    <w:p>
      <w:pPr>
        <w:keepNext/>
        <w:keepLines/>
        <w:pBdr>
          <w:top w:val="single" w:color="000000" w:sz="12" w:space="2"/>
          <w:bottom w:val="single" w:color="000000" w:sz="6" w:space="2"/>
        </w:pBdr>
        <w:spacing w:after="0" w:before="0" w:line="252"/>
        <w:ind w:left="1700"/>
      </w:pPr>
      <w:r>
        <w:rPr>
          <w:rFonts w:ascii="Times New Roman" w:cs="Times New Roman" w:eastAsia="Times New Roman" w:hAnsi="Times New Roman"/>
          <w:b/>
          <w:bCs/>
          <w:sz w:val="20"/>
          <w:szCs w:val="20"/>
        </w:rPr>
        <w:t xml:space="preserve">Algorithm 1 </w:t>
      </w:r>
      <w:r>
        <w:rPr>
          <w:rFonts w:ascii="Times New Roman" w:cs="Times New Roman" w:eastAsia="Times New Roman" w:hAnsi="Times New Roman"/>
          <w:sz w:val="20"/>
          <w:szCs w:val="20"/>
        </w:rPr>
        <w:t xml:space="preserve">CLISA-EWU leave-one-participant-out training and evaluation</w:t>
      </w:r>
    </w:p>
    <w:p>
      <w:pPr>
        <w:keepNext/>
        <w:keepLines/>
        <w:spacing w:after="0" w:before="0" w:line="252"/>
        <w:ind w:left="1700"/>
      </w:pPr>
      <w:r>
        <w:rPr>
          <w:rFonts w:ascii="Times New Roman" w:cs="Times New Roman" w:eastAsia="Times New Roman" w:hAnsi="Times New Roman"/>
          <w:b/>
          <w:bCs/>
          <w:sz w:val="19"/>
          <w:szCs w:val="19"/>
        </w:rPr>
        <w:t xml:space="preserve">Input: </w:t>
      </w:r>
      <w:r>
        <w:rPr>
          <w:rFonts w:ascii="Times New Roman" w:cs="Times New Roman" w:eastAsia="Times New Roman" w:hAnsi="Times New Roman"/>
          <w:sz w:val="19"/>
          <w:szCs w:val="19"/>
        </w:rPr>
        <w:t xml:space="preserve">Standardised DE features </w:t>
      </w:r>
      <w:r>
        <w:rPr>
          <w:rFonts w:ascii="Times New Roman" w:cs="Times New Roman" w:eastAsia="Times New Roman" w:hAnsi="Times New Roman"/>
          <w:i/>
          <w:iCs/>
          <w:sz w:val="19"/>
          <w:szCs w:val="19"/>
        </w:rPr>
        <w:t xml:space="preserve">X</w:t>
      </w:r>
      <w:r>
        <w:rPr>
          <w:rFonts w:ascii="Times New Roman" w:cs="Times New Roman" w:eastAsia="Times New Roman" w:hAnsi="Times New Roman"/>
          <w:sz w:val="19"/>
          <w:szCs w:val="19"/>
        </w:rPr>
        <w:t xml:space="preserve"> ∈ ℝ</w:t>
      </w:r>
      <w:r>
        <w:rPr>
          <w:rFonts w:ascii="Times New Roman" w:cs="Times New Roman" w:eastAsia="Times New Roman" w:hAnsi="Times New Roman"/>
          <w:sz w:val="19"/>
          <w:szCs w:val="19"/>
          <w:vertAlign w:val="superscript"/>
        </w:rPr>
        <w:t xml:space="preserve">N×d</w:t>
      </w:r>
      <w:r>
        <w:rPr>
          <w:rFonts w:ascii="Times New Roman" w:cs="Times New Roman" w:eastAsia="Times New Roman" w:hAnsi="Times New Roman"/>
          <w:sz w:val="19"/>
          <w:szCs w:val="19"/>
        </w:rPr>
        <w:t xml:space="preserve">, labels </w:t>
      </w:r>
      <w:r>
        <w:rPr>
          <w:rFonts w:ascii="Times New Roman" w:cs="Times New Roman" w:eastAsia="Times New Roman" w:hAnsi="Times New Roman"/>
          <w:i/>
          <w:iCs/>
          <w:sz w:val="19"/>
          <w:szCs w:val="19"/>
        </w:rPr>
        <w:t xml:space="preserve">y</w:t>
      </w:r>
      <w:r>
        <w:rPr>
          <w:rFonts w:ascii="Times New Roman" w:cs="Times New Roman" w:eastAsia="Times New Roman" w:hAnsi="Times New Roman"/>
          <w:sz w:val="19"/>
          <w:szCs w:val="19"/>
        </w:rPr>
        <w:t xml:space="preserve">, participant identifiers </w:t>
      </w:r>
      <w:r>
        <w:rPr>
          <w:rFonts w:ascii="Times New Roman" w:cs="Times New Roman" w:eastAsia="Times New Roman" w:hAnsi="Times New Roman"/>
          <w:i/>
          <w:iCs/>
          <w:sz w:val="19"/>
          <w:szCs w:val="19"/>
        </w:rPr>
        <w:t xml:space="preserve">s</w:t>
      </w:r>
      <w:r>
        <w:rPr>
          <w:rFonts w:ascii="Times New Roman" w:cs="Times New Roman" w:eastAsia="Times New Roman" w:hAnsi="Times New Roman"/>
          <w:sz w:val="19"/>
          <w:szCs w:val="19"/>
        </w:rPr>
        <w:t xml:space="preserve">, seeds {1, 7, 21}, calibration budget </w:t>
      </w:r>
      <w:r>
        <w:rPr>
          <w:rFonts w:ascii="Times New Roman" w:cs="Times New Roman" w:eastAsia="Times New Roman" w:hAnsi="Times New Roman"/>
          <w:i/>
          <w:iCs/>
          <w:sz w:val="19"/>
          <w:szCs w:val="19"/>
        </w:rPr>
        <w:t xml:space="preserve">m</w:t>
      </w:r>
      <w:r>
        <w:rPr>
          <w:rFonts w:ascii="Times New Roman" w:cs="Times New Roman" w:eastAsia="Times New Roman" w:hAnsi="Times New Roman"/>
          <w:sz w:val="19"/>
          <w:szCs w:val="19"/>
        </w:rPr>
        <w:t xml:space="preserve"> = 20</w:t>
      </w:r>
    </w:p>
    <w:p>
      <w:pPr>
        <w:keepNext/>
        <w:keepLines/>
        <w:spacing w:after="0" w:before="0" w:line="252"/>
        <w:ind w:left="1700"/>
      </w:pPr>
      <w:r>
        <w:rPr>
          <w:rFonts w:ascii="Times New Roman" w:cs="Times New Roman" w:eastAsia="Times New Roman" w:hAnsi="Times New Roman"/>
          <w:b/>
          <w:bCs/>
          <w:sz w:val="19"/>
          <w:szCs w:val="19"/>
        </w:rPr>
        <w:t xml:space="preserve">Output: </w:t>
      </w:r>
      <w:r>
        <w:rPr>
          <w:rFonts w:ascii="Times New Roman" w:cs="Times New Roman" w:eastAsia="Times New Roman" w:hAnsi="Times New Roman"/>
          <w:sz w:val="19"/>
          <w:szCs w:val="19"/>
        </w:rPr>
        <w:t xml:space="preserve">Zero-shot accuracy A</w:t>
      </w:r>
      <w:r>
        <w:rPr>
          <w:rFonts w:ascii="Times New Roman" w:cs="Times New Roman" w:eastAsia="Times New Roman" w:hAnsi="Times New Roman"/>
          <w:sz w:val="19"/>
          <w:szCs w:val="19"/>
          <w:vertAlign w:val="subscript"/>
        </w:rPr>
        <w:t xml:space="preserve">zs</w:t>
      </w:r>
      <w:r>
        <w:rPr>
          <w:rFonts w:ascii="Times New Roman" w:cs="Times New Roman" w:eastAsia="Times New Roman" w:hAnsi="Times New Roman"/>
          <w:sz w:val="19"/>
          <w:szCs w:val="19"/>
        </w:rPr>
        <w:t xml:space="preserve"> and calibrated accuracy A</w:t>
      </w:r>
      <w:r>
        <w:rPr>
          <w:rFonts w:ascii="Times New Roman" w:cs="Times New Roman" w:eastAsia="Times New Roman" w:hAnsi="Times New Roman"/>
          <w:sz w:val="19"/>
          <w:szCs w:val="19"/>
          <w:vertAlign w:val="subscript"/>
        </w:rPr>
        <w:t xml:space="preserve">cal</w:t>
      </w:r>
      <w:r>
        <w:rPr>
          <w:rFonts w:ascii="Times New Roman" w:cs="Times New Roman" w:eastAsia="Times New Roman" w:hAnsi="Times New Roman"/>
          <w:sz w:val="19"/>
          <w:szCs w:val="19"/>
        </w:rPr>
        <w:t xml:space="preserve"> for every seed and held-out participant</w:t>
      </w:r>
    </w:p>
    <w:p>
      <w:pPr>
        <w:keepNext/>
        <w:keepLines/>
        <w:tabs>
          <w:tab w:val="left" w:pos="420"/>
        </w:tabs>
        <w:spacing w:after="0" w:before="0" w:line="252"/>
        <w:ind w:left="2120" w:hanging="420"/>
      </w:pPr>
      <w:r>
        <w:rPr>
          <w:rFonts w:ascii="Times New Roman" w:cs="Times New Roman" w:eastAsia="Times New Roman" w:hAnsi="Times New Roman"/>
          <w:sz w:val="19"/>
          <w:szCs w:val="19"/>
        </w:rPr>
        <w:t xml:space="preserve">1:	</w:t>
      </w:r>
      <w:r>
        <w:rPr>
          <w:rFonts w:ascii="Times New Roman" w:cs="Times New Roman" w:eastAsia="Times New Roman" w:hAnsi="Times New Roman"/>
          <w:b/>
          <w:bCs/>
          <w:sz w:val="19"/>
          <w:szCs w:val="19"/>
        </w:rPr>
        <w:t xml:space="preserve">for </w:t>
      </w:r>
      <w:r>
        <w:rPr>
          <w:rFonts w:ascii="Times New Roman" w:cs="Times New Roman" w:eastAsia="Times New Roman" w:hAnsi="Times New Roman"/>
          <w:sz w:val="19"/>
          <w:szCs w:val="19"/>
        </w:rPr>
        <w:t xml:space="preserve">each seed </w:t>
      </w:r>
      <w:r>
        <w:rPr>
          <w:rFonts w:ascii="Times New Roman" w:cs="Times New Roman" w:eastAsia="Times New Roman" w:hAnsi="Times New Roman"/>
          <w:i/>
          <w:iCs/>
          <w:sz w:val="19"/>
          <w:szCs w:val="19"/>
        </w:rPr>
        <w:t xml:space="preserve">r</w:t>
      </w:r>
      <w:r>
        <w:rPr>
          <w:rFonts w:ascii="Times New Roman" w:cs="Times New Roman" w:eastAsia="Times New Roman" w:hAnsi="Times New Roman"/>
          <w:sz w:val="19"/>
          <w:szCs w:val="19"/>
        </w:rPr>
        <w:t xml:space="preserve"> ∈ (1, 7, 21)</w:t>
      </w:r>
      <w:r>
        <w:rPr>
          <w:rFonts w:ascii="Times New Roman" w:cs="Times New Roman" w:eastAsia="Times New Roman" w:hAnsi="Times New Roman"/>
          <w:b/>
          <w:bCs/>
          <w:sz w:val="19"/>
          <w:szCs w:val="19"/>
        </w:rPr>
        <w:t xml:space="preserve"> do</w:t>
      </w:r>
    </w:p>
    <w:p>
      <w:pPr>
        <w:keepNext/>
        <w:keepLines/>
        <w:tabs>
          <w:tab w:val="left" w:pos="720"/>
        </w:tabs>
        <w:spacing w:after="0" w:before="0" w:line="252"/>
        <w:ind w:left="2420" w:hanging="720"/>
      </w:pPr>
      <w:r>
        <w:rPr>
          <w:rFonts w:ascii="Times New Roman" w:cs="Times New Roman" w:eastAsia="Times New Roman" w:hAnsi="Times New Roman"/>
          <w:sz w:val="19"/>
          <w:szCs w:val="19"/>
        </w:rPr>
        <w:t xml:space="preserve">2:	</w:t>
      </w:r>
      <w:r>
        <w:rPr>
          <w:rFonts w:ascii="Times New Roman" w:cs="Times New Roman" w:eastAsia="Times New Roman" w:hAnsi="Times New Roman"/>
          <w:b/>
          <w:bCs/>
          <w:sz w:val="19"/>
          <w:szCs w:val="19"/>
        </w:rPr>
        <w:t xml:space="preserve">for </w:t>
      </w:r>
      <w:r>
        <w:rPr>
          <w:rFonts w:ascii="Times New Roman" w:cs="Times New Roman" w:eastAsia="Times New Roman" w:hAnsi="Times New Roman"/>
          <w:sz w:val="19"/>
          <w:szCs w:val="19"/>
        </w:rPr>
        <w:t xml:space="preserve">each participant </w:t>
      </w:r>
      <w:r>
        <w:rPr>
          <w:rFonts w:ascii="Times New Roman" w:cs="Times New Roman" w:eastAsia="Times New Roman" w:hAnsi="Times New Roman"/>
          <w:i/>
          <w:iCs/>
          <w:sz w:val="19"/>
          <w:szCs w:val="19"/>
        </w:rPr>
        <w:t xml:space="preserve">p</w:t>
      </w:r>
      <w:r>
        <w:rPr>
          <w:rFonts w:ascii="Times New Roman" w:cs="Times New Roman" w:eastAsia="Times New Roman" w:hAnsi="Times New Roman"/>
          <w:sz w:val="19"/>
          <w:szCs w:val="19"/>
        </w:rPr>
        <w:t xml:space="preserve"> = 1, …, 15</w:t>
      </w:r>
      <w:r>
        <w:rPr>
          <w:rFonts w:ascii="Times New Roman" w:cs="Times New Roman" w:eastAsia="Times New Roman" w:hAnsi="Times New Roman"/>
          <w:b/>
          <w:bCs/>
          <w:sz w:val="19"/>
          <w:szCs w:val="19"/>
        </w:rPr>
        <w:t xml:space="preserve"> do</w:t>
      </w:r>
    </w:p>
    <w:p>
      <w:pPr>
        <w:keepNext/>
        <w:keepLines/>
        <w:tabs>
          <w:tab w:val="left" w:pos="1020"/>
        </w:tabs>
        <w:spacing w:after="0" w:before="0" w:line="252"/>
        <w:ind w:left="2720" w:hanging="1020"/>
      </w:pPr>
      <w:r>
        <w:rPr>
          <w:rFonts w:ascii="Times New Roman" w:cs="Times New Roman" w:eastAsia="Times New Roman" w:hAnsi="Times New Roman"/>
          <w:sz w:val="19"/>
          <w:szCs w:val="19"/>
        </w:rPr>
        <w:t xml:space="preserve">3:	</w:t>
      </w:r>
      <w:r>
        <w:rPr>
          <w:rFonts w:ascii="Times New Roman" w:cs="Times New Roman" w:eastAsia="Times New Roman" w:hAnsi="Times New Roman"/>
          <w:sz w:val="19"/>
          <w:szCs w:val="19"/>
        </w:rPr>
        <w:t xml:space="preserve">D</w:t>
      </w:r>
      <w:r>
        <w:rPr>
          <w:rFonts w:ascii="Times New Roman" w:cs="Times New Roman" w:eastAsia="Times New Roman" w:hAnsi="Times New Roman"/>
          <w:sz w:val="19"/>
          <w:szCs w:val="19"/>
          <w:vertAlign w:val="subscript"/>
        </w:rPr>
        <w:t xml:space="preserve">test</w:t>
      </w:r>
      <w:r>
        <w:rPr>
          <w:rFonts w:ascii="Times New Roman" w:cs="Times New Roman" w:eastAsia="Times New Roman" w:hAnsi="Times New Roman"/>
          <w:sz w:val="19"/>
          <w:szCs w:val="19"/>
        </w:rPr>
        <w:t xml:space="preserve"> ← windows of participant </w:t>
      </w:r>
      <w:r>
        <w:rPr>
          <w:rFonts w:ascii="Times New Roman" w:cs="Times New Roman" w:eastAsia="Times New Roman" w:hAnsi="Times New Roman"/>
          <w:i/>
          <w:iCs/>
          <w:sz w:val="19"/>
          <w:szCs w:val="19"/>
        </w:rPr>
        <w:t xml:space="preserve">p</w:t>
      </w:r>
      <w:r>
        <w:rPr>
          <w:rFonts w:ascii="Times New Roman" w:cs="Times New Roman" w:eastAsia="Times New Roman" w:hAnsi="Times New Roman"/>
          <w:sz w:val="19"/>
          <w:szCs w:val="19"/>
        </w:rPr>
        <w:t xml:space="preserve">; D</w:t>
      </w:r>
      <w:r>
        <w:rPr>
          <w:rFonts w:ascii="Times New Roman" w:cs="Times New Roman" w:eastAsia="Times New Roman" w:hAnsi="Times New Roman"/>
          <w:sz w:val="19"/>
          <w:szCs w:val="19"/>
          <w:vertAlign w:val="subscript"/>
        </w:rPr>
        <w:t xml:space="preserve">pool</w:t>
      </w:r>
      <w:r>
        <w:rPr>
          <w:rFonts w:ascii="Times New Roman" w:cs="Times New Roman" w:eastAsia="Times New Roman" w:hAnsi="Times New Roman"/>
          <w:sz w:val="19"/>
          <w:szCs w:val="19"/>
        </w:rPr>
        <w:t xml:space="preserve"> ← windows of the other 14 participants</w:t>
      </w:r>
    </w:p>
    <w:p>
      <w:pPr>
        <w:keepNext/>
        <w:keepLines/>
        <w:tabs>
          <w:tab w:val="left" w:pos="1020"/>
        </w:tabs>
        <w:spacing w:after="0" w:before="0" w:line="252"/>
        <w:ind w:left="2720" w:hanging="1020"/>
      </w:pPr>
      <w:r>
        <w:rPr>
          <w:rFonts w:ascii="Times New Roman" w:cs="Times New Roman" w:eastAsia="Times New Roman" w:hAnsi="Times New Roman"/>
          <w:sz w:val="19"/>
          <w:szCs w:val="19"/>
        </w:rPr>
        <w:t xml:space="preserve">4:	</w:t>
      </w:r>
      <w:r>
        <w:rPr>
          <w:rFonts w:ascii="Times New Roman" w:cs="Times New Roman" w:eastAsia="Times New Roman" w:hAnsi="Times New Roman"/>
          <w:sz w:val="19"/>
          <w:szCs w:val="19"/>
        </w:rPr>
        <w:t xml:space="preserve">Split D</w:t>
      </w:r>
      <w:r>
        <w:rPr>
          <w:rFonts w:ascii="Times New Roman" w:cs="Times New Roman" w:eastAsia="Times New Roman" w:hAnsi="Times New Roman"/>
          <w:sz w:val="19"/>
          <w:szCs w:val="19"/>
          <w:vertAlign w:val="subscript"/>
        </w:rPr>
        <w:t xml:space="preserve">pool</w:t>
      </w:r>
      <w:r>
        <w:rPr>
          <w:rFonts w:ascii="Times New Roman" w:cs="Times New Roman" w:eastAsia="Times New Roman" w:hAnsi="Times New Roman"/>
          <w:sz w:val="19"/>
          <w:szCs w:val="19"/>
        </w:rPr>
        <w:t xml:space="preserve"> at random into D</w:t>
      </w:r>
      <w:r>
        <w:rPr>
          <w:rFonts w:ascii="Times New Roman" w:cs="Times New Roman" w:eastAsia="Times New Roman" w:hAnsi="Times New Roman"/>
          <w:sz w:val="19"/>
          <w:szCs w:val="19"/>
          <w:vertAlign w:val="subscript"/>
        </w:rPr>
        <w:t xml:space="preserve">train</w:t>
      </w:r>
      <w:r>
        <w:rPr>
          <w:rFonts w:ascii="Times New Roman" w:cs="Times New Roman" w:eastAsia="Times New Roman" w:hAnsi="Times New Roman"/>
          <w:sz w:val="19"/>
          <w:szCs w:val="19"/>
        </w:rPr>
        <w:t xml:space="preserve"> (85%) and D</w:t>
      </w:r>
      <w:r>
        <w:rPr>
          <w:rFonts w:ascii="Times New Roman" w:cs="Times New Roman" w:eastAsia="Times New Roman" w:hAnsi="Times New Roman"/>
          <w:sz w:val="19"/>
          <w:szCs w:val="19"/>
          <w:vertAlign w:val="subscript"/>
        </w:rPr>
        <w:t xml:space="preserve">val</w:t>
      </w:r>
      <w:r>
        <w:rPr>
          <w:rFonts w:ascii="Times New Roman" w:cs="Times New Roman" w:eastAsia="Times New Roman" w:hAnsi="Times New Roman"/>
          <w:sz w:val="19"/>
          <w:szCs w:val="19"/>
        </w:rPr>
        <w:t xml:space="preserve"> (15%)</w:t>
      </w:r>
    </w:p>
    <w:p>
      <w:pPr>
        <w:keepNext/>
        <w:keepLines/>
        <w:tabs>
          <w:tab w:val="left" w:pos="1020"/>
        </w:tabs>
        <w:spacing w:after="0" w:before="0" w:line="252"/>
        <w:ind w:left="2720" w:hanging="1020"/>
      </w:pPr>
      <w:r>
        <w:rPr>
          <w:rFonts w:ascii="Times New Roman" w:cs="Times New Roman" w:eastAsia="Times New Roman" w:hAnsi="Times New Roman"/>
          <w:sz w:val="19"/>
          <w:szCs w:val="19"/>
        </w:rPr>
        <w:t xml:space="preserve">5:	</w:t>
      </w:r>
      <w:r>
        <w:rPr>
          <w:rFonts w:ascii="Times New Roman" w:cs="Times New Roman" w:eastAsia="Times New Roman" w:hAnsi="Times New Roman"/>
          <w:sz w:val="19"/>
          <w:szCs w:val="19"/>
        </w:rPr>
        <w:t xml:space="preserve">Initialise encoder </w:t>
      </w:r>
      <w:r>
        <w:rPr>
          <w:rFonts w:ascii="Times New Roman" w:cs="Times New Roman" w:eastAsia="Times New Roman" w:hAnsi="Times New Roman"/>
          <w:i/>
          <w:iCs/>
          <w:sz w:val="19"/>
          <w:szCs w:val="19"/>
        </w:rPr>
        <w:t xml:space="preserve">f</w:t>
      </w:r>
      <w:r>
        <w:rPr>
          <w:rFonts w:ascii="Times New Roman" w:cs="Times New Roman" w:eastAsia="Times New Roman" w:hAnsi="Times New Roman"/>
          <w:sz w:val="19"/>
          <w:szCs w:val="19"/>
          <w:vertAlign w:val="subscript"/>
        </w:rPr>
        <w:t xml:space="preserve">θ</w:t>
      </w:r>
      <w:r>
        <w:rPr>
          <w:rFonts w:ascii="Times New Roman" w:cs="Times New Roman" w:eastAsia="Times New Roman" w:hAnsi="Times New Roman"/>
          <w:sz w:val="19"/>
          <w:szCs w:val="19"/>
        </w:rPr>
        <w:t xml:space="preserve">, projection head </w:t>
      </w:r>
      <w:r>
        <w:rPr>
          <w:rFonts w:ascii="Times New Roman" w:cs="Times New Roman" w:eastAsia="Times New Roman" w:hAnsi="Times New Roman"/>
          <w:i/>
          <w:iCs/>
          <w:sz w:val="19"/>
          <w:szCs w:val="19"/>
        </w:rPr>
        <w:t xml:space="preserve">g</w:t>
      </w:r>
      <w:r>
        <w:rPr>
          <w:rFonts w:ascii="Times New Roman" w:cs="Times New Roman" w:eastAsia="Times New Roman" w:hAnsi="Times New Roman"/>
          <w:sz w:val="19"/>
          <w:szCs w:val="19"/>
          <w:vertAlign w:val="subscript"/>
        </w:rPr>
        <w:t xml:space="preserve">φ</w:t>
      </w:r>
      <w:r>
        <w:rPr>
          <w:rFonts w:ascii="Times New Roman" w:cs="Times New Roman" w:eastAsia="Times New Roman" w:hAnsi="Times New Roman"/>
          <w:sz w:val="19"/>
          <w:szCs w:val="19"/>
        </w:rPr>
        <w:t xml:space="preserve"> and classifier </w:t>
      </w:r>
      <w:r>
        <w:rPr>
          <w:rFonts w:ascii="Times New Roman" w:cs="Times New Roman" w:eastAsia="Times New Roman" w:hAnsi="Times New Roman"/>
          <w:i/>
          <w:iCs/>
          <w:sz w:val="19"/>
          <w:szCs w:val="19"/>
        </w:rPr>
        <w:t xml:space="preserve">c</w:t>
      </w:r>
      <w:r>
        <w:rPr>
          <w:rFonts w:ascii="Times New Roman" w:cs="Times New Roman" w:eastAsia="Times New Roman" w:hAnsi="Times New Roman"/>
          <w:sz w:val="19"/>
          <w:szCs w:val="19"/>
          <w:vertAlign w:val="subscript"/>
        </w:rPr>
        <w:t xml:space="preserve">ψ</w:t>
      </w:r>
    </w:p>
    <w:p>
      <w:pPr>
        <w:keepNext/>
        <w:keepLines/>
        <w:tabs>
          <w:tab w:val="left" w:pos="1020"/>
        </w:tabs>
        <w:spacing w:after="0" w:before="0" w:line="252"/>
        <w:ind w:left="2720" w:hanging="1020"/>
      </w:pPr>
      <w:r>
        <w:rPr>
          <w:rFonts w:ascii="Times New Roman" w:cs="Times New Roman" w:eastAsia="Times New Roman" w:hAnsi="Times New Roman"/>
          <w:sz w:val="19"/>
          <w:szCs w:val="19"/>
        </w:rPr>
        <w:t xml:space="preserve">6:	</w:t>
      </w:r>
      <w:r>
        <w:rPr>
          <w:rFonts w:ascii="Times New Roman" w:cs="Times New Roman" w:eastAsia="Times New Roman" w:hAnsi="Times New Roman"/>
          <w:b/>
          <w:bCs/>
          <w:sz w:val="19"/>
          <w:szCs w:val="19"/>
        </w:rPr>
        <w:t xml:space="preserve">for </w:t>
      </w:r>
      <w:r>
        <w:rPr>
          <w:rFonts w:ascii="Times New Roman" w:cs="Times New Roman" w:eastAsia="Times New Roman" w:hAnsi="Times New Roman"/>
          <w:sz w:val="19"/>
          <w:szCs w:val="19"/>
        </w:rPr>
        <w:t xml:space="preserve">epoch = 1, …, 50</w:t>
      </w:r>
      <w:r>
        <w:rPr>
          <w:rFonts w:ascii="Times New Roman" w:cs="Times New Roman" w:eastAsia="Times New Roman" w:hAnsi="Times New Roman"/>
          <w:b/>
          <w:bCs/>
          <w:sz w:val="19"/>
          <w:szCs w:val="19"/>
        </w:rPr>
        <w:t xml:space="preserve"> do</w:t>
      </w:r>
      <w:r>
        <w:rPr>
          <w:rFonts w:ascii="Times New Roman" w:cs="Times New Roman" w:eastAsia="Times New Roman" w:hAnsi="Times New Roman"/>
          <w:i/>
          <w:iCs/>
          <w:color w:val="404040"/>
          <w:sz w:val="19"/>
          <w:szCs w:val="19"/>
        </w:rPr>
        <w:t xml:space="preserve">   ▷ Stage 1: contrastive pretraining</w:t>
      </w:r>
    </w:p>
    <w:p>
      <w:pPr>
        <w:keepNext/>
        <w:keepLines/>
        <w:tabs>
          <w:tab w:val="left" w:pos="1320"/>
        </w:tabs>
        <w:spacing w:after="0" w:before="0" w:line="252"/>
        <w:ind w:left="3020" w:hanging="1320"/>
      </w:pPr>
      <w:r>
        <w:rPr>
          <w:rFonts w:ascii="Times New Roman" w:cs="Times New Roman" w:eastAsia="Times New Roman" w:hAnsi="Times New Roman"/>
          <w:sz w:val="19"/>
          <w:szCs w:val="19"/>
        </w:rPr>
        <w:t xml:space="preserve">7:	</w:t>
      </w:r>
      <w:r>
        <w:rPr>
          <w:rFonts w:ascii="Times New Roman" w:cs="Times New Roman" w:eastAsia="Times New Roman" w:hAnsi="Times New Roman"/>
          <w:b/>
          <w:bCs/>
          <w:sz w:val="19"/>
          <w:szCs w:val="19"/>
        </w:rPr>
        <w:t xml:space="preserve">for </w:t>
      </w:r>
      <w:r>
        <w:rPr>
          <w:rFonts w:ascii="Times New Roman" w:cs="Times New Roman" w:eastAsia="Times New Roman" w:hAnsi="Times New Roman"/>
          <w:sz w:val="19"/>
          <w:szCs w:val="19"/>
        </w:rPr>
        <w:t xml:space="preserve">each class-balanced mini-batch </w:t>
      </w:r>
      <w:r>
        <w:rPr>
          <w:rFonts w:ascii="Times New Roman" w:cs="Times New Roman" w:eastAsia="Times New Roman" w:hAnsi="Times New Roman"/>
          <w:i/>
          <w:iCs/>
          <w:sz w:val="19"/>
          <w:szCs w:val="19"/>
        </w:rPr>
        <w:t xml:space="preserve">x</w:t>
      </w:r>
      <w:r>
        <w:rPr>
          <w:rFonts w:ascii="Times New Roman" w:cs="Times New Roman" w:eastAsia="Times New Roman" w:hAnsi="Times New Roman"/>
          <w:sz w:val="19"/>
          <w:szCs w:val="19"/>
        </w:rPr>
        <w:t xml:space="preserve"> ⊂ D</w:t>
      </w:r>
      <w:r>
        <w:rPr>
          <w:rFonts w:ascii="Times New Roman" w:cs="Times New Roman" w:eastAsia="Times New Roman" w:hAnsi="Times New Roman"/>
          <w:sz w:val="19"/>
          <w:szCs w:val="19"/>
          <w:vertAlign w:val="subscript"/>
        </w:rPr>
        <w:t xml:space="preserve">train</w:t>
      </w:r>
      <w:r>
        <w:rPr>
          <w:rFonts w:ascii="Times New Roman" w:cs="Times New Roman" w:eastAsia="Times New Roman" w:hAnsi="Times New Roman"/>
          <w:b/>
          <w:bCs/>
          <w:sz w:val="19"/>
          <w:szCs w:val="19"/>
        </w:rPr>
        <w:t xml:space="preserve"> do</w:t>
      </w:r>
    </w:p>
    <w:p>
      <w:pPr>
        <w:keepNext/>
        <w:keepLines/>
        <w:tabs>
          <w:tab w:val="left" w:pos="1620"/>
        </w:tabs>
        <w:spacing w:after="0" w:before="0" w:line="252"/>
        <w:ind w:left="3320" w:hanging="1620"/>
      </w:pPr>
      <w:r>
        <w:rPr>
          <w:rFonts w:ascii="Times New Roman" w:cs="Times New Roman" w:eastAsia="Times New Roman" w:hAnsi="Times New Roman"/>
          <w:sz w:val="19"/>
          <w:szCs w:val="19"/>
        </w:rPr>
        <w:t xml:space="preserve">8:	</w:t>
      </w:r>
      <w:r>
        <w:rPr>
          <w:rFonts w:ascii="Times New Roman" w:cs="Times New Roman" w:eastAsia="Times New Roman" w:hAnsi="Times New Roman"/>
          <w:i/>
          <w:iCs/>
          <w:sz w:val="19"/>
          <w:szCs w:val="19"/>
        </w:rPr>
        <w:t xml:space="preserve">v</w:t>
      </w:r>
      <w:r>
        <w:rPr>
          <w:rFonts w:ascii="Times New Roman" w:cs="Times New Roman" w:eastAsia="Times New Roman" w:hAnsi="Times New Roman"/>
          <w:sz w:val="19"/>
          <w:szCs w:val="19"/>
          <w:vertAlign w:val="subscript"/>
        </w:rPr>
        <w:t xml:space="preserve">1</w:t>
      </w:r>
      <w:r>
        <w:rPr>
          <w:rFonts w:ascii="Times New Roman" w:cs="Times New Roman" w:eastAsia="Times New Roman" w:hAnsi="Times New Roman"/>
          <w:sz w:val="19"/>
          <w:szCs w:val="19"/>
        </w:rPr>
        <w:t xml:space="preserve">, </w:t>
      </w:r>
      <w:r>
        <w:rPr>
          <w:rFonts w:ascii="Times New Roman" w:cs="Times New Roman" w:eastAsia="Times New Roman" w:hAnsi="Times New Roman"/>
          <w:i/>
          <w:iCs/>
          <w:sz w:val="19"/>
          <w:szCs w:val="19"/>
        </w:rPr>
        <w:t xml:space="preserve">v</w:t>
      </w:r>
      <w:r>
        <w:rPr>
          <w:rFonts w:ascii="Times New Roman" w:cs="Times New Roman" w:eastAsia="Times New Roman" w:hAnsi="Times New Roman"/>
          <w:sz w:val="19"/>
          <w:szCs w:val="19"/>
          <w:vertAlign w:val="subscript"/>
        </w:rPr>
        <w:t xml:space="preserve">2</w:t>
      </w:r>
      <w:r>
        <w:rPr>
          <w:rFonts w:ascii="Times New Roman" w:cs="Times New Roman" w:eastAsia="Times New Roman" w:hAnsi="Times New Roman"/>
          <w:sz w:val="19"/>
          <w:szCs w:val="19"/>
        </w:rPr>
        <w:t xml:space="preserve"> ← noise and electrode-masking views of </w:t>
      </w:r>
      <w:r>
        <w:rPr>
          <w:rFonts w:ascii="Times New Roman" w:cs="Times New Roman" w:eastAsia="Times New Roman" w:hAnsi="Times New Roman"/>
          <w:i/>
          <w:iCs/>
          <w:sz w:val="19"/>
          <w:szCs w:val="19"/>
        </w:rPr>
        <w:t xml:space="preserve">x</w:t>
      </w:r>
      <w:r>
        <w:rPr>
          <w:rFonts w:ascii="Times New Roman" w:cs="Times New Roman" w:eastAsia="Times New Roman" w:hAnsi="Times New Roman"/>
          <w:sz w:val="19"/>
          <w:szCs w:val="19"/>
        </w:rPr>
        <w:t xml:space="preserve">, Eq. (3)</w:t>
      </w:r>
    </w:p>
    <w:p>
      <w:pPr>
        <w:keepNext/>
        <w:keepLines/>
        <w:tabs>
          <w:tab w:val="left" w:pos="1620"/>
        </w:tabs>
        <w:spacing w:after="0" w:before="0" w:line="252"/>
        <w:ind w:left="3320" w:hanging="1620"/>
      </w:pPr>
      <w:r>
        <w:rPr>
          <w:rFonts w:ascii="Times New Roman" w:cs="Times New Roman" w:eastAsia="Times New Roman" w:hAnsi="Times New Roman"/>
          <w:sz w:val="19"/>
          <w:szCs w:val="19"/>
        </w:rPr>
        <w:t xml:space="preserve">9:	</w:t>
      </w:r>
      <w:r>
        <w:rPr>
          <w:rFonts w:ascii="Times New Roman" w:cs="Times New Roman" w:eastAsia="Times New Roman" w:hAnsi="Times New Roman"/>
          <w:sz w:val="19"/>
          <w:szCs w:val="19"/>
        </w:rPr>
        <w:t xml:space="preserve">Update θ, φ by minimising the NT-Xent loss of the projections of </w:t>
      </w:r>
      <w:r>
        <w:rPr>
          <w:rFonts w:ascii="Times New Roman" w:cs="Times New Roman" w:eastAsia="Times New Roman" w:hAnsi="Times New Roman"/>
          <w:i/>
          <w:iCs/>
          <w:sz w:val="19"/>
          <w:szCs w:val="19"/>
        </w:rPr>
        <w:t xml:space="preserve">v</w:t>
      </w:r>
      <w:r>
        <w:rPr>
          <w:rFonts w:ascii="Times New Roman" w:cs="Times New Roman" w:eastAsia="Times New Roman" w:hAnsi="Times New Roman"/>
          <w:sz w:val="19"/>
          <w:szCs w:val="19"/>
          <w:vertAlign w:val="subscript"/>
        </w:rPr>
        <w:t xml:space="preserve">1</w:t>
      </w:r>
      <w:r>
        <w:rPr>
          <w:rFonts w:ascii="Times New Roman" w:cs="Times New Roman" w:eastAsia="Times New Roman" w:hAnsi="Times New Roman"/>
          <w:sz w:val="19"/>
          <w:szCs w:val="19"/>
        </w:rPr>
        <w:t xml:space="preserve"> and </w:t>
      </w:r>
      <w:r>
        <w:rPr>
          <w:rFonts w:ascii="Times New Roman" w:cs="Times New Roman" w:eastAsia="Times New Roman" w:hAnsi="Times New Roman"/>
          <w:i/>
          <w:iCs/>
          <w:sz w:val="19"/>
          <w:szCs w:val="19"/>
        </w:rPr>
        <w:t xml:space="preserve">v</w:t>
      </w:r>
      <w:r>
        <w:rPr>
          <w:rFonts w:ascii="Times New Roman" w:cs="Times New Roman" w:eastAsia="Times New Roman" w:hAnsi="Times New Roman"/>
          <w:sz w:val="19"/>
          <w:szCs w:val="19"/>
          <w:vertAlign w:val="subscript"/>
        </w:rPr>
        <w:t xml:space="preserve">2</w:t>
      </w:r>
      <w:r>
        <w:rPr>
          <w:rFonts w:ascii="Times New Roman" w:cs="Times New Roman" w:eastAsia="Times New Roman" w:hAnsi="Times New Roman"/>
          <w:sz w:val="19"/>
          <w:szCs w:val="19"/>
        </w:rPr>
        <w:t xml:space="preserve">, Eq. (5)</w:t>
      </w:r>
    </w:p>
    <w:p>
      <w:pPr>
        <w:keepNext/>
        <w:keepLines/>
        <w:tabs>
          <w:tab w:val="left" w:pos="1320"/>
        </w:tabs>
        <w:spacing w:after="0" w:before="0" w:line="252"/>
        <w:ind w:left="3020" w:hanging="1320"/>
      </w:pPr>
      <w:r>
        <w:rPr>
          <w:rFonts w:ascii="Times New Roman" w:cs="Times New Roman" w:eastAsia="Times New Roman" w:hAnsi="Times New Roman"/>
          <w:sz w:val="19"/>
          <w:szCs w:val="19"/>
        </w:rPr>
        <w:t xml:space="preserve">10:	</w:t>
      </w:r>
      <w:r>
        <w:rPr>
          <w:rFonts w:ascii="Times New Roman" w:cs="Times New Roman" w:eastAsia="Times New Roman" w:hAnsi="Times New Roman"/>
          <w:b/>
          <w:bCs/>
          <w:sz w:val="19"/>
          <w:szCs w:val="19"/>
        </w:rPr>
        <w:t xml:space="preserve">end for</w:t>
      </w:r>
    </w:p>
    <w:p>
      <w:pPr>
        <w:keepNext/>
        <w:keepLines/>
        <w:tabs>
          <w:tab w:val="left" w:pos="1020"/>
        </w:tabs>
        <w:spacing w:after="0" w:before="0" w:line="252"/>
        <w:ind w:left="2720" w:hanging="1020"/>
      </w:pPr>
      <w:r>
        <w:rPr>
          <w:rFonts w:ascii="Times New Roman" w:cs="Times New Roman" w:eastAsia="Times New Roman" w:hAnsi="Times New Roman"/>
          <w:sz w:val="19"/>
          <w:szCs w:val="19"/>
        </w:rPr>
        <w:t xml:space="preserve">11:	</w:t>
      </w:r>
      <w:r>
        <w:rPr>
          <w:rFonts w:ascii="Times New Roman" w:cs="Times New Roman" w:eastAsia="Times New Roman" w:hAnsi="Times New Roman"/>
          <w:b/>
          <w:bCs/>
          <w:sz w:val="19"/>
          <w:szCs w:val="19"/>
        </w:rPr>
        <w:t xml:space="preserve">end for</w:t>
      </w:r>
    </w:p>
    <w:p>
      <w:pPr>
        <w:keepNext/>
        <w:keepLines/>
        <w:tabs>
          <w:tab w:val="left" w:pos="1020"/>
        </w:tabs>
        <w:spacing w:after="0" w:before="0" w:line="252"/>
        <w:ind w:left="2720" w:hanging="1020"/>
      </w:pPr>
      <w:r>
        <w:rPr>
          <w:rFonts w:ascii="Times New Roman" w:cs="Times New Roman" w:eastAsia="Times New Roman" w:hAnsi="Times New Roman"/>
          <w:sz w:val="19"/>
          <w:szCs w:val="19"/>
        </w:rPr>
        <w:t xml:space="preserve">12:	</w:t>
      </w:r>
      <w:r>
        <w:rPr>
          <w:rFonts w:ascii="Times New Roman" w:cs="Times New Roman" w:eastAsia="Times New Roman" w:hAnsi="Times New Roman"/>
          <w:b/>
          <w:bCs/>
          <w:sz w:val="19"/>
          <w:szCs w:val="19"/>
        </w:rPr>
        <w:t xml:space="preserve">for </w:t>
      </w:r>
      <w:r>
        <w:rPr>
          <w:rFonts w:ascii="Times New Roman" w:cs="Times New Roman" w:eastAsia="Times New Roman" w:hAnsi="Times New Roman"/>
          <w:sz w:val="19"/>
          <w:szCs w:val="19"/>
        </w:rPr>
        <w:t xml:space="preserve">epoch = 1, …, 50</w:t>
      </w:r>
      <w:r>
        <w:rPr>
          <w:rFonts w:ascii="Times New Roman" w:cs="Times New Roman" w:eastAsia="Times New Roman" w:hAnsi="Times New Roman"/>
          <w:b/>
          <w:bCs/>
          <w:sz w:val="19"/>
          <w:szCs w:val="19"/>
        </w:rPr>
        <w:t xml:space="preserve"> do</w:t>
      </w:r>
      <w:r>
        <w:rPr>
          <w:rFonts w:ascii="Times New Roman" w:cs="Times New Roman" w:eastAsia="Times New Roman" w:hAnsi="Times New Roman"/>
          <w:i/>
          <w:iCs/>
          <w:color w:val="404040"/>
          <w:sz w:val="19"/>
          <w:szCs w:val="19"/>
        </w:rPr>
        <w:t xml:space="preserve">   ▷ Stage 2: supervised fine-tuning</w:t>
      </w:r>
    </w:p>
    <w:p>
      <w:pPr>
        <w:keepNext/>
        <w:keepLines/>
        <w:tabs>
          <w:tab w:val="left" w:pos="1320"/>
        </w:tabs>
        <w:spacing w:after="0" w:before="0" w:line="252"/>
        <w:ind w:left="3020" w:hanging="1320"/>
      </w:pPr>
      <w:r>
        <w:rPr>
          <w:rFonts w:ascii="Times New Roman" w:cs="Times New Roman" w:eastAsia="Times New Roman" w:hAnsi="Times New Roman"/>
          <w:sz w:val="19"/>
          <w:szCs w:val="19"/>
        </w:rPr>
        <w:t xml:space="preserve">13:	</w:t>
      </w:r>
      <w:r>
        <w:rPr>
          <w:rFonts w:ascii="Times New Roman" w:cs="Times New Roman" w:eastAsia="Times New Roman" w:hAnsi="Times New Roman"/>
          <w:sz w:val="19"/>
          <w:szCs w:val="19"/>
        </w:rPr>
        <w:t xml:space="preserve">Update θ, ψ by minimising the cross-entropy loss on D</w:t>
      </w:r>
      <w:r>
        <w:rPr>
          <w:rFonts w:ascii="Times New Roman" w:cs="Times New Roman" w:eastAsia="Times New Roman" w:hAnsi="Times New Roman"/>
          <w:sz w:val="19"/>
          <w:szCs w:val="19"/>
          <w:vertAlign w:val="subscript"/>
        </w:rPr>
        <w:t xml:space="preserve">train</w:t>
      </w:r>
      <w:r>
        <w:rPr>
          <w:rFonts w:ascii="Times New Roman" w:cs="Times New Roman" w:eastAsia="Times New Roman" w:hAnsi="Times New Roman"/>
          <w:sz w:val="19"/>
          <w:szCs w:val="19"/>
        </w:rPr>
        <w:t xml:space="preserve">, Eq. (6)</w:t>
      </w:r>
    </w:p>
    <w:p>
      <w:pPr>
        <w:keepNext/>
        <w:keepLines/>
        <w:tabs>
          <w:tab w:val="left" w:pos="1320"/>
        </w:tabs>
        <w:spacing w:after="0" w:before="0" w:line="252"/>
        <w:ind w:left="3020" w:hanging="1320"/>
      </w:pPr>
      <w:r>
        <w:rPr>
          <w:rFonts w:ascii="Times New Roman" w:cs="Times New Roman" w:eastAsia="Times New Roman" w:hAnsi="Times New Roman"/>
          <w:sz w:val="19"/>
          <w:szCs w:val="19"/>
        </w:rPr>
        <w:t xml:space="preserve">14:	</w:t>
      </w:r>
      <w:r>
        <w:rPr>
          <w:rFonts w:ascii="Times New Roman" w:cs="Times New Roman" w:eastAsia="Times New Roman" w:hAnsi="Times New Roman"/>
          <w:b/>
          <w:bCs/>
          <w:sz w:val="19"/>
          <w:szCs w:val="19"/>
        </w:rPr>
        <w:t xml:space="preserve">if </w:t>
      </w:r>
      <w:r>
        <w:rPr>
          <w:rFonts w:ascii="Times New Roman" w:cs="Times New Roman" w:eastAsia="Times New Roman" w:hAnsi="Times New Roman"/>
          <w:sz w:val="19"/>
          <w:szCs w:val="19"/>
        </w:rPr>
        <w:t xml:space="preserve">validation macro F1 has not improved for 15 epochs</w:t>
      </w:r>
      <w:r>
        <w:rPr>
          <w:rFonts w:ascii="Times New Roman" w:cs="Times New Roman" w:eastAsia="Times New Roman" w:hAnsi="Times New Roman"/>
          <w:b/>
          <w:bCs/>
          <w:sz w:val="19"/>
          <w:szCs w:val="19"/>
        </w:rPr>
        <w:t xml:space="preserve"> then</w:t>
      </w:r>
    </w:p>
    <w:p>
      <w:pPr>
        <w:keepNext/>
        <w:keepLines/>
        <w:tabs>
          <w:tab w:val="left" w:pos="1620"/>
        </w:tabs>
        <w:spacing w:after="0" w:before="0" w:line="252"/>
        <w:ind w:left="3320" w:hanging="1620"/>
      </w:pPr>
      <w:r>
        <w:rPr>
          <w:rFonts w:ascii="Times New Roman" w:cs="Times New Roman" w:eastAsia="Times New Roman" w:hAnsi="Times New Roman"/>
          <w:sz w:val="19"/>
          <w:szCs w:val="19"/>
        </w:rPr>
        <w:t xml:space="preserve">15:	</w:t>
      </w:r>
      <w:r>
        <w:rPr>
          <w:rFonts w:ascii="Times New Roman" w:cs="Times New Roman" w:eastAsia="Times New Roman" w:hAnsi="Times New Roman"/>
          <w:sz w:val="19"/>
          <w:szCs w:val="19"/>
        </w:rPr>
        <w:t xml:space="preserve">stop training</w:t>
      </w:r>
    </w:p>
    <w:p>
      <w:pPr>
        <w:keepNext/>
        <w:keepLines/>
        <w:tabs>
          <w:tab w:val="left" w:pos="1320"/>
        </w:tabs>
        <w:spacing w:after="0" w:before="0" w:line="252"/>
        <w:ind w:left="3020" w:hanging="1320"/>
      </w:pPr>
      <w:r>
        <w:rPr>
          <w:rFonts w:ascii="Times New Roman" w:cs="Times New Roman" w:eastAsia="Times New Roman" w:hAnsi="Times New Roman"/>
          <w:sz w:val="19"/>
          <w:szCs w:val="19"/>
        </w:rPr>
        <w:t xml:space="preserve">16:	</w:t>
      </w:r>
      <w:r>
        <w:rPr>
          <w:rFonts w:ascii="Times New Roman" w:cs="Times New Roman" w:eastAsia="Times New Roman" w:hAnsi="Times New Roman"/>
          <w:b/>
          <w:bCs/>
          <w:sz w:val="19"/>
          <w:szCs w:val="19"/>
        </w:rPr>
        <w:t xml:space="preserve">end if</w:t>
      </w:r>
    </w:p>
    <w:p>
      <w:pPr>
        <w:keepNext/>
        <w:keepLines/>
        <w:tabs>
          <w:tab w:val="left" w:pos="1020"/>
        </w:tabs>
        <w:spacing w:after="0" w:before="0" w:line="252"/>
        <w:ind w:left="2720" w:hanging="1020"/>
      </w:pPr>
      <w:r>
        <w:rPr>
          <w:rFonts w:ascii="Times New Roman" w:cs="Times New Roman" w:eastAsia="Times New Roman" w:hAnsi="Times New Roman"/>
          <w:sz w:val="19"/>
          <w:szCs w:val="19"/>
        </w:rPr>
        <w:t xml:space="preserve">17:	</w:t>
      </w:r>
      <w:r>
        <w:rPr>
          <w:rFonts w:ascii="Times New Roman" w:cs="Times New Roman" w:eastAsia="Times New Roman" w:hAnsi="Times New Roman"/>
          <w:b/>
          <w:bCs/>
          <w:sz w:val="19"/>
          <w:szCs w:val="19"/>
        </w:rPr>
        <w:t xml:space="preserve">end for</w:t>
      </w:r>
    </w:p>
    <w:p>
      <w:pPr>
        <w:keepNext/>
        <w:keepLines/>
        <w:tabs>
          <w:tab w:val="left" w:pos="1020"/>
        </w:tabs>
        <w:spacing w:after="0" w:before="0" w:line="252"/>
        <w:ind w:left="2720" w:hanging="1020"/>
      </w:pPr>
      <w:r>
        <w:rPr>
          <w:rFonts w:ascii="Times New Roman" w:cs="Times New Roman" w:eastAsia="Times New Roman" w:hAnsi="Times New Roman"/>
          <w:sz w:val="19"/>
          <w:szCs w:val="19"/>
        </w:rPr>
        <w:t xml:space="preserve">18:	</w:t>
      </w:r>
      <w:r>
        <w:rPr>
          <w:rFonts w:ascii="Times New Roman" w:cs="Times New Roman" w:eastAsia="Times New Roman" w:hAnsi="Times New Roman"/>
          <w:sz w:val="19"/>
          <w:szCs w:val="19"/>
        </w:rPr>
        <w:t xml:space="preserve">Restore the best (θ, ψ); A</w:t>
      </w:r>
      <w:r>
        <w:rPr>
          <w:rFonts w:ascii="Times New Roman" w:cs="Times New Roman" w:eastAsia="Times New Roman" w:hAnsi="Times New Roman"/>
          <w:sz w:val="19"/>
          <w:szCs w:val="19"/>
          <w:vertAlign w:val="subscript"/>
        </w:rPr>
        <w:t xml:space="preserve">zs</w:t>
      </w:r>
      <w:r>
        <w:rPr>
          <w:rFonts w:ascii="Times New Roman" w:cs="Times New Roman" w:eastAsia="Times New Roman" w:hAnsi="Times New Roman"/>
          <w:sz w:val="19"/>
          <w:szCs w:val="19"/>
        </w:rPr>
        <w:t xml:space="preserve">(</w:t>
      </w:r>
      <w:r>
        <w:rPr>
          <w:rFonts w:ascii="Times New Roman" w:cs="Times New Roman" w:eastAsia="Times New Roman" w:hAnsi="Times New Roman"/>
          <w:i/>
          <w:iCs/>
          <w:sz w:val="19"/>
          <w:szCs w:val="19"/>
        </w:rPr>
        <w:t xml:space="preserve">r</w:t>
      </w:r>
      <w:r>
        <w:rPr>
          <w:rFonts w:ascii="Times New Roman" w:cs="Times New Roman" w:eastAsia="Times New Roman" w:hAnsi="Times New Roman"/>
          <w:sz w:val="19"/>
          <w:szCs w:val="19"/>
        </w:rPr>
        <w:t xml:space="preserve">, </w:t>
      </w:r>
      <w:r>
        <w:rPr>
          <w:rFonts w:ascii="Times New Roman" w:cs="Times New Roman" w:eastAsia="Times New Roman" w:hAnsi="Times New Roman"/>
          <w:i/>
          <w:iCs/>
          <w:sz w:val="19"/>
          <w:szCs w:val="19"/>
        </w:rPr>
        <w:t xml:space="preserve">p</w:t>
      </w:r>
      <w:r>
        <w:rPr>
          <w:rFonts w:ascii="Times New Roman" w:cs="Times New Roman" w:eastAsia="Times New Roman" w:hAnsi="Times New Roman"/>
          <w:sz w:val="19"/>
          <w:szCs w:val="19"/>
        </w:rPr>
        <w:t xml:space="preserve">) ← accuracy on D</w:t>
      </w:r>
      <w:r>
        <w:rPr>
          <w:rFonts w:ascii="Times New Roman" w:cs="Times New Roman" w:eastAsia="Times New Roman" w:hAnsi="Times New Roman"/>
          <w:sz w:val="19"/>
          <w:szCs w:val="19"/>
          <w:vertAlign w:val="subscript"/>
        </w:rPr>
        <w:t xml:space="preserve">test</w:t>
      </w:r>
      <w:r>
        <w:rPr>
          <w:rFonts w:ascii="Times New Roman" w:cs="Times New Roman" w:eastAsia="Times New Roman" w:hAnsi="Times New Roman"/>
          <w:i/>
          <w:iCs/>
          <w:color w:val="404040"/>
          <w:sz w:val="19"/>
          <w:szCs w:val="19"/>
        </w:rPr>
        <w:t xml:space="preserve">   ▷ zero-shot</w:t>
      </w:r>
    </w:p>
    <w:p>
      <w:pPr>
        <w:keepNext/>
        <w:keepLines/>
        <w:tabs>
          <w:tab w:val="left" w:pos="1020"/>
        </w:tabs>
        <w:spacing w:after="0" w:before="0" w:line="252"/>
        <w:ind w:left="2720" w:hanging="1020"/>
      </w:pPr>
      <w:r>
        <w:rPr>
          <w:rFonts w:ascii="Times New Roman" w:cs="Times New Roman" w:eastAsia="Times New Roman" w:hAnsi="Times New Roman"/>
          <w:sz w:val="19"/>
          <w:szCs w:val="19"/>
        </w:rPr>
        <w:t xml:space="preserve">19:	</w:t>
      </w:r>
      <w:r>
        <w:rPr>
          <w:rFonts w:ascii="Times New Roman" w:cs="Times New Roman" w:eastAsia="Times New Roman" w:hAnsi="Times New Roman"/>
          <w:sz w:val="19"/>
          <w:szCs w:val="19"/>
        </w:rPr>
        <w:t xml:space="preserve">Draw </w:t>
      </w:r>
      <w:r>
        <w:rPr>
          <w:rFonts w:ascii="Times New Roman" w:cs="Times New Roman" w:eastAsia="Times New Roman" w:hAnsi="Times New Roman"/>
          <w:i/>
          <w:iCs/>
          <w:sz w:val="19"/>
          <w:szCs w:val="19"/>
        </w:rPr>
        <w:t xml:space="preserve">m</w:t>
      </w:r>
      <w:r>
        <w:rPr>
          <w:rFonts w:ascii="Times New Roman" w:cs="Times New Roman" w:eastAsia="Times New Roman" w:hAnsi="Times New Roman"/>
          <w:sz w:val="19"/>
          <w:szCs w:val="19"/>
        </w:rPr>
        <w:t xml:space="preserve"> windows D</w:t>
      </w:r>
      <w:r>
        <w:rPr>
          <w:rFonts w:ascii="Times New Roman" w:cs="Times New Roman" w:eastAsia="Times New Roman" w:hAnsi="Times New Roman"/>
          <w:sz w:val="19"/>
          <w:szCs w:val="19"/>
          <w:vertAlign w:val="subscript"/>
        </w:rPr>
        <w:t xml:space="preserve">cal</w:t>
      </w:r>
      <w:r>
        <w:rPr>
          <w:rFonts w:ascii="Times New Roman" w:cs="Times New Roman" w:eastAsia="Times New Roman" w:hAnsi="Times New Roman"/>
          <w:sz w:val="19"/>
          <w:szCs w:val="19"/>
        </w:rPr>
        <w:t xml:space="preserve"> ⊂ D</w:t>
      </w:r>
      <w:r>
        <w:rPr>
          <w:rFonts w:ascii="Times New Roman" w:cs="Times New Roman" w:eastAsia="Times New Roman" w:hAnsi="Times New Roman"/>
          <w:sz w:val="19"/>
          <w:szCs w:val="19"/>
          <w:vertAlign w:val="subscript"/>
        </w:rPr>
        <w:t xml:space="preserve">test</w:t>
      </w:r>
      <w:r>
        <w:rPr>
          <w:rFonts w:ascii="Times New Roman" w:cs="Times New Roman" w:eastAsia="Times New Roman" w:hAnsi="Times New Roman"/>
          <w:sz w:val="19"/>
          <w:szCs w:val="19"/>
        </w:rPr>
        <w:t xml:space="preserve"> at random; D</w:t>
      </w:r>
      <w:r>
        <w:rPr>
          <w:rFonts w:ascii="Times New Roman" w:cs="Times New Roman" w:eastAsia="Times New Roman" w:hAnsi="Times New Roman"/>
          <w:sz w:val="19"/>
          <w:szCs w:val="19"/>
          <w:vertAlign w:val="subscript"/>
        </w:rPr>
        <w:t xml:space="preserve">eval</w:t>
      </w:r>
      <w:r>
        <w:rPr>
          <w:rFonts w:ascii="Times New Roman" w:cs="Times New Roman" w:eastAsia="Times New Roman" w:hAnsi="Times New Roman"/>
          <w:sz w:val="19"/>
          <w:szCs w:val="19"/>
        </w:rPr>
        <w:t xml:space="preserve"> ← D</w:t>
      </w:r>
      <w:r>
        <w:rPr>
          <w:rFonts w:ascii="Times New Roman" w:cs="Times New Roman" w:eastAsia="Times New Roman" w:hAnsi="Times New Roman"/>
          <w:sz w:val="19"/>
          <w:szCs w:val="19"/>
          <w:vertAlign w:val="subscript"/>
        </w:rPr>
        <w:t xml:space="preserve">test</w:t>
      </w:r>
      <w:r>
        <w:rPr>
          <w:rFonts w:ascii="Times New Roman" w:cs="Times New Roman" w:eastAsia="Times New Roman" w:hAnsi="Times New Roman"/>
          <w:sz w:val="19"/>
          <w:szCs w:val="19"/>
        </w:rPr>
        <w:t xml:space="preserve"> ∖ D</w:t>
      </w:r>
      <w:r>
        <w:rPr>
          <w:rFonts w:ascii="Times New Roman" w:cs="Times New Roman" w:eastAsia="Times New Roman" w:hAnsi="Times New Roman"/>
          <w:sz w:val="19"/>
          <w:szCs w:val="19"/>
          <w:vertAlign w:val="subscript"/>
        </w:rPr>
        <w:t xml:space="preserve">cal</w:t>
      </w:r>
    </w:p>
    <w:p>
      <w:pPr>
        <w:keepNext/>
        <w:keepLines/>
        <w:tabs>
          <w:tab w:val="left" w:pos="1020"/>
        </w:tabs>
        <w:spacing w:after="0" w:before="0" w:line="252"/>
        <w:ind w:left="2720" w:hanging="1020"/>
      </w:pPr>
      <w:r>
        <w:rPr>
          <w:rFonts w:ascii="Times New Roman" w:cs="Times New Roman" w:eastAsia="Times New Roman" w:hAnsi="Times New Roman"/>
          <w:sz w:val="19"/>
          <w:szCs w:val="19"/>
        </w:rPr>
        <w:t xml:space="preserve">20:	</w:t>
      </w:r>
      <w:r>
        <w:rPr>
          <w:rFonts w:ascii="Times New Roman" w:cs="Times New Roman" w:eastAsia="Times New Roman" w:hAnsi="Times New Roman"/>
          <w:sz w:val="19"/>
          <w:szCs w:val="19"/>
        </w:rPr>
        <w:t xml:space="preserve">Fine-tune θ, ψ on D</w:t>
      </w:r>
      <w:r>
        <w:rPr>
          <w:rFonts w:ascii="Times New Roman" w:cs="Times New Roman" w:eastAsia="Times New Roman" w:hAnsi="Times New Roman"/>
          <w:sz w:val="19"/>
          <w:szCs w:val="19"/>
          <w:vertAlign w:val="subscript"/>
        </w:rPr>
        <w:t xml:space="preserve">cal</w:t>
      </w:r>
      <w:r>
        <w:rPr>
          <w:rFonts w:ascii="Times New Roman" w:cs="Times New Roman" w:eastAsia="Times New Roman" w:hAnsi="Times New Roman"/>
          <w:sz w:val="19"/>
          <w:szCs w:val="19"/>
        </w:rPr>
        <w:t xml:space="preserve"> for 10 epochs (Adam, learning rate 10</w:t>
      </w:r>
      <w:r>
        <w:rPr>
          <w:rFonts w:ascii="Times New Roman" w:cs="Times New Roman" w:eastAsia="Times New Roman" w:hAnsi="Times New Roman"/>
          <w:sz w:val="19"/>
          <w:szCs w:val="19"/>
          <w:vertAlign w:val="superscript"/>
        </w:rPr>
        <w:t xml:space="preserve">−3</w:t>
      </w:r>
      <w:r>
        <w:rPr>
          <w:rFonts w:ascii="Times New Roman" w:cs="Times New Roman" w:eastAsia="Times New Roman" w:hAnsi="Times New Roman"/>
          <w:sz w:val="19"/>
          <w:szCs w:val="19"/>
        </w:rPr>
        <w:t xml:space="preserve">)</w:t>
      </w:r>
    </w:p>
    <w:p>
      <w:pPr>
        <w:keepNext/>
        <w:keepLines/>
        <w:tabs>
          <w:tab w:val="left" w:pos="1020"/>
        </w:tabs>
        <w:spacing w:after="0" w:before="0" w:line="252"/>
        <w:ind w:left="2720" w:hanging="1020"/>
      </w:pPr>
      <w:r>
        <w:rPr>
          <w:rFonts w:ascii="Times New Roman" w:cs="Times New Roman" w:eastAsia="Times New Roman" w:hAnsi="Times New Roman"/>
          <w:sz w:val="19"/>
          <w:szCs w:val="19"/>
        </w:rPr>
        <w:t xml:space="preserve">21:	</w:t>
      </w:r>
      <w:r>
        <w:rPr>
          <w:rFonts w:ascii="Times New Roman" w:cs="Times New Roman" w:eastAsia="Times New Roman" w:hAnsi="Times New Roman"/>
          <w:sz w:val="19"/>
          <w:szCs w:val="19"/>
        </w:rPr>
        <w:t xml:space="preserve">A</w:t>
      </w:r>
      <w:r>
        <w:rPr>
          <w:rFonts w:ascii="Times New Roman" w:cs="Times New Roman" w:eastAsia="Times New Roman" w:hAnsi="Times New Roman"/>
          <w:sz w:val="19"/>
          <w:szCs w:val="19"/>
          <w:vertAlign w:val="subscript"/>
        </w:rPr>
        <w:t xml:space="preserve">cal</w:t>
      </w:r>
      <w:r>
        <w:rPr>
          <w:rFonts w:ascii="Times New Roman" w:cs="Times New Roman" w:eastAsia="Times New Roman" w:hAnsi="Times New Roman"/>
          <w:sz w:val="19"/>
          <w:szCs w:val="19"/>
        </w:rPr>
        <w:t xml:space="preserve">(</w:t>
      </w:r>
      <w:r>
        <w:rPr>
          <w:rFonts w:ascii="Times New Roman" w:cs="Times New Roman" w:eastAsia="Times New Roman" w:hAnsi="Times New Roman"/>
          <w:i/>
          <w:iCs/>
          <w:sz w:val="19"/>
          <w:szCs w:val="19"/>
        </w:rPr>
        <w:t xml:space="preserve">r</w:t>
      </w:r>
      <w:r>
        <w:rPr>
          <w:rFonts w:ascii="Times New Roman" w:cs="Times New Roman" w:eastAsia="Times New Roman" w:hAnsi="Times New Roman"/>
          <w:sz w:val="19"/>
          <w:szCs w:val="19"/>
        </w:rPr>
        <w:t xml:space="preserve">, </w:t>
      </w:r>
      <w:r>
        <w:rPr>
          <w:rFonts w:ascii="Times New Roman" w:cs="Times New Roman" w:eastAsia="Times New Roman" w:hAnsi="Times New Roman"/>
          <w:i/>
          <w:iCs/>
          <w:sz w:val="19"/>
          <w:szCs w:val="19"/>
        </w:rPr>
        <w:t xml:space="preserve">p</w:t>
      </w:r>
      <w:r>
        <w:rPr>
          <w:rFonts w:ascii="Times New Roman" w:cs="Times New Roman" w:eastAsia="Times New Roman" w:hAnsi="Times New Roman"/>
          <w:sz w:val="19"/>
          <w:szCs w:val="19"/>
        </w:rPr>
        <w:t xml:space="preserve">) ← accuracy on D</w:t>
      </w:r>
      <w:r>
        <w:rPr>
          <w:rFonts w:ascii="Times New Roman" w:cs="Times New Roman" w:eastAsia="Times New Roman" w:hAnsi="Times New Roman"/>
          <w:sz w:val="19"/>
          <w:szCs w:val="19"/>
          <w:vertAlign w:val="subscript"/>
        </w:rPr>
        <w:t xml:space="preserve">eval</w:t>
      </w:r>
      <w:r>
        <w:rPr>
          <w:rFonts w:ascii="Times New Roman" w:cs="Times New Roman" w:eastAsia="Times New Roman" w:hAnsi="Times New Roman"/>
          <w:i/>
          <w:iCs/>
          <w:color w:val="404040"/>
          <w:sz w:val="19"/>
          <w:szCs w:val="19"/>
        </w:rPr>
        <w:t xml:space="preserve">   ▷ calibrated</w:t>
      </w:r>
    </w:p>
    <w:p>
      <w:pPr>
        <w:keepNext/>
        <w:keepLines/>
        <w:tabs>
          <w:tab w:val="left" w:pos="720"/>
        </w:tabs>
        <w:spacing w:after="0" w:before="0" w:line="252"/>
        <w:ind w:left="2420" w:hanging="720"/>
      </w:pPr>
      <w:r>
        <w:rPr>
          <w:rFonts w:ascii="Times New Roman" w:cs="Times New Roman" w:eastAsia="Times New Roman" w:hAnsi="Times New Roman"/>
          <w:sz w:val="19"/>
          <w:szCs w:val="19"/>
        </w:rPr>
        <w:t xml:space="preserve">22:	</w:t>
      </w:r>
      <w:r>
        <w:rPr>
          <w:rFonts w:ascii="Times New Roman" w:cs="Times New Roman" w:eastAsia="Times New Roman" w:hAnsi="Times New Roman"/>
          <w:b/>
          <w:bCs/>
          <w:sz w:val="19"/>
          <w:szCs w:val="19"/>
        </w:rPr>
        <w:t xml:space="preserve">end for</w:t>
      </w:r>
    </w:p>
    <w:p>
      <w:pPr>
        <w:keepNext/>
        <w:keepLines/>
        <w:tabs>
          <w:tab w:val="left" w:pos="420"/>
        </w:tabs>
        <w:spacing w:after="0" w:before="0" w:line="252"/>
        <w:ind w:left="2120" w:hanging="420"/>
      </w:pPr>
      <w:r>
        <w:rPr>
          <w:rFonts w:ascii="Times New Roman" w:cs="Times New Roman" w:eastAsia="Times New Roman" w:hAnsi="Times New Roman"/>
          <w:sz w:val="19"/>
          <w:szCs w:val="19"/>
        </w:rPr>
        <w:t xml:space="preserve">23:	</w:t>
      </w:r>
      <w:r>
        <w:rPr>
          <w:rFonts w:ascii="Times New Roman" w:cs="Times New Roman" w:eastAsia="Times New Roman" w:hAnsi="Times New Roman"/>
          <w:b/>
          <w:bCs/>
          <w:sz w:val="19"/>
          <w:szCs w:val="19"/>
        </w:rPr>
        <w:t xml:space="preserve">end for</w:t>
      </w:r>
    </w:p>
    <w:p>
      <w:pPr>
        <w:keepNext/>
        <w:keepLines/>
        <w:pBdr>
          <w:bottom w:val="single" w:color="000000" w:sz="6" w:space="2"/>
        </w:pBdr>
        <w:tabs>
          <w:tab w:val="left" w:pos="420"/>
        </w:tabs>
        <w:spacing w:after="0" w:before="0" w:line="252"/>
        <w:ind w:left="2120" w:hanging="420"/>
      </w:pPr>
      <w:r>
        <w:rPr>
          <w:rFonts w:ascii="Times New Roman" w:cs="Times New Roman" w:eastAsia="Times New Roman" w:hAnsi="Times New Roman"/>
          <w:sz w:val="19"/>
          <w:szCs w:val="19"/>
        </w:rPr>
        <w:t xml:space="preserve">24:	</w:t>
      </w:r>
      <w:r>
        <w:rPr>
          <w:rFonts w:ascii="Times New Roman" w:cs="Times New Roman" w:eastAsia="Times New Roman" w:hAnsi="Times New Roman"/>
          <w:b/>
          <w:bCs/>
          <w:sz w:val="19"/>
          <w:szCs w:val="19"/>
        </w:rPr>
        <w:t xml:space="preserve">return </w:t>
      </w:r>
      <w:r>
        <w:rPr>
          <w:rFonts w:ascii="Times New Roman" w:cs="Times New Roman" w:eastAsia="Times New Roman" w:hAnsi="Times New Roman"/>
          <w:sz w:val="19"/>
          <w:szCs w:val="19"/>
        </w:rPr>
        <w:t xml:space="preserve">A</w:t>
      </w:r>
      <w:r>
        <w:rPr>
          <w:rFonts w:ascii="Times New Roman" w:cs="Times New Roman" w:eastAsia="Times New Roman" w:hAnsi="Times New Roman"/>
          <w:sz w:val="19"/>
          <w:szCs w:val="19"/>
          <w:vertAlign w:val="subscript"/>
        </w:rPr>
        <w:t xml:space="preserve">zs</w:t>
      </w:r>
      <w:r>
        <w:rPr>
          <w:rFonts w:ascii="Times New Roman" w:cs="Times New Roman" w:eastAsia="Times New Roman" w:hAnsi="Times New Roman"/>
          <w:sz w:val="19"/>
          <w:szCs w:val="19"/>
        </w:rPr>
        <w:t xml:space="preserve"> and A</w:t>
      </w:r>
      <w:r>
        <w:rPr>
          <w:rFonts w:ascii="Times New Roman" w:cs="Times New Roman" w:eastAsia="Times New Roman" w:hAnsi="Times New Roman"/>
          <w:sz w:val="19"/>
          <w:szCs w:val="19"/>
          <w:vertAlign w:val="subscript"/>
        </w:rPr>
        <w:t xml:space="preserve">cal</w:t>
      </w:r>
      <w:r>
        <w:rPr>
          <w:rFonts w:ascii="Times New Roman" w:cs="Times New Roman" w:eastAsia="Times New Roman" w:hAnsi="Times New Roman"/>
          <w:sz w:val="19"/>
          <w:szCs w:val="19"/>
        </w:rPr>
        <w:t xml:space="preserve"> for all seeds and participants</w:t>
      </w:r>
    </w:p>
    <w:p>
      <w:pPr>
        <w:spacing w:after="200"/>
      </w:pPr>
    </w:p>
    <w:p>
      <w:pPr>
        <w:pStyle w:val="Heading2"/>
        <w:keepNext/>
        <w:spacing w:after="40" w:before="220"/>
        <w:ind w:left="1700"/>
      </w:pPr>
      <w:r>
        <w:rPr>
          <w:rFonts w:ascii="Arial" w:cs="Arial" w:eastAsia="Arial" w:hAnsi="Arial"/>
          <w:b/>
          <w:bCs/>
          <w:color w:val="000000"/>
          <w:sz w:val="21"/>
          <w:szCs w:val="21"/>
        </w:rPr>
        <w:t xml:space="preserve">3.10 Implementation details</w:t>
      </w:r>
    </w:p>
    <w:p>
      <w:pPr>
        <w:spacing w:after="0" w:line="252"/>
        <w:ind w:left="1700" w:firstLine="0"/>
        <w:jc w:val="both"/>
      </w:pPr>
      <w:r>
        <w:rPr>
          <w:rFonts w:ascii="Times New Roman" w:cs="Times New Roman" w:eastAsia="Times New Roman" w:hAnsi="Times New Roman"/>
          <w:sz w:val="20"/>
          <w:szCs w:val="20"/>
        </w:rPr>
        <w:t xml:space="preserve">Stage 1 uses AdamW (learning rate 10</w:t>
      </w:r>
      <w:r>
        <w:rPr>
          <w:rFonts w:ascii="Times New Roman" w:cs="Times New Roman" w:eastAsia="Times New Roman" w:hAnsi="Times New Roman"/>
          <w:sz w:val="20"/>
          <w:szCs w:val="20"/>
          <w:vertAlign w:val="superscript"/>
        </w:rPr>
        <w:t xml:space="preserve">−3</w:t>
      </w:r>
      <w:r>
        <w:rPr>
          <w:rFonts w:ascii="Times New Roman" w:cs="Times New Roman" w:eastAsia="Times New Roman" w:hAnsi="Times New Roman"/>
          <w:sz w:val="20"/>
          <w:szCs w:val="20"/>
        </w:rPr>
        <w:t xml:space="preserve">, weight decay 10</w:t>
      </w:r>
      <w:r>
        <w:rPr>
          <w:rFonts w:ascii="Times New Roman" w:cs="Times New Roman" w:eastAsia="Times New Roman" w:hAnsi="Times New Roman"/>
          <w:sz w:val="20"/>
          <w:szCs w:val="20"/>
          <w:vertAlign w:val="superscript"/>
        </w:rPr>
        <w:t xml:space="preserve">−4</w:t>
      </w:r>
      <w:r>
        <w:rPr>
          <w:rFonts w:ascii="Times New Roman" w:cs="Times New Roman" w:eastAsia="Times New Roman" w:hAnsi="Times New Roman"/>
          <w:sz w:val="20"/>
          <w:szCs w:val="20"/>
        </w:rPr>
        <w:t xml:space="preserve">, cosine annealing, 50 epochs, batch size 128). Stage 2 uses AdamW (learning rate 3 × 10</w:t>
      </w:r>
      <w:r>
        <w:rPr>
          <w:rFonts w:ascii="Times New Roman" w:cs="Times New Roman" w:eastAsia="Times New Roman" w:hAnsi="Times New Roman"/>
          <w:sz w:val="20"/>
          <w:szCs w:val="20"/>
          <w:vertAlign w:val="superscript"/>
        </w:rPr>
        <w:t xml:space="preserve">−4</w:t>
      </w:r>
      <w:r>
        <w:rPr>
          <w:rFonts w:ascii="Times New Roman" w:cs="Times New Roman" w:eastAsia="Times New Roman" w:hAnsi="Times New Roman"/>
          <w:sz w:val="20"/>
          <w:szCs w:val="20"/>
        </w:rPr>
        <w:t xml:space="preserve">, weight decay 10</w:t>
      </w:r>
      <w:r>
        <w:rPr>
          <w:rFonts w:ascii="Times New Roman" w:cs="Times New Roman" w:eastAsia="Times New Roman" w:hAnsi="Times New Roman"/>
          <w:sz w:val="20"/>
          <w:szCs w:val="20"/>
          <w:vertAlign w:val="superscript"/>
        </w:rPr>
        <w:t xml:space="preserve">−4</w:t>
      </w:r>
      <w:r>
        <w:rPr>
          <w:rFonts w:ascii="Times New Roman" w:cs="Times New Roman" w:eastAsia="Times New Roman" w:hAnsi="Times New Roman"/>
          <w:sz w:val="20"/>
          <w:szCs w:val="20"/>
        </w:rPr>
        <w:t xml:space="preserve">, cosine annealing, up to 50 epochs, early stopping with patience 15 on validation macro F1, class-balanced sampling). Supervised baselines were trained for up to 100 epochs with the same early-stopping rule. Mixed-precision training was used throughout.</w:t>
      </w:r>
    </w:p>
    <w:p>
      <w:pPr>
        <w:spacing w:after="0" w:line="252"/>
        <w:ind w:left="1700" w:firstLine="240"/>
        <w:jc w:val="both"/>
      </w:pPr>
      <w:r>
        <w:rPr>
          <w:rFonts w:ascii="Times New Roman" w:cs="Times New Roman" w:eastAsia="Times New Roman" w:hAnsi="Times New Roman"/>
          <w:sz w:val="20"/>
          <w:szCs w:val="20"/>
        </w:rPr>
        <w:t xml:space="preserve">All experiments were implemented in Python 3 with PyTorch </w:t>
      </w:r>
      <w:r>
        <w:rPr>
          <w:rFonts w:ascii="Times New Roman" w:cs="Times New Roman" w:eastAsia="Times New Roman" w:hAnsi="Times New Roman"/>
          <w:sz w:val="20"/>
          <w:szCs w:val="20"/>
          <w:highlight w:val="yellow"/>
          <w:highlightCs w:val="yellow"/>
        </w:rPr>
        <w:t xml:space="preserve">[version]</w:t>
      </w:r>
      <w:r>
        <w:rPr>
          <w:rFonts w:ascii="Times New Roman" w:cs="Times New Roman" w:eastAsia="Times New Roman" w:hAnsi="Times New Roman"/>
          <w:sz w:val="20"/>
          <w:szCs w:val="20"/>
        </w:rPr>
        <w:t xml:space="preserve"> (deep models), scikit-learn </w:t>
      </w:r>
      <w:r>
        <w:rPr>
          <w:rFonts w:ascii="Times New Roman" w:cs="Times New Roman" w:eastAsia="Times New Roman" w:hAnsi="Times New Roman"/>
          <w:sz w:val="20"/>
          <w:szCs w:val="20"/>
          <w:highlight w:val="yellow"/>
          <w:highlightCs w:val="yellow"/>
        </w:rPr>
        <w:t xml:space="preserve">[version]</w:t>
      </w:r>
      <w:r>
        <w:rPr>
          <w:rFonts w:ascii="Times New Roman" w:cs="Times New Roman" w:eastAsia="Times New Roman" w:hAnsi="Times New Roman"/>
          <w:sz w:val="20"/>
          <w:szCs w:val="20"/>
        </w:rPr>
        <w:t xml:space="preserve"> and XGBoost </w:t>
      </w:r>
      <w:r>
        <w:rPr>
          <w:rFonts w:ascii="Times New Roman" w:cs="Times New Roman" w:eastAsia="Times New Roman" w:hAnsi="Times New Roman"/>
          <w:sz w:val="20"/>
          <w:szCs w:val="20"/>
          <w:highlight w:val="yellow"/>
          <w:highlightCs w:val="yellow"/>
        </w:rPr>
        <w:t xml:space="preserve">[version]</w:t>
      </w:r>
      <w:r>
        <w:rPr>
          <w:rFonts w:ascii="Times New Roman" w:cs="Times New Roman" w:eastAsia="Times New Roman" w:hAnsi="Times New Roman"/>
          <w:sz w:val="20"/>
          <w:szCs w:val="20"/>
        </w:rPr>
        <w:t xml:space="preserve"> (classical models), and SciPy and statsmodels (statistics), and were run on an NVIDIA GeForce RTX 3050 Laptop GPU </w:t>
      </w:r>
      <w:r>
        <w:rPr>
          <w:rFonts w:ascii="Times New Roman" w:cs="Times New Roman" w:eastAsia="Times New Roman" w:hAnsi="Times New Roman"/>
          <w:sz w:val="20"/>
          <w:szCs w:val="20"/>
          <w:highlight w:val="yellow"/>
          <w:highlightCs w:val="yellow"/>
        </w:rPr>
        <w:t xml:space="preserve">[confirm hardware]</w:t>
      </w:r>
      <w:r>
        <w:rPr>
          <w:rFonts w:ascii="Times New Roman" w:cs="Times New Roman" w:eastAsia="Times New Roman" w:hAnsi="Times New Roman"/>
          <w:sz w:val="20"/>
          <w:szCs w:val="20"/>
        </w:rPr>
        <w:t xml:space="preserve">.</w:t>
      </w:r>
    </w:p>
    <w:p>
      <w:pPr>
        <w:pStyle w:val="Heading2"/>
        <w:keepNext/>
        <w:spacing w:after="40" w:before="220"/>
        <w:ind w:left="1700"/>
      </w:pPr>
      <w:r>
        <w:rPr>
          <w:rFonts w:ascii="Arial" w:cs="Arial" w:eastAsia="Arial" w:hAnsi="Arial"/>
          <w:b/>
          <w:bCs/>
          <w:color w:val="000000"/>
          <w:sz w:val="21"/>
          <w:szCs w:val="21"/>
        </w:rPr>
        <w:t xml:space="preserve">3.11 Outcomes</w:t>
      </w:r>
    </w:p>
    <w:p>
      <w:pPr>
        <w:spacing w:after="0" w:line="252"/>
        <w:ind w:left="1700" w:firstLine="0"/>
        <w:jc w:val="both"/>
      </w:pPr>
      <w:r>
        <w:rPr>
          <w:rFonts w:ascii="Times New Roman" w:cs="Times New Roman" w:eastAsia="Times New Roman" w:hAnsi="Times New Roman"/>
          <w:sz w:val="20"/>
          <w:szCs w:val="20"/>
        </w:rPr>
        <w:t xml:space="preserve">The primary outcome was the accuracy of four-class emotion recognition on the windows of the held-out participant, averaged over three seeds to give one value per participant, under both the zero-shot and the calibrated protocol. Key secondary outcomes were macro F1, the calibration gain (calibrated minus zero-shot accuracy) and electrode-reduction retention. Exploratory outcomes were balanced accuracy, precision, specificity, weighted F1, Cohen’s κ, the Matthews correlation coefficient, the geometric mean of recalls and the information transfer rate (available for CLISA-EWU and DANN), per-class metrics, representation-geometry indices and electrode attributions.</w:t>
      </w:r>
    </w:p>
    <w:p>
      <w:pPr>
        <w:pStyle w:val="Heading2"/>
        <w:keepNext/>
        <w:spacing w:after="40" w:before="220"/>
        <w:ind w:left="1700"/>
      </w:pPr>
      <w:r>
        <w:rPr>
          <w:rFonts w:ascii="Arial" w:cs="Arial" w:eastAsia="Arial" w:hAnsi="Arial"/>
          <w:b/>
          <w:bCs/>
          <w:color w:val="000000"/>
          <w:sz w:val="21"/>
          <w:szCs w:val="21"/>
        </w:rPr>
        <w:t xml:space="preserve">3.12 Evaluation metrics</w:t>
      </w:r>
    </w:p>
    <w:p>
      <w:pPr>
        <w:spacing w:after="0" w:line="252"/>
        <w:ind w:left="1700" w:firstLine="0"/>
        <w:jc w:val="both"/>
      </w:pPr>
      <w:r>
        <w:rPr>
          <w:rFonts w:ascii="Times New Roman" w:cs="Times New Roman" w:eastAsia="Times New Roman" w:hAnsi="Times New Roman"/>
          <w:sz w:val="20"/>
          <w:szCs w:val="20"/>
        </w:rPr>
        <w:t xml:space="preserve">Model performance is assessed with complementary metrics computed on the test windows of the held-out participant. For class </w:t>
      </w:r>
      <w:r>
        <w:rPr>
          <w:rFonts w:ascii="Times New Roman" w:cs="Times New Roman" w:eastAsia="Times New Roman" w:hAnsi="Times New Roman"/>
          <w:i/>
          <w:iCs/>
          <w:sz w:val="20"/>
          <w:szCs w:val="20"/>
        </w:rPr>
        <w:t xml:space="preserve">i</w:t>
      </w:r>
      <w:r>
        <w:rPr>
          <w:rFonts w:ascii="Times New Roman" w:cs="Times New Roman" w:eastAsia="Times New Roman" w:hAnsi="Times New Roman"/>
          <w:sz w:val="20"/>
          <w:szCs w:val="20"/>
        </w:rPr>
        <w:t xml:space="preserve"> of </w:t>
      </w:r>
      <w:r>
        <w:rPr>
          <w:rFonts w:ascii="Times New Roman" w:cs="Times New Roman" w:eastAsia="Times New Roman" w:hAnsi="Times New Roman"/>
          <w:i/>
          <w:iCs/>
          <w:sz w:val="20"/>
          <w:szCs w:val="20"/>
        </w:rPr>
        <w:t xml:space="preserve">C</w:t>
      </w:r>
      <w:r>
        <w:rPr>
          <w:rFonts w:ascii="Times New Roman" w:cs="Times New Roman" w:eastAsia="Times New Roman" w:hAnsi="Times New Roman"/>
          <w:sz w:val="20"/>
          <w:szCs w:val="20"/>
        </w:rPr>
        <w:t xml:space="preserve"> = 4 classes, TP</w:t>
      </w:r>
      <w:r>
        <w:rPr>
          <w:rFonts w:ascii="Times New Roman" w:cs="Times New Roman" w:eastAsia="Times New Roman" w:hAnsi="Times New Roman"/>
          <w:sz w:val="20"/>
          <w:szCs w:val="20"/>
          <w:vertAlign w:val="subscript"/>
        </w:rPr>
        <w:t xml:space="preserve">i</w:t>
      </w:r>
      <w:r>
        <w:rPr>
          <w:rFonts w:ascii="Times New Roman" w:cs="Times New Roman" w:eastAsia="Times New Roman" w:hAnsi="Times New Roman"/>
          <w:sz w:val="20"/>
          <w:szCs w:val="20"/>
        </w:rPr>
        <w:t xml:space="preserve">, FP</w:t>
      </w:r>
      <w:r>
        <w:rPr>
          <w:rFonts w:ascii="Times New Roman" w:cs="Times New Roman" w:eastAsia="Times New Roman" w:hAnsi="Times New Roman"/>
          <w:sz w:val="20"/>
          <w:szCs w:val="20"/>
          <w:vertAlign w:val="subscript"/>
        </w:rPr>
        <w:t xml:space="preserve">i</w:t>
      </w:r>
      <w:r>
        <w:rPr>
          <w:rFonts w:ascii="Times New Roman" w:cs="Times New Roman" w:eastAsia="Times New Roman" w:hAnsi="Times New Roman"/>
          <w:sz w:val="20"/>
          <w:szCs w:val="20"/>
        </w:rPr>
        <w:t xml:space="preserve">, FN</w:t>
      </w:r>
      <w:r>
        <w:rPr>
          <w:rFonts w:ascii="Times New Roman" w:cs="Times New Roman" w:eastAsia="Times New Roman" w:hAnsi="Times New Roman"/>
          <w:sz w:val="20"/>
          <w:szCs w:val="20"/>
          <w:vertAlign w:val="subscript"/>
        </w:rPr>
        <w:t xml:space="preserve">i</w:t>
      </w:r>
      <w:r>
        <w:rPr>
          <w:rFonts w:ascii="Times New Roman" w:cs="Times New Roman" w:eastAsia="Times New Roman" w:hAnsi="Times New Roman"/>
          <w:sz w:val="20"/>
          <w:szCs w:val="20"/>
        </w:rPr>
        <w:t xml:space="preserve"> and TN</w:t>
      </w:r>
      <w:r>
        <w:rPr>
          <w:rFonts w:ascii="Times New Roman" w:cs="Times New Roman" w:eastAsia="Times New Roman" w:hAnsi="Times New Roman"/>
          <w:sz w:val="20"/>
          <w:szCs w:val="20"/>
          <w:vertAlign w:val="subscript"/>
        </w:rPr>
        <w:t xml:space="preserve">i</w:t>
      </w:r>
      <w:r>
        <w:rPr>
          <w:rFonts w:ascii="Times New Roman" w:cs="Times New Roman" w:eastAsia="Times New Roman" w:hAnsi="Times New Roman"/>
          <w:sz w:val="20"/>
          <w:szCs w:val="20"/>
        </w:rPr>
        <w:t xml:space="preserve"> denote true positives, false positives, false negatives and true negatives,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vertAlign w:val="subscript"/>
        </w:rPr>
        <w:t xml:space="preserve">i</w:t>
      </w:r>
      <w:r>
        <w:rPr>
          <w:rFonts w:ascii="Times New Roman" w:cs="Times New Roman" w:eastAsia="Times New Roman" w:hAnsi="Times New Roman"/>
          <w:sz w:val="20"/>
          <w:szCs w:val="20"/>
        </w:rPr>
        <w:t xml:space="preserve"> the number of windows of class </w:t>
      </w:r>
      <w:r>
        <w:rPr>
          <w:rFonts w:ascii="Times New Roman" w:cs="Times New Roman" w:eastAsia="Times New Roman" w:hAnsi="Times New Roman"/>
          <w:i/>
          <w:iCs/>
          <w:sz w:val="20"/>
          <w:szCs w:val="20"/>
        </w:rPr>
        <w:t xml:space="preserve">i</w:t>
      </w:r>
      <w:r>
        <w:rPr>
          <w:rFonts w:ascii="Times New Roman" w:cs="Times New Roman" w:eastAsia="Times New Roman" w:hAnsi="Times New Roman"/>
          <w:sz w:val="20"/>
          <w:szCs w:val="20"/>
        </w:rPr>
        <w:t xml:space="preserve"> and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the total number of test windows. Accuracy, the metric logged for every run of all models, and per-class specificity are</w:t>
      </w:r>
    </w:p>
    <w:p>
      <w:pPr>
        <w:keepLines/>
        <w:tabs>
          <w:tab w:val="center" w:pos="4023"/>
          <w:tab w:val="right" w:pos="8046"/>
        </w:tabs>
        <w:spacing w:after="120" w:before="120"/>
        <w:ind w:left="1700"/>
      </w:pPr>
      <w:r>
        <w:rPr>
          <w:rFonts w:ascii="Times New Roman" w:cs="Times New Roman" w:eastAsia="Times New Roman" w:hAnsi="Times New Roman"/>
        </w:rPr>
        <w:t xml:space="preserve">	</w:t>
      </w:r>
      <w:r>
        <w:drawing>
          <wp:inline distT="0" distB="0" distL="0" distR="0">
            <wp:extent cx="325755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257550" cy="419100"/>
                    </a:xfrm>
                    <a:prstGeom prst="rect">
                      <a:avLst/>
                    </a:prstGeom>
                  </pic:spPr>
                </pic:pic>
              </a:graphicData>
            </a:graphic>
          </wp:inline>
        </w:drawing>
      </w:r>
      <w:r>
        <w:rPr>
          <w:rFonts w:ascii="Times New Roman" w:cs="Times New Roman" w:eastAsia="Times New Roman" w:hAnsi="Times New Roman"/>
          <w:sz w:val="20"/>
          <w:szCs w:val="20"/>
        </w:rPr>
        <w:t xml:space="preserve">	(7)</w:t>
      </w:r>
    </w:p>
    <w:p>
      <w:pPr>
        <w:spacing w:after="0" w:line="252"/>
        <w:ind w:left="1700" w:firstLine="240"/>
        <w:jc w:val="both"/>
      </w:pPr>
      <w:r>
        <w:rPr>
          <w:rFonts w:ascii="Times New Roman" w:cs="Times New Roman" w:eastAsia="Times New Roman" w:hAnsi="Times New Roman"/>
          <w:sz w:val="20"/>
          <w:szCs w:val="20"/>
        </w:rPr>
        <w:t xml:space="preserve">Per-class recall (sensitivity) and precision are</w:t>
      </w:r>
    </w:p>
    <w:p>
      <w:pPr>
        <w:keepLines/>
        <w:tabs>
          <w:tab w:val="center" w:pos="4023"/>
          <w:tab w:val="right" w:pos="8046"/>
        </w:tabs>
        <w:spacing w:after="120" w:before="120"/>
        <w:ind w:left="1700"/>
      </w:pPr>
      <w:r>
        <w:rPr>
          <w:rFonts w:ascii="Times New Roman" w:cs="Times New Roman" w:eastAsia="Times New Roman" w:hAnsi="Times New Roman"/>
        </w:rPr>
        <w:t xml:space="preserve">	</w:t>
      </w:r>
      <w:r>
        <w:drawing>
          <wp:inline distT="0" distB="0" distL="0" distR="0">
            <wp:extent cx="3086100" cy="40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086100" cy="409575"/>
                    </a:xfrm>
                    <a:prstGeom prst="rect">
                      <a:avLst/>
                    </a:prstGeom>
                  </pic:spPr>
                </pic:pic>
              </a:graphicData>
            </a:graphic>
          </wp:inline>
        </w:drawing>
      </w:r>
      <w:r>
        <w:rPr>
          <w:rFonts w:ascii="Times New Roman" w:cs="Times New Roman" w:eastAsia="Times New Roman" w:hAnsi="Times New Roman"/>
          <w:sz w:val="20"/>
          <w:szCs w:val="20"/>
        </w:rPr>
        <w:t xml:space="preserve">	(8)</w:t>
      </w:r>
    </w:p>
    <w:p>
      <w:pPr>
        <w:spacing w:after="0" w:line="252"/>
        <w:ind w:left="1700" w:firstLine="240"/>
        <w:jc w:val="both"/>
      </w:pPr>
      <w:r>
        <w:rPr>
          <w:rFonts w:ascii="Times New Roman" w:cs="Times New Roman" w:eastAsia="Times New Roman" w:hAnsi="Times New Roman"/>
          <w:sz w:val="20"/>
          <w:szCs w:val="20"/>
        </w:rPr>
        <w:t xml:space="preserve">Balanced accuracy (BA) is the mean per-class recall</w:t>
      </w:r>
      <w:r>
        <w:rPr>
          <w:rFonts w:ascii="Times New Roman" w:cs="Times New Roman" w:eastAsia="Times New Roman" w:hAnsi="Times New Roman"/>
          <w:color w:val="1F4E9A"/>
          <w:sz w:val="20"/>
          <w:szCs w:val="20"/>
          <w:vertAlign w:val="superscript"/>
        </w:rPr>
        <w:t xml:space="preserve">58</w:t>
      </w:r>
      <w:r>
        <w:rPr>
          <w:rFonts w:ascii="Times New Roman" w:cs="Times New Roman" w:eastAsia="Times New Roman" w:hAnsi="Times New Roman"/>
          <w:sz w:val="20"/>
          <w:szCs w:val="20"/>
        </w:rPr>
        <w:t xml:space="preserve"> and removes the influence of class frequency:</w:t>
      </w:r>
    </w:p>
    <w:p>
      <w:pPr>
        <w:keepLines/>
        <w:tabs>
          <w:tab w:val="center" w:pos="4023"/>
          <w:tab w:val="right" w:pos="8046"/>
        </w:tabs>
        <w:spacing w:after="120" w:before="120"/>
        <w:ind w:left="1700"/>
      </w:pPr>
      <w:r>
        <w:rPr>
          <w:rFonts w:ascii="Times New Roman" w:cs="Times New Roman" w:eastAsia="Times New Roman" w:hAnsi="Times New Roman"/>
        </w:rPr>
        <w:t xml:space="preserve">	</w:t>
      </w:r>
      <w:r>
        <w:drawing>
          <wp:inline distT="0" distB="0" distL="0" distR="0">
            <wp:extent cx="119062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190625" cy="419100"/>
                    </a:xfrm>
                    <a:prstGeom prst="rect">
                      <a:avLst/>
                    </a:prstGeom>
                  </pic:spPr>
                </pic:pic>
              </a:graphicData>
            </a:graphic>
          </wp:inline>
        </w:drawing>
      </w:r>
      <w:r>
        <w:rPr>
          <w:rFonts w:ascii="Times New Roman" w:cs="Times New Roman" w:eastAsia="Times New Roman" w:hAnsi="Times New Roman"/>
          <w:sz w:val="20"/>
          <w:szCs w:val="20"/>
        </w:rPr>
        <w:t xml:space="preserve">	(9)</w:t>
      </w:r>
    </w:p>
    <w:p>
      <w:pPr>
        <w:spacing w:after="0" w:line="252"/>
        <w:ind w:left="1700" w:firstLine="240"/>
        <w:jc w:val="both"/>
      </w:pPr>
      <w:r>
        <w:rPr>
          <w:rFonts w:ascii="Times New Roman" w:cs="Times New Roman" w:eastAsia="Times New Roman" w:hAnsi="Times New Roman"/>
          <w:sz w:val="20"/>
          <w:szCs w:val="20"/>
        </w:rPr>
        <w:t xml:space="preserve">The per-class F1 score is the harmonic mean of precision and recall; macro F1 averages it with equal class weights and weighted F1 with weights proportional to class support:</w:t>
      </w:r>
    </w:p>
    <w:p>
      <w:pPr>
        <w:keepLines/>
        <w:tabs>
          <w:tab w:val="center" w:pos="4023"/>
          <w:tab w:val="right" w:pos="8046"/>
        </w:tabs>
        <w:spacing w:after="120" w:before="120"/>
        <w:ind w:left="1700"/>
      </w:pPr>
      <w:r>
        <w:rPr>
          <w:rFonts w:ascii="Times New Roman" w:cs="Times New Roman" w:eastAsia="Times New Roman" w:hAnsi="Times New Roman"/>
        </w:rPr>
        <w:t xml:space="preserve">	</w:t>
      </w:r>
      <w:r>
        <w:drawing>
          <wp:inline distT="0" distB="0" distL="0" distR="0">
            <wp:extent cx="185737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857375" cy="419100"/>
                    </a:xfrm>
                    <a:prstGeom prst="rect">
                      <a:avLst/>
                    </a:prstGeom>
                  </pic:spPr>
                </pic:pic>
              </a:graphicData>
            </a:graphic>
          </wp:inline>
        </w:drawing>
      </w:r>
      <w:r>
        <w:rPr>
          <w:rFonts w:ascii="Times New Roman" w:cs="Times New Roman" w:eastAsia="Times New Roman" w:hAnsi="Times New Roman"/>
          <w:sz w:val="20"/>
          <w:szCs w:val="20"/>
        </w:rPr>
        <w:t xml:space="preserve">	(10)</w:t>
      </w:r>
    </w:p>
    <w:p>
      <w:pPr>
        <w:keepLines/>
        <w:tabs>
          <w:tab w:val="center" w:pos="4023"/>
          <w:tab w:val="right" w:pos="8046"/>
        </w:tabs>
        <w:spacing w:after="120" w:before="120"/>
        <w:ind w:left="1700"/>
      </w:pPr>
      <w:r>
        <w:rPr>
          <w:rFonts w:ascii="Times New Roman" w:cs="Times New Roman" w:eastAsia="Times New Roman" w:hAnsi="Times New Roman"/>
        </w:rPr>
        <w:t xml:space="preserve">	</w:t>
      </w:r>
      <w:r>
        <w:drawing>
          <wp:inline distT="0" distB="0" distL="0" distR="0">
            <wp:extent cx="120967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209675" cy="419100"/>
                    </a:xfrm>
                    <a:prstGeom prst="rect">
                      <a:avLst/>
                    </a:prstGeom>
                  </pic:spPr>
                </pic:pic>
              </a:graphicData>
            </a:graphic>
          </wp:inline>
        </w:drawing>
      </w:r>
      <w:r>
        <w:rPr>
          <w:rFonts w:ascii="Times New Roman" w:cs="Times New Roman" w:eastAsia="Times New Roman" w:hAnsi="Times New Roman"/>
          <w:sz w:val="20"/>
          <w:szCs w:val="20"/>
        </w:rPr>
        <w:t xml:space="preserve">	(11)</w:t>
      </w:r>
    </w:p>
    <w:p>
      <w:pPr>
        <w:keepLines/>
        <w:tabs>
          <w:tab w:val="center" w:pos="4023"/>
          <w:tab w:val="right" w:pos="8046"/>
        </w:tabs>
        <w:spacing w:after="120" w:before="120"/>
        <w:ind w:left="1700"/>
      </w:pPr>
      <w:r>
        <w:rPr>
          <w:rFonts w:ascii="Times New Roman" w:cs="Times New Roman" w:eastAsia="Times New Roman" w:hAnsi="Times New Roman"/>
        </w:rPr>
        <w:t xml:space="preserve">	</w:t>
      </w:r>
      <w:r>
        <w:drawing>
          <wp:inline distT="0" distB="0" distL="0" distR="0">
            <wp:extent cx="13716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371600" cy="419100"/>
                    </a:xfrm>
                    <a:prstGeom prst="rect">
                      <a:avLst/>
                    </a:prstGeom>
                  </pic:spPr>
                </pic:pic>
              </a:graphicData>
            </a:graphic>
          </wp:inline>
        </w:drawing>
      </w:r>
      <w:r>
        <w:rPr>
          <w:rFonts w:ascii="Times New Roman" w:cs="Times New Roman" w:eastAsia="Times New Roman" w:hAnsi="Times New Roman"/>
          <w:sz w:val="20"/>
          <w:szCs w:val="20"/>
        </w:rPr>
        <w:t xml:space="preserve">	(12)</w:t>
      </w:r>
    </w:p>
    <w:p>
      <w:pPr>
        <w:spacing w:after="0" w:line="252"/>
        <w:ind w:left="1700" w:firstLine="240"/>
        <w:jc w:val="both"/>
      </w:pPr>
      <w:r>
        <w:rPr>
          <w:rFonts w:ascii="Times New Roman" w:cs="Times New Roman" w:eastAsia="Times New Roman" w:hAnsi="Times New Roman"/>
          <w:sz w:val="20"/>
          <w:szCs w:val="20"/>
        </w:rPr>
        <w:t xml:space="preserve">Cohen’s kappa</w:t>
      </w:r>
      <w:r>
        <w:rPr>
          <w:rFonts w:ascii="Times New Roman" w:cs="Times New Roman" w:eastAsia="Times New Roman" w:hAnsi="Times New Roman"/>
          <w:color w:val="1F4E9A"/>
          <w:sz w:val="20"/>
          <w:szCs w:val="20"/>
          <w:vertAlign w:val="superscript"/>
        </w:rPr>
        <w:t xml:space="preserve">59</w:t>
      </w:r>
      <w:r>
        <w:rPr>
          <w:rFonts w:ascii="Times New Roman" w:cs="Times New Roman" w:eastAsia="Times New Roman" w:hAnsi="Times New Roman"/>
          <w:sz w:val="20"/>
          <w:szCs w:val="20"/>
        </w:rPr>
        <w:t xml:space="preserve"> corrects accuracy for the agreement expected by chance, where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vertAlign w:val="subscript"/>
        </w:rPr>
        <w:t xml:space="preserve">o</w:t>
      </w:r>
      <w:r>
        <w:rPr>
          <w:rFonts w:ascii="Times New Roman" w:cs="Times New Roman" w:eastAsia="Times New Roman" w:hAnsi="Times New Roman"/>
          <w:sz w:val="20"/>
          <w:szCs w:val="20"/>
        </w:rPr>
        <w:t xml:space="preserve"> is the observed accuracy and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vertAlign w:val="subscript"/>
        </w:rPr>
        <w:t xml:space="preserve">i·</w:t>
      </w:r>
      <w:r>
        <w:rPr>
          <w:rFonts w:ascii="Times New Roman" w:cs="Times New Roman" w:eastAsia="Times New Roman" w:hAnsi="Times New Roman"/>
          <w:sz w:val="20"/>
          <w:szCs w:val="20"/>
        </w:rPr>
        <w:t xml:space="preserve"> and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vertAlign w:val="subscript"/>
        </w:rPr>
        <w:t xml:space="preserve">·i</w:t>
      </w:r>
      <w:r>
        <w:rPr>
          <w:rFonts w:ascii="Times New Roman" w:cs="Times New Roman" w:eastAsia="Times New Roman" w:hAnsi="Times New Roman"/>
          <w:sz w:val="20"/>
          <w:szCs w:val="20"/>
        </w:rPr>
        <w:t xml:space="preserve"> are the row and column totals of the confusion matrix:</w:t>
      </w:r>
    </w:p>
    <w:p>
      <w:pPr>
        <w:keepLines/>
        <w:tabs>
          <w:tab w:val="center" w:pos="4023"/>
          <w:tab w:val="right" w:pos="8046"/>
        </w:tabs>
        <w:spacing w:after="120" w:before="120"/>
        <w:ind w:left="1700"/>
      </w:pPr>
      <w:r>
        <w:rPr>
          <w:rFonts w:ascii="Times New Roman" w:cs="Times New Roman" w:eastAsia="Times New Roman" w:hAnsi="Times New Roman"/>
        </w:rPr>
        <w:t xml:space="preserve">	</w:t>
      </w:r>
      <w:r>
        <w:drawing>
          <wp:inline distT="0" distB="0" distL="0" distR="0">
            <wp:extent cx="2190750"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190750" cy="428625"/>
                    </a:xfrm>
                    <a:prstGeom prst="rect">
                      <a:avLst/>
                    </a:prstGeom>
                  </pic:spPr>
                </pic:pic>
              </a:graphicData>
            </a:graphic>
          </wp:inline>
        </w:drawing>
      </w:r>
      <w:r>
        <w:rPr>
          <w:rFonts w:ascii="Times New Roman" w:cs="Times New Roman" w:eastAsia="Times New Roman" w:hAnsi="Times New Roman"/>
          <w:sz w:val="20"/>
          <w:szCs w:val="20"/>
        </w:rPr>
        <w:t xml:space="preserve">	(13)</w:t>
      </w:r>
    </w:p>
    <w:p>
      <w:pPr>
        <w:spacing w:after="0" w:line="252"/>
        <w:ind w:left="1700" w:firstLine="240"/>
        <w:jc w:val="both"/>
      </w:pPr>
      <w:r>
        <w:rPr>
          <w:rFonts w:ascii="Times New Roman" w:cs="Times New Roman" w:eastAsia="Times New Roman" w:hAnsi="Times New Roman"/>
          <w:sz w:val="20"/>
          <w:szCs w:val="20"/>
        </w:rPr>
        <w:t xml:space="preserve">The multi-class Matthews correlation coefficient</w:t>
      </w:r>
      <w:r>
        <w:rPr>
          <w:rFonts w:ascii="Times New Roman" w:cs="Times New Roman" w:eastAsia="Times New Roman" w:hAnsi="Times New Roman"/>
          <w:color w:val="1F4E9A"/>
          <w:sz w:val="20"/>
          <w:szCs w:val="20"/>
          <w:vertAlign w:val="superscript"/>
        </w:rPr>
        <w:t xml:space="preserve">60,61</w:t>
      </w:r>
      <w:r>
        <w:rPr>
          <w:rFonts w:ascii="Times New Roman" w:cs="Times New Roman" w:eastAsia="Times New Roman" w:hAnsi="Times New Roman"/>
          <w:sz w:val="20"/>
          <w:szCs w:val="20"/>
        </w:rPr>
        <w:t xml:space="preserve"> uses every cell of the confusion matrix, with </w:t>
      </w:r>
      <w:r>
        <w:rPr>
          <w:rFonts w:ascii="Times New Roman" w:cs="Times New Roman" w:eastAsia="Times New Roman" w:hAnsi="Times New Roman"/>
          <w:i/>
          <w:iCs/>
          <w:sz w:val="20"/>
          <w:szCs w:val="20"/>
        </w:rPr>
        <w:t xml:space="preserve">c</w:t>
      </w:r>
      <w:r>
        <w:rPr>
          <w:rFonts w:ascii="Times New Roman" w:cs="Times New Roman" w:eastAsia="Times New Roman" w:hAnsi="Times New Roman"/>
          <w:sz w:val="20"/>
          <w:szCs w:val="20"/>
        </w:rPr>
        <w:t xml:space="preserve"> correctly classified windows and </w:t>
      </w:r>
      <w:r>
        <w:rPr>
          <w:rFonts w:ascii="Times New Roman" w:cs="Times New Roman" w:eastAsia="Times New Roman" w:hAnsi="Times New Roman"/>
          <w:i/>
          <w:iCs/>
          <w:sz w:val="20"/>
          <w:szCs w:val="20"/>
        </w:rPr>
        <w:t xml:space="preserve">t</w:t>
      </w:r>
      <w:r>
        <w:rPr>
          <w:rFonts w:ascii="Times New Roman" w:cs="Times New Roman" w:eastAsia="Times New Roman" w:hAnsi="Times New Roman"/>
          <w:sz w:val="20"/>
          <w:szCs w:val="20"/>
          <w:vertAlign w:val="subscript"/>
        </w:rPr>
        <w:t xml:space="preserve">i</w:t>
      </w:r>
      <w:r>
        <w:rPr>
          <w:rFonts w:ascii="Times New Roman" w:cs="Times New Roman" w:eastAsia="Times New Roman" w:hAnsi="Times New Roman"/>
          <w:sz w:val="20"/>
          <w:szCs w:val="20"/>
        </w:rPr>
        <w:t xml:space="preserve"> and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vertAlign w:val="subscript"/>
        </w:rPr>
        <w:t xml:space="preserve">i</w:t>
      </w:r>
      <w:r>
        <w:rPr>
          <w:rFonts w:ascii="Times New Roman" w:cs="Times New Roman" w:eastAsia="Times New Roman" w:hAnsi="Times New Roman"/>
          <w:sz w:val="20"/>
          <w:szCs w:val="20"/>
        </w:rPr>
        <w:t xml:space="preserve"> the true and predicted totals of class </w:t>
      </w:r>
      <w:r>
        <w:rPr>
          <w:rFonts w:ascii="Times New Roman" w:cs="Times New Roman" w:eastAsia="Times New Roman" w:hAnsi="Times New Roman"/>
          <w:i/>
          <w:iCs/>
          <w:sz w:val="20"/>
          <w:szCs w:val="20"/>
        </w:rPr>
        <w:t xml:space="preserve">i</w:t>
      </w:r>
      <w:r>
        <w:rPr>
          <w:rFonts w:ascii="Times New Roman" w:cs="Times New Roman" w:eastAsia="Times New Roman" w:hAnsi="Times New Roman"/>
          <w:sz w:val="20"/>
          <w:szCs w:val="20"/>
        </w:rPr>
        <w:t xml:space="preserve">; it ranges from −1 to 1, with 0 at chance:</w:t>
      </w:r>
    </w:p>
    <w:p>
      <w:pPr>
        <w:keepLines/>
        <w:tabs>
          <w:tab w:val="center" w:pos="4023"/>
          <w:tab w:val="right" w:pos="8046"/>
        </w:tabs>
        <w:spacing w:after="120" w:before="120"/>
        <w:ind w:left="1700"/>
      </w:pPr>
      <w:r>
        <w:rPr>
          <w:rFonts w:ascii="Times New Roman" w:cs="Times New Roman" w:eastAsia="Times New Roman" w:hAnsi="Times New Roman"/>
        </w:rPr>
        <w:t xml:space="preserve">	</w:t>
      </w:r>
      <w:r>
        <w:drawing>
          <wp:inline distT="0" distB="0" distL="0" distR="0">
            <wp:extent cx="2343150" cy="71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343150" cy="714375"/>
                    </a:xfrm>
                    <a:prstGeom prst="rect">
                      <a:avLst/>
                    </a:prstGeom>
                  </pic:spPr>
                </pic:pic>
              </a:graphicData>
            </a:graphic>
          </wp:inline>
        </w:drawing>
      </w:r>
      <w:r>
        <w:rPr>
          <w:rFonts w:ascii="Times New Roman" w:cs="Times New Roman" w:eastAsia="Times New Roman" w:hAnsi="Times New Roman"/>
          <w:sz w:val="20"/>
          <w:szCs w:val="20"/>
        </w:rPr>
        <w:t xml:space="preserve">	(14)</w:t>
      </w:r>
    </w:p>
    <w:p>
      <w:pPr>
        <w:spacing w:after="0" w:line="252"/>
        <w:ind w:left="1700" w:firstLine="240"/>
        <w:jc w:val="both"/>
      </w:pPr>
      <w:r>
        <w:rPr>
          <w:rFonts w:ascii="Times New Roman" w:cs="Times New Roman" w:eastAsia="Times New Roman" w:hAnsi="Times New Roman"/>
          <w:sz w:val="20"/>
          <w:szCs w:val="20"/>
        </w:rPr>
        <w:t xml:space="preserve">The geometric mean of the recalls</w:t>
      </w:r>
      <w:r>
        <w:rPr>
          <w:rFonts w:ascii="Times New Roman" w:cs="Times New Roman" w:eastAsia="Times New Roman" w:hAnsi="Times New Roman"/>
          <w:color w:val="1F4E9A"/>
          <w:sz w:val="20"/>
          <w:szCs w:val="20"/>
          <w:vertAlign w:val="superscript"/>
        </w:rPr>
        <w:t xml:space="preserve">62</w:t>
      </w:r>
      <w:r>
        <w:rPr>
          <w:rFonts w:ascii="Times New Roman" w:cs="Times New Roman" w:eastAsia="Times New Roman" w:hAnsi="Times New Roman"/>
          <w:sz w:val="20"/>
          <w:szCs w:val="20"/>
        </w:rPr>
        <w:t xml:space="preserve"> penalises a model that neglects any class:</w:t>
      </w:r>
    </w:p>
    <w:p>
      <w:pPr>
        <w:keepLines/>
        <w:tabs>
          <w:tab w:val="center" w:pos="4023"/>
          <w:tab w:val="right" w:pos="8046"/>
        </w:tabs>
        <w:spacing w:after="120" w:before="120"/>
        <w:ind w:left="1700"/>
      </w:pPr>
      <w:r>
        <w:rPr>
          <w:rFonts w:ascii="Times New Roman" w:cs="Times New Roman" w:eastAsia="Times New Roman" w:hAnsi="Times New Roman"/>
        </w:rPr>
        <w:t xml:space="preserve">	</w:t>
      </w:r>
      <w:r>
        <w:drawing>
          <wp:inline distT="0" distB="0" distL="0" distR="0">
            <wp:extent cx="1362075" cy="447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362075" cy="447675"/>
                    </a:xfrm>
                    <a:prstGeom prst="rect">
                      <a:avLst/>
                    </a:prstGeom>
                  </pic:spPr>
                </pic:pic>
              </a:graphicData>
            </a:graphic>
          </wp:inline>
        </w:drawing>
      </w:r>
      <w:r>
        <w:rPr>
          <w:rFonts w:ascii="Times New Roman" w:cs="Times New Roman" w:eastAsia="Times New Roman" w:hAnsi="Times New Roman"/>
          <w:sz w:val="20"/>
          <w:szCs w:val="20"/>
        </w:rPr>
        <w:t xml:space="preserve">	(15)</w:t>
      </w:r>
    </w:p>
    <w:p>
      <w:pPr>
        <w:spacing w:after="0" w:line="252"/>
        <w:ind w:left="1700" w:firstLine="240"/>
        <w:jc w:val="both"/>
      </w:pPr>
      <w:r>
        <w:rPr>
          <w:rFonts w:ascii="Times New Roman" w:cs="Times New Roman" w:eastAsia="Times New Roman" w:hAnsi="Times New Roman"/>
          <w:sz w:val="20"/>
          <w:szCs w:val="20"/>
        </w:rPr>
        <w:t xml:space="preserve">To express performance in brain–computer-interface terms, the information transfer rate</w:t>
      </w:r>
      <w:r>
        <w:rPr>
          <w:rFonts w:ascii="Times New Roman" w:cs="Times New Roman" w:eastAsia="Times New Roman" w:hAnsi="Times New Roman"/>
          <w:color w:val="1F4E9A"/>
          <w:sz w:val="20"/>
          <w:szCs w:val="20"/>
          <w:vertAlign w:val="superscript"/>
        </w:rPr>
        <w:t xml:space="preserve">63</w:t>
      </w:r>
      <w:r>
        <w:rPr>
          <w:rFonts w:ascii="Times New Roman" w:cs="Times New Roman" w:eastAsia="Times New Roman" w:hAnsi="Times New Roman"/>
          <w:sz w:val="20"/>
          <w:szCs w:val="20"/>
        </w:rPr>
        <w:t xml:space="preserve"> is computed from accuracy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with window length </w:t>
      </w:r>
      <w:r>
        <w:rPr>
          <w:rFonts w:ascii="Times New Roman" w:cs="Times New Roman" w:eastAsia="Times New Roman" w:hAnsi="Times New Roman"/>
          <w:i/>
          <w:iCs/>
          <w:sz w:val="20"/>
          <w:szCs w:val="20"/>
        </w:rPr>
        <w:t xml:space="preserve">T</w:t>
      </w:r>
      <w:r>
        <w:rPr>
          <w:rFonts w:ascii="Times New Roman" w:cs="Times New Roman" w:eastAsia="Times New Roman" w:hAnsi="Times New Roman"/>
          <w:sz w:val="20"/>
          <w:szCs w:val="20"/>
        </w:rPr>
        <w:t xml:space="preserve"> = 4 s, giving bits per window (</w:t>
      </w:r>
      <w:r>
        <w:rPr>
          <w:rFonts w:ascii="Times New Roman" w:cs="Times New Roman" w:eastAsia="Times New Roman" w:hAnsi="Times New Roman"/>
          <w:i/>
          <w:iCs/>
          <w:sz w:val="20"/>
          <w:szCs w:val="20"/>
        </w:rPr>
        <w:t xml:space="preserve">B</w:t>
      </w:r>
      <w:r>
        <w:rPr>
          <w:rFonts w:ascii="Times New Roman" w:cs="Times New Roman" w:eastAsia="Times New Roman" w:hAnsi="Times New Roman"/>
          <w:sz w:val="20"/>
          <w:szCs w:val="20"/>
        </w:rPr>
        <w:t xml:space="preserve">) and bits per minute:</w:t>
      </w:r>
    </w:p>
    <w:p>
      <w:pPr>
        <w:keepLines/>
        <w:tabs>
          <w:tab w:val="center" w:pos="4023"/>
          <w:tab w:val="right" w:pos="8046"/>
        </w:tabs>
        <w:spacing w:after="120" w:before="120"/>
        <w:ind w:left="1700"/>
      </w:pPr>
      <w:r>
        <w:rPr>
          <w:rFonts w:ascii="Times New Roman" w:cs="Times New Roman" w:eastAsia="Times New Roman" w:hAnsi="Times New Roman"/>
        </w:rPr>
        <w:t xml:space="preserve">	</w:t>
      </w:r>
      <w:r>
        <w:drawing>
          <wp:inline distT="0" distB="0" distL="0" distR="0">
            <wp:extent cx="3790950" cy="39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790950" cy="390525"/>
                    </a:xfrm>
                    <a:prstGeom prst="rect">
                      <a:avLst/>
                    </a:prstGeom>
                  </pic:spPr>
                </pic:pic>
              </a:graphicData>
            </a:graphic>
          </wp:inline>
        </w:drawing>
      </w:r>
      <w:r>
        <w:rPr>
          <w:rFonts w:ascii="Times New Roman" w:cs="Times New Roman" w:eastAsia="Times New Roman" w:hAnsi="Times New Roman"/>
          <w:sz w:val="20"/>
          <w:szCs w:val="20"/>
        </w:rPr>
        <w:t xml:space="preserve">	(16)</w:t>
      </w:r>
    </w:p>
    <w:p>
      <w:pPr>
        <w:spacing w:after="0" w:line="252"/>
        <w:ind w:left="1700" w:firstLine="240"/>
        <w:jc w:val="both"/>
      </w:pPr>
      <w:r>
        <w:rPr>
          <w:rFonts w:ascii="Times New Roman" w:cs="Times New Roman" w:eastAsia="Times New Roman" w:hAnsi="Times New Roman"/>
          <w:sz w:val="20"/>
          <w:szCs w:val="20"/>
        </w:rPr>
        <w:t xml:space="preserve">Electrode-reduction retention is the ratio of six-electrode to 62-electrode accuracy for the same model:</w:t>
      </w:r>
    </w:p>
    <w:p>
      <w:pPr>
        <w:keepLines/>
        <w:tabs>
          <w:tab w:val="center" w:pos="4023"/>
          <w:tab w:val="right" w:pos="8046"/>
        </w:tabs>
        <w:spacing w:after="120" w:before="120"/>
        <w:ind w:left="1700"/>
      </w:pPr>
      <w:r>
        <w:rPr>
          <w:rFonts w:ascii="Times New Roman" w:cs="Times New Roman" w:eastAsia="Times New Roman" w:hAnsi="Times New Roman"/>
        </w:rPr>
        <w:t xml:space="preserve">	</w:t>
      </w:r>
      <w:r>
        <w:drawing>
          <wp:inline distT="0" distB="0" distL="0" distR="0">
            <wp:extent cx="120967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209675" cy="419100"/>
                    </a:xfrm>
                    <a:prstGeom prst="rect">
                      <a:avLst/>
                    </a:prstGeom>
                  </pic:spPr>
                </pic:pic>
              </a:graphicData>
            </a:graphic>
          </wp:inline>
        </w:drawing>
      </w:r>
      <w:r>
        <w:rPr>
          <w:rFonts w:ascii="Times New Roman" w:cs="Times New Roman" w:eastAsia="Times New Roman" w:hAnsi="Times New Roman"/>
          <w:sz w:val="20"/>
          <w:szCs w:val="20"/>
        </w:rPr>
        <w:t xml:space="preserve">	(17)</w:t>
      </w:r>
    </w:p>
    <w:p>
      <w:pPr>
        <w:spacing w:after="0" w:line="252"/>
        <w:ind w:left="1700" w:firstLine="240"/>
        <w:jc w:val="both"/>
      </w:pPr>
      <w:r>
        <w:rPr>
          <w:rFonts w:ascii="Times New Roman" w:cs="Times New Roman" w:eastAsia="Times New Roman" w:hAnsi="Times New Roman"/>
          <w:sz w:val="20"/>
          <w:szCs w:val="20"/>
        </w:rPr>
        <w:t xml:space="preserve">The run logs stored accuracy and macro F1 for every deep model, and full confusion matrices for CLISA-EWU and DANN. The complete metric set is therefore reported for these two models, and model-wide comparisons use accuracy and macro F1. Because the four classes are nearly balanced (21–27% of windows), accuracy and balanced accuracy differed by 0.0–0.4 percentage points on average and by at most 2.4 points in any single run. Confusion matrices are row-normalised so that each row shows the recall of one true class.</w:t>
      </w:r>
    </w:p>
    <w:p>
      <w:pPr>
        <w:pStyle w:val="Heading2"/>
        <w:keepNext/>
        <w:spacing w:after="40" w:before="220"/>
        <w:ind w:left="1700"/>
      </w:pPr>
      <w:r>
        <w:rPr>
          <w:rFonts w:ascii="Arial" w:cs="Arial" w:eastAsia="Arial" w:hAnsi="Arial"/>
          <w:b/>
          <w:bCs/>
          <w:color w:val="000000"/>
          <w:sz w:val="21"/>
          <w:szCs w:val="21"/>
        </w:rPr>
        <w:t xml:space="preserve">3.13 Statistical analysis</w:t>
      </w:r>
    </w:p>
    <w:p>
      <w:pPr>
        <w:spacing w:after="0" w:line="252"/>
        <w:ind w:left="1700" w:firstLine="0"/>
        <w:jc w:val="both"/>
      </w:pPr>
      <w:r>
        <w:rPr>
          <w:rFonts w:ascii="Times New Roman" w:cs="Times New Roman" w:eastAsia="Times New Roman" w:hAnsi="Times New Roman"/>
          <w:sz w:val="20"/>
          <w:szCs w:val="20"/>
        </w:rPr>
        <w:t xml:space="preserve">Runs from the same participant are not independent, so the three seeds were averaged for each participant, giving 15 paired observations per model, montage and protocol. Participant-level means are reported with 95% confidence intervals from 10,000 bootstrap resamples of participants.</w:t>
      </w:r>
    </w:p>
    <w:p>
      <w:pPr>
        <w:spacing w:after="0" w:line="252"/>
        <w:ind w:left="1700" w:firstLine="240"/>
        <w:jc w:val="both"/>
      </w:pPr>
      <w:r>
        <w:rPr>
          <w:rFonts w:ascii="Times New Roman" w:cs="Times New Roman" w:eastAsia="Times New Roman" w:hAnsi="Times New Roman"/>
          <w:sz w:val="20"/>
          <w:szCs w:val="20"/>
        </w:rPr>
        <w:t xml:space="preserve">Differences among all models within a montage and protocol were tested with the Friedman test</w:t>
      </w:r>
      <w:r>
        <w:rPr>
          <w:rFonts w:ascii="Times New Roman" w:cs="Times New Roman" w:eastAsia="Times New Roman" w:hAnsi="Times New Roman"/>
          <w:color w:val="1F4E9A"/>
          <w:sz w:val="20"/>
          <w:szCs w:val="20"/>
          <w:vertAlign w:val="superscript"/>
        </w:rPr>
        <w:t xml:space="preserve">64</w:t>
      </w:r>
      <w:r>
        <w:rPr>
          <w:rFonts w:ascii="Times New Roman" w:cs="Times New Roman" w:eastAsia="Times New Roman" w:hAnsi="Times New Roman"/>
          <w:sz w:val="20"/>
          <w:szCs w:val="20"/>
        </w:rPr>
        <w:t xml:space="preserve"> on participant-level accuracy, with Kendall’s </w:t>
      </w:r>
      <w:r>
        <w:rPr>
          <w:rFonts w:ascii="Times New Roman" w:cs="Times New Roman" w:eastAsia="Times New Roman" w:hAnsi="Times New Roman"/>
          <w:i/>
          <w:iCs/>
          <w:sz w:val="20"/>
          <w:szCs w:val="20"/>
        </w:rPr>
        <w:t xml:space="preserve">W</w:t>
      </w:r>
      <w:r>
        <w:rPr>
          <w:rFonts w:ascii="Times New Roman" w:cs="Times New Roman" w:eastAsia="Times New Roman" w:hAnsi="Times New Roman"/>
          <w:sz w:val="20"/>
          <w:szCs w:val="20"/>
        </w:rPr>
        <w:t xml:space="preserve"> as the effect size. Average ranks R̄</w:t>
      </w:r>
      <w:r>
        <w:rPr>
          <w:rFonts w:ascii="Times New Roman" w:cs="Times New Roman" w:eastAsia="Times New Roman" w:hAnsi="Times New Roman"/>
          <w:sz w:val="20"/>
          <w:szCs w:val="20"/>
          <w:vertAlign w:val="subscript"/>
        </w:rPr>
        <w:t xml:space="preserve">j</w:t>
      </w:r>
      <w:r>
        <w:rPr>
          <w:rFonts w:ascii="Times New Roman" w:cs="Times New Roman" w:eastAsia="Times New Roman" w:hAnsi="Times New Roman"/>
          <w:sz w:val="20"/>
          <w:szCs w:val="20"/>
        </w:rPr>
        <w:t xml:space="preserve"> of </w:t>
      </w:r>
      <w:r>
        <w:rPr>
          <w:rFonts w:ascii="Times New Roman" w:cs="Times New Roman" w:eastAsia="Times New Roman" w:hAnsi="Times New Roman"/>
          <w:i/>
          <w:iCs/>
          <w:sz w:val="20"/>
          <w:szCs w:val="20"/>
        </w:rPr>
        <w:t xml:space="preserve">k</w:t>
      </w:r>
      <w:r>
        <w:rPr>
          <w:rFonts w:ascii="Times New Roman" w:cs="Times New Roman" w:eastAsia="Times New Roman" w:hAnsi="Times New Roman"/>
          <w:sz w:val="20"/>
          <w:szCs w:val="20"/>
        </w:rPr>
        <w:t xml:space="preserve"> models over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 15 participants were compared with the Nemenyi critical difference</w:t>
      </w:r>
      <w:r>
        <w:rPr>
          <w:rFonts w:ascii="Times New Roman" w:cs="Times New Roman" w:eastAsia="Times New Roman" w:hAnsi="Times New Roman"/>
          <w:color w:val="1F4E9A"/>
          <w:sz w:val="20"/>
          <w:szCs w:val="20"/>
          <w:vertAlign w:val="superscript"/>
        </w:rPr>
        <w:t xml:space="preserve">55</w:t>
      </w:r>
      <w:r>
        <w:rPr>
          <w:rFonts w:ascii="Times New Roman" w:cs="Times New Roman" w:eastAsia="Times New Roman" w:hAnsi="Times New Roman"/>
          <w:sz w:val="20"/>
          <w:szCs w:val="20"/>
        </w:rPr>
        <w:t xml:space="preserve">, where </w:t>
      </w:r>
      <w:r>
        <w:rPr>
          <w:rFonts w:ascii="Times New Roman" w:cs="Times New Roman" w:eastAsia="Times New Roman" w:hAnsi="Times New Roman"/>
          <w:i/>
          <w:iCs/>
          <w:sz w:val="20"/>
          <w:szCs w:val="20"/>
        </w:rPr>
        <w:t xml:space="preserve">q</w:t>
      </w:r>
      <w:r>
        <w:rPr>
          <w:rFonts w:ascii="Times New Roman" w:cs="Times New Roman" w:eastAsia="Times New Roman" w:hAnsi="Times New Roman"/>
          <w:sz w:val="20"/>
          <w:szCs w:val="20"/>
          <w:vertAlign w:val="subscript"/>
        </w:rPr>
        <w:t xml:space="preserve">α</w:t>
      </w:r>
      <w:r>
        <w:rPr>
          <w:rFonts w:ascii="Times New Roman" w:cs="Times New Roman" w:eastAsia="Times New Roman" w:hAnsi="Times New Roman"/>
          <w:sz w:val="20"/>
          <w:szCs w:val="20"/>
        </w:rPr>
        <w:t xml:space="preserve"> is the studentised range statistic divided by √2 at α = 0.05:</w:t>
      </w:r>
    </w:p>
    <w:p>
      <w:pPr>
        <w:keepLines/>
        <w:tabs>
          <w:tab w:val="center" w:pos="4023"/>
          <w:tab w:val="right" w:pos="8046"/>
        </w:tabs>
        <w:spacing w:after="120" w:before="120"/>
        <w:ind w:left="1700"/>
      </w:pPr>
      <w:r>
        <w:rPr>
          <w:rFonts w:ascii="Times New Roman" w:cs="Times New Roman" w:eastAsia="Times New Roman" w:hAnsi="Times New Roman"/>
        </w:rPr>
        <w:t xml:space="preserve">	</w:t>
      </w:r>
      <w:r>
        <w:drawing>
          <wp:inline distT="0" distB="0" distL="0" distR="0">
            <wp:extent cx="3333750"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333750" cy="476250"/>
                    </a:xfrm>
                    <a:prstGeom prst="rect">
                      <a:avLst/>
                    </a:prstGeom>
                  </pic:spPr>
                </pic:pic>
              </a:graphicData>
            </a:graphic>
          </wp:inline>
        </w:drawing>
      </w:r>
      <w:r>
        <w:rPr>
          <w:rFonts w:ascii="Times New Roman" w:cs="Times New Roman" w:eastAsia="Times New Roman" w:hAnsi="Times New Roman"/>
          <w:sz w:val="20"/>
          <w:szCs w:val="20"/>
        </w:rPr>
        <w:t xml:space="preserve">	(18)</w:t>
      </w:r>
    </w:p>
    <w:p>
      <w:pPr>
        <w:keepLines/>
        <w:tabs>
          <w:tab w:val="center" w:pos="4023"/>
          <w:tab w:val="right" w:pos="8046"/>
        </w:tabs>
        <w:spacing w:after="120" w:before="120"/>
        <w:ind w:left="1700"/>
      </w:pPr>
      <w:r>
        <w:rPr>
          <w:rFonts w:ascii="Times New Roman" w:cs="Times New Roman" w:eastAsia="Times New Roman" w:hAnsi="Times New Roman"/>
        </w:rPr>
        <w:t xml:space="preserve">	</w:t>
      </w:r>
      <w:r>
        <w:drawing>
          <wp:inline distT="0" distB="0" distL="0" distR="0">
            <wp:extent cx="1304925" cy="447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304925" cy="447675"/>
                    </a:xfrm>
                    <a:prstGeom prst="rect">
                      <a:avLst/>
                    </a:prstGeom>
                  </pic:spPr>
                </pic:pic>
              </a:graphicData>
            </a:graphic>
          </wp:inline>
        </w:drawing>
      </w:r>
      <w:r>
        <w:rPr>
          <w:rFonts w:ascii="Times New Roman" w:cs="Times New Roman" w:eastAsia="Times New Roman" w:hAnsi="Times New Roman"/>
          <w:sz w:val="20"/>
          <w:szCs w:val="20"/>
        </w:rPr>
        <w:t xml:space="preserve">	(19)</w:t>
      </w:r>
    </w:p>
    <w:p>
      <w:pPr>
        <w:spacing w:after="0" w:line="252"/>
        <w:ind w:left="1700" w:firstLine="240"/>
        <w:jc w:val="both"/>
      </w:pPr>
      <w:r>
        <w:rPr>
          <w:rFonts w:ascii="Times New Roman" w:cs="Times New Roman" w:eastAsia="Times New Roman" w:hAnsi="Times New Roman"/>
          <w:sz w:val="20"/>
          <w:szCs w:val="20"/>
        </w:rPr>
        <w:t xml:space="preserve">Pairwise comparisons of CLISA-EWU with seven comparators used two-sided Wilcoxon signed-rank tests</w:t>
      </w:r>
      <w:r>
        <w:rPr>
          <w:rFonts w:ascii="Times New Roman" w:cs="Times New Roman" w:eastAsia="Times New Roman" w:hAnsi="Times New Roman"/>
          <w:color w:val="1F4E9A"/>
          <w:sz w:val="20"/>
          <w:szCs w:val="20"/>
          <w:vertAlign w:val="superscript"/>
        </w:rPr>
        <w:t xml:space="preserve">65</w:t>
      </w:r>
      <w:r>
        <w:rPr>
          <w:rFonts w:ascii="Times New Roman" w:cs="Times New Roman" w:eastAsia="Times New Roman" w:hAnsi="Times New Roman"/>
          <w:sz w:val="20"/>
          <w:szCs w:val="20"/>
        </w:rPr>
        <w:t xml:space="preserve"> with Holm adjustment</w:t>
      </w:r>
      <w:r>
        <w:rPr>
          <w:rFonts w:ascii="Times New Roman" w:cs="Times New Roman" w:eastAsia="Times New Roman" w:hAnsi="Times New Roman"/>
          <w:color w:val="1F4E9A"/>
          <w:sz w:val="20"/>
          <w:szCs w:val="20"/>
          <w:vertAlign w:val="superscript"/>
        </w:rPr>
        <w:t xml:space="preserve">66</w:t>
      </w:r>
      <w:r>
        <w:rPr>
          <w:rFonts w:ascii="Times New Roman" w:cs="Times New Roman" w:eastAsia="Times New Roman" w:hAnsi="Times New Roman"/>
          <w:sz w:val="20"/>
          <w:szCs w:val="20"/>
        </w:rPr>
        <w:t xml:space="preserve"> over the 14 comparisons of each protocol, and paired </w:t>
      </w:r>
      <w:r>
        <w:rPr>
          <w:rFonts w:ascii="Times New Roman" w:cs="Times New Roman" w:eastAsia="Times New Roman" w:hAnsi="Times New Roman"/>
          <w:i/>
          <w:iCs/>
          <w:sz w:val="20"/>
          <w:szCs w:val="20"/>
        </w:rPr>
        <w:t xml:space="preserve">t</w:t>
      </w:r>
      <w:r>
        <w:rPr>
          <w:rFonts w:ascii="Times New Roman" w:cs="Times New Roman" w:eastAsia="Times New Roman" w:hAnsi="Times New Roman"/>
          <w:sz w:val="20"/>
          <w:szCs w:val="20"/>
        </w:rPr>
        <w:t xml:space="preserve">-tests as a parametric check. Effect sizes were Cohen’s </w:t>
      </w:r>
      <w:r>
        <w:rPr>
          <w:rFonts w:ascii="Times New Roman" w:cs="Times New Roman" w:eastAsia="Times New Roman" w:hAnsi="Times New Roman"/>
          <w:i/>
          <w:iCs/>
          <w:sz w:val="20"/>
          <w:szCs w:val="20"/>
        </w:rPr>
        <w:t xml:space="preserve">d</w:t>
      </w:r>
      <w:r>
        <w:rPr>
          <w:rFonts w:ascii="Times New Roman" w:cs="Times New Roman" w:eastAsia="Times New Roman" w:hAnsi="Times New Roman"/>
          <w:sz w:val="20"/>
          <w:szCs w:val="20"/>
          <w:vertAlign w:val="subscript"/>
        </w:rPr>
        <w:t xml:space="preserve">z</w:t>
      </w:r>
      <w:r>
        <w:rPr>
          <w:rFonts w:ascii="Times New Roman" w:cs="Times New Roman" w:eastAsia="Times New Roman" w:hAnsi="Times New Roman"/>
          <w:sz w:val="20"/>
          <w:szCs w:val="20"/>
        </w:rPr>
        <w:t xml:space="preserve"> for the paired differences </w:t>
      </w:r>
      <w:r>
        <w:rPr>
          <w:rFonts w:ascii="Times New Roman" w:cs="Times New Roman" w:eastAsia="Times New Roman" w:hAnsi="Times New Roman"/>
          <w:i/>
          <w:iCs/>
          <w:sz w:val="20"/>
          <w:szCs w:val="20"/>
        </w:rPr>
        <w:t xml:space="preserve">D</w:t>
      </w:r>
      <w:r>
        <w:rPr>
          <w:rFonts w:ascii="Times New Roman" w:cs="Times New Roman" w:eastAsia="Times New Roman" w:hAnsi="Times New Roman"/>
          <w:color w:val="1F4E9A"/>
          <w:sz w:val="20"/>
          <w:szCs w:val="20"/>
          <w:vertAlign w:val="superscript"/>
        </w:rPr>
        <w:t xml:space="preserve">67</w:t>
      </w:r>
      <w:r>
        <w:rPr>
          <w:rFonts w:ascii="Times New Roman" w:cs="Times New Roman" w:eastAsia="Times New Roman" w:hAnsi="Times New Roman"/>
          <w:sz w:val="20"/>
          <w:szCs w:val="20"/>
        </w:rPr>
        <w:t xml:space="preserve"> and the matched-pairs rank-biserial correlation </w:t>
      </w:r>
      <w:r>
        <w:rPr>
          <w:rFonts w:ascii="Times New Roman" w:cs="Times New Roman" w:eastAsia="Times New Roman" w:hAnsi="Times New Roman"/>
          <w:i/>
          <w:iCs/>
          <w:sz w:val="20"/>
          <w:szCs w:val="20"/>
        </w:rPr>
        <w:t xml:space="preserve">r</w:t>
      </w:r>
      <w:r>
        <w:rPr>
          <w:rFonts w:ascii="Times New Roman" w:cs="Times New Roman" w:eastAsia="Times New Roman" w:hAnsi="Times New Roman"/>
          <w:sz w:val="20"/>
          <w:szCs w:val="20"/>
          <w:vertAlign w:val="subscript"/>
        </w:rPr>
        <w:t xml:space="preserve">rb</w:t>
      </w:r>
      <w:r>
        <w:rPr>
          <w:rFonts w:ascii="Times New Roman" w:cs="Times New Roman" w:eastAsia="Times New Roman" w:hAnsi="Times New Roman"/>
          <w:color w:val="1F4E9A"/>
          <w:sz w:val="20"/>
          <w:szCs w:val="20"/>
          <w:vertAlign w:val="superscript"/>
        </w:rPr>
        <w:t xml:space="preserve">68</w:t>
      </w:r>
      <w:r>
        <w:rPr>
          <w:rFonts w:ascii="Times New Roman" w:cs="Times New Roman" w:eastAsia="Times New Roman" w:hAnsi="Times New Roman"/>
          <w:sz w:val="20"/>
          <w:szCs w:val="20"/>
        </w:rPr>
        <w:t xml:space="preserve">, where </w:t>
      </w:r>
      <w:r>
        <w:rPr>
          <w:rFonts w:ascii="Times New Roman" w:cs="Times New Roman" w:eastAsia="Times New Roman" w:hAnsi="Times New Roman"/>
          <w:i/>
          <w:iCs/>
          <w:sz w:val="20"/>
          <w:szCs w:val="20"/>
        </w:rPr>
        <w:t xml:space="preserve">T</w:t>
      </w:r>
      <w:r>
        <w:rPr>
          <w:rFonts w:ascii="Times New Roman" w:cs="Times New Roman" w:eastAsia="Times New Roman" w:hAnsi="Times New Roman"/>
          <w:sz w:val="20"/>
          <w:szCs w:val="20"/>
          <w:vertAlign w:val="superscript"/>
        </w:rPr>
        <w:t xml:space="preserve">+</w:t>
      </w:r>
      <w:r>
        <w:rPr>
          <w:rFonts w:ascii="Times New Roman" w:cs="Times New Roman" w:eastAsia="Times New Roman" w:hAnsi="Times New Roman"/>
          <w:sz w:val="20"/>
          <w:szCs w:val="20"/>
        </w:rPr>
        <w:t xml:space="preserve"> and </w:t>
      </w:r>
      <w:r>
        <w:rPr>
          <w:rFonts w:ascii="Times New Roman" w:cs="Times New Roman" w:eastAsia="Times New Roman" w:hAnsi="Times New Roman"/>
          <w:i/>
          <w:iCs/>
          <w:sz w:val="20"/>
          <w:szCs w:val="20"/>
        </w:rPr>
        <w:t xml:space="preserve">T</w:t>
      </w:r>
      <w:r>
        <w:rPr>
          <w:rFonts w:ascii="Times New Roman" w:cs="Times New Roman" w:eastAsia="Times New Roman" w:hAnsi="Times New Roman"/>
          <w:sz w:val="20"/>
          <w:szCs w:val="20"/>
          <w:vertAlign w:val="superscript"/>
        </w:rPr>
        <w:t xml:space="preserve">−</w:t>
      </w:r>
      <w:r>
        <w:rPr>
          <w:rFonts w:ascii="Times New Roman" w:cs="Times New Roman" w:eastAsia="Times New Roman" w:hAnsi="Times New Roman"/>
          <w:sz w:val="20"/>
          <w:szCs w:val="20"/>
        </w:rPr>
        <w:t xml:space="preserve"> are the sums of positive and negative signed ranks:</w:t>
      </w:r>
    </w:p>
    <w:p>
      <w:pPr>
        <w:keepLines/>
        <w:tabs>
          <w:tab w:val="center" w:pos="4023"/>
          <w:tab w:val="right" w:pos="8046"/>
        </w:tabs>
        <w:spacing w:after="120" w:before="120"/>
        <w:ind w:left="1700"/>
      </w:pPr>
      <w:r>
        <w:rPr>
          <w:rFonts w:ascii="Times New Roman" w:cs="Times New Roman" w:eastAsia="Times New Roman" w:hAnsi="Times New Roman"/>
        </w:rPr>
        <w:t xml:space="preserve">	</w:t>
      </w:r>
      <w:r>
        <w:drawing>
          <wp:inline distT="0" distB="0" distL="0" distR="0">
            <wp:extent cx="1781175"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781175" cy="438150"/>
                    </a:xfrm>
                    <a:prstGeom prst="rect">
                      <a:avLst/>
                    </a:prstGeom>
                  </pic:spPr>
                </pic:pic>
              </a:graphicData>
            </a:graphic>
          </wp:inline>
        </w:drawing>
      </w:r>
      <w:r>
        <w:rPr>
          <w:rFonts w:ascii="Times New Roman" w:cs="Times New Roman" w:eastAsia="Times New Roman" w:hAnsi="Times New Roman"/>
          <w:sz w:val="20"/>
          <w:szCs w:val="20"/>
        </w:rPr>
        <w:t xml:space="preserve">	(20)</w:t>
      </w:r>
    </w:p>
    <w:p>
      <w:pPr>
        <w:spacing w:after="0" w:line="252"/>
        <w:ind w:left="1700" w:firstLine="240"/>
        <w:jc w:val="both"/>
      </w:pPr>
      <w:r>
        <w:rPr>
          <w:rFonts w:ascii="Times New Roman" w:cs="Times New Roman" w:eastAsia="Times New Roman" w:hAnsi="Times New Roman"/>
          <w:sz w:val="20"/>
          <w:szCs w:val="20"/>
        </w:rPr>
        <w:t xml:space="preserve">Variability of CLISA-EWU across participants and seeds was decomposed with a two-way analysis of variance without replication (participant × seed), and reliability across seeds was summarised with the consistency intraclass correlation</w:t>
      </w:r>
      <w:r>
        <w:rPr>
          <w:rFonts w:ascii="Times New Roman" w:cs="Times New Roman" w:eastAsia="Times New Roman" w:hAnsi="Times New Roman"/>
          <w:color w:val="1F4E9A"/>
          <w:sz w:val="20"/>
          <w:szCs w:val="20"/>
          <w:vertAlign w:val="superscript"/>
        </w:rPr>
        <w:t xml:space="preserve">69</w:t>
      </w:r>
      <w:r>
        <w:rPr>
          <w:rFonts w:ascii="Times New Roman" w:cs="Times New Roman" w:eastAsia="Times New Roman" w:hAnsi="Times New Roman"/>
          <w:sz w:val="20"/>
          <w:szCs w:val="20"/>
        </w:rPr>
        <w:t xml:space="preserve">, where MS</w:t>
      </w:r>
      <w:r>
        <w:rPr>
          <w:rFonts w:ascii="Times New Roman" w:cs="Times New Roman" w:eastAsia="Times New Roman" w:hAnsi="Times New Roman"/>
          <w:sz w:val="20"/>
          <w:szCs w:val="20"/>
          <w:vertAlign w:val="subscript"/>
        </w:rPr>
        <w:t xml:space="preserve">P</w:t>
      </w:r>
      <w:r>
        <w:rPr>
          <w:rFonts w:ascii="Times New Roman" w:cs="Times New Roman" w:eastAsia="Times New Roman" w:hAnsi="Times New Roman"/>
          <w:sz w:val="20"/>
          <w:szCs w:val="20"/>
        </w:rPr>
        <w:t xml:space="preserve"> and MS</w:t>
      </w:r>
      <w:r>
        <w:rPr>
          <w:rFonts w:ascii="Times New Roman" w:cs="Times New Roman" w:eastAsia="Times New Roman" w:hAnsi="Times New Roman"/>
          <w:sz w:val="20"/>
          <w:szCs w:val="20"/>
          <w:vertAlign w:val="subscript"/>
        </w:rPr>
        <w:t xml:space="preserve">E</w:t>
      </w:r>
      <w:r>
        <w:rPr>
          <w:rFonts w:ascii="Times New Roman" w:cs="Times New Roman" w:eastAsia="Times New Roman" w:hAnsi="Times New Roman"/>
          <w:sz w:val="20"/>
          <w:szCs w:val="20"/>
        </w:rPr>
        <w:t xml:space="preserve"> are the participant and residual mean squares and </w:t>
      </w:r>
      <w:r>
        <w:rPr>
          <w:rFonts w:ascii="Times New Roman" w:cs="Times New Roman" w:eastAsia="Times New Roman" w:hAnsi="Times New Roman"/>
          <w:i/>
          <w:iCs/>
          <w:sz w:val="20"/>
          <w:szCs w:val="20"/>
        </w:rPr>
        <w:t xml:space="preserve">k</w:t>
      </w:r>
      <w:r>
        <w:rPr>
          <w:rFonts w:ascii="Times New Roman" w:cs="Times New Roman" w:eastAsia="Times New Roman" w:hAnsi="Times New Roman"/>
          <w:sz w:val="20"/>
          <w:szCs w:val="20"/>
        </w:rPr>
        <w:t xml:space="preserve"> = 3 seeds:</w:t>
      </w:r>
    </w:p>
    <w:p>
      <w:pPr>
        <w:keepLines/>
        <w:tabs>
          <w:tab w:val="center" w:pos="4023"/>
          <w:tab w:val="right" w:pos="8046"/>
        </w:tabs>
        <w:spacing w:after="120" w:before="120"/>
        <w:ind w:left="1700"/>
      </w:pPr>
      <w:r>
        <w:rPr>
          <w:rFonts w:ascii="Times New Roman" w:cs="Times New Roman" w:eastAsia="Times New Roman" w:hAnsi="Times New Roman"/>
        </w:rPr>
        <w:t xml:space="preserve">	</w:t>
      </w:r>
      <w:r>
        <w:drawing>
          <wp:inline distT="0" distB="0" distL="0" distR="0">
            <wp:extent cx="199072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990725" cy="419100"/>
                    </a:xfrm>
                    <a:prstGeom prst="rect">
                      <a:avLst/>
                    </a:prstGeom>
                  </pic:spPr>
                </pic:pic>
              </a:graphicData>
            </a:graphic>
          </wp:inline>
        </w:drawing>
      </w:r>
      <w:r>
        <w:rPr>
          <w:rFonts w:ascii="Times New Roman" w:cs="Times New Roman" w:eastAsia="Times New Roman" w:hAnsi="Times New Roman"/>
          <w:sz w:val="20"/>
          <w:szCs w:val="20"/>
        </w:rPr>
        <w:t xml:space="preserve">	(21)</w:t>
      </w:r>
    </w:p>
    <w:p>
      <w:pPr>
        <w:spacing w:after="0" w:line="252"/>
        <w:ind w:left="1700" w:firstLine="240"/>
        <w:jc w:val="both"/>
      </w:pPr>
      <w:r>
        <w:rPr>
          <w:rFonts w:ascii="Times New Roman" w:cs="Times New Roman" w:eastAsia="Times New Roman" w:hAnsi="Times New Roman"/>
          <w:sz w:val="20"/>
          <w:szCs w:val="20"/>
        </w:rPr>
        <w:t xml:space="preserve">Associations between zero-shot accuracy, calibration gain and montage were assessed with Spearman’s ρ. The 62- versus six-electrode difference was tested with the Wilcoxon test, and the confidence interval for retention was obtained by resampling participants. Analyses used Python 3 with SciPy and statsmodels, and the scripts are provided in the repository. Reporting follows TRIPOD+AI where applicable</w:t>
      </w:r>
      <w:r>
        <w:rPr>
          <w:rFonts w:ascii="Times New Roman" w:cs="Times New Roman" w:eastAsia="Times New Roman" w:hAnsi="Times New Roman"/>
          <w:color w:val="1F4E9A"/>
          <w:sz w:val="20"/>
          <w:szCs w:val="20"/>
          <w:vertAlign w:val="superscript"/>
        </w:rPr>
        <w:t xml:space="preserve">54</w:t>
      </w:r>
      <w:r>
        <w:rPr>
          <w:rFonts w:ascii="Times New Roman" w:cs="Times New Roman" w:eastAsia="Times New Roman" w:hAnsi="Times New Roman"/>
          <w:sz w:val="20"/>
          <w:szCs w:val="20"/>
        </w:rPr>
        <w:t xml:space="preserve">.</w:t>
      </w:r>
    </w:p>
    <w:p>
      <w:pPr>
        <w:pStyle w:val="Heading2"/>
        <w:keepNext/>
        <w:spacing w:after="40" w:before="220"/>
        <w:ind w:left="1700"/>
      </w:pPr>
      <w:r>
        <w:rPr>
          <w:rFonts w:ascii="Arial" w:cs="Arial" w:eastAsia="Arial" w:hAnsi="Arial"/>
          <w:b/>
          <w:bCs/>
          <w:color w:val="000000"/>
          <w:sz w:val="21"/>
          <w:szCs w:val="21"/>
        </w:rPr>
        <w:t xml:space="preserve">3.14 Sample size and statistical power</w:t>
      </w:r>
    </w:p>
    <w:p>
      <w:pPr>
        <w:spacing w:after="0" w:line="252"/>
        <w:ind w:left="1700" w:firstLine="0"/>
        <w:jc w:val="both"/>
      </w:pPr>
      <w:r>
        <w:rPr>
          <w:rFonts w:ascii="Times New Roman" w:cs="Times New Roman" w:eastAsia="Times New Roman" w:hAnsi="Times New Roman"/>
          <w:sz w:val="20"/>
          <w:szCs w:val="20"/>
        </w:rPr>
        <w:t xml:space="preserve">The number of participants was fixed at 15 by the dataset, so a sensitivity power analysis was performed instead of an a priori sample-size calculation. With 15 paired participant-level observations, a two-sided paired test at α = 0.05 has 80% power to detect a standardised effect of </w:t>
      </w:r>
      <w:r>
        <w:rPr>
          <w:rFonts w:ascii="Times New Roman" w:cs="Times New Roman" w:eastAsia="Times New Roman" w:hAnsi="Times New Roman"/>
          <w:i/>
          <w:iCs/>
          <w:sz w:val="20"/>
          <w:szCs w:val="20"/>
        </w:rPr>
        <w:t xml:space="preserve">d</w:t>
      </w:r>
      <w:r>
        <w:rPr>
          <w:rFonts w:ascii="Times New Roman" w:cs="Times New Roman" w:eastAsia="Times New Roman" w:hAnsi="Times New Roman"/>
          <w:sz w:val="20"/>
          <w:szCs w:val="20"/>
          <w:vertAlign w:val="subscript"/>
        </w:rPr>
        <w:t xml:space="preserve">z</w:t>
      </w:r>
      <w:r>
        <w:rPr>
          <w:rFonts w:ascii="Times New Roman" w:cs="Times New Roman" w:eastAsia="Times New Roman" w:hAnsi="Times New Roman"/>
          <w:sz w:val="20"/>
          <w:szCs w:val="20"/>
        </w:rPr>
        <w:t xml:space="preserve"> = 0.78, and 90% power for </w:t>
      </w:r>
      <w:r>
        <w:rPr>
          <w:rFonts w:ascii="Times New Roman" w:cs="Times New Roman" w:eastAsia="Times New Roman" w:hAnsi="Times New Roman"/>
          <w:i/>
          <w:iCs/>
          <w:sz w:val="20"/>
          <w:szCs w:val="20"/>
        </w:rPr>
        <w:t xml:space="preserve">d</w:t>
      </w:r>
      <w:r>
        <w:rPr>
          <w:rFonts w:ascii="Times New Roman" w:cs="Times New Roman" w:eastAsia="Times New Roman" w:hAnsi="Times New Roman"/>
          <w:sz w:val="20"/>
          <w:szCs w:val="20"/>
          <w:vertAlign w:val="subscript"/>
        </w:rPr>
        <w:t xml:space="preserve">z</w:t>
      </w:r>
      <w:r>
        <w:rPr>
          <w:rFonts w:ascii="Times New Roman" w:cs="Times New Roman" w:eastAsia="Times New Roman" w:hAnsi="Times New Roman"/>
          <w:sz w:val="20"/>
          <w:szCs w:val="20"/>
        </w:rPr>
        <w:t xml:space="preserve"> = 0.90; at a Bonferroni-level α of 0.05/14, 80% power requires </w:t>
      </w:r>
      <w:r>
        <w:rPr>
          <w:rFonts w:ascii="Times New Roman" w:cs="Times New Roman" w:eastAsia="Times New Roman" w:hAnsi="Times New Roman"/>
          <w:i/>
          <w:iCs/>
          <w:sz w:val="20"/>
          <w:szCs w:val="20"/>
        </w:rPr>
        <w:t xml:space="preserve">d</w:t>
      </w:r>
      <w:r>
        <w:rPr>
          <w:rFonts w:ascii="Times New Roman" w:cs="Times New Roman" w:eastAsia="Times New Roman" w:hAnsi="Times New Roman"/>
          <w:sz w:val="20"/>
          <w:szCs w:val="20"/>
          <w:vertAlign w:val="subscript"/>
        </w:rPr>
        <w:t xml:space="preserve">z</w:t>
      </w:r>
      <w:r>
        <w:rPr>
          <w:rFonts w:ascii="Times New Roman" w:cs="Times New Roman" w:eastAsia="Times New Roman" w:hAnsi="Times New Roman"/>
          <w:sz w:val="20"/>
          <w:szCs w:val="20"/>
        </w:rPr>
        <w:t xml:space="preserve"> = 1.15. Given the observed standard deviation of paired differences between CLISA-EWU and DANN after calibration, </w:t>
      </w:r>
      <w:r>
        <w:rPr>
          <w:rFonts w:ascii="Times New Roman" w:cs="Times New Roman" w:eastAsia="Times New Roman" w:hAnsi="Times New Roman"/>
          <w:i/>
          <w:iCs/>
          <w:sz w:val="20"/>
          <w:szCs w:val="20"/>
        </w:rPr>
        <w:t xml:space="preserve">d</w:t>
      </w:r>
      <w:r>
        <w:rPr>
          <w:rFonts w:ascii="Times New Roman" w:cs="Times New Roman" w:eastAsia="Times New Roman" w:hAnsi="Times New Roman"/>
          <w:sz w:val="20"/>
          <w:szCs w:val="20"/>
          <w:vertAlign w:val="subscript"/>
        </w:rPr>
        <w:t xml:space="preserve">z</w:t>
      </w:r>
      <w:r>
        <w:rPr>
          <w:rFonts w:ascii="Times New Roman" w:cs="Times New Roman" w:eastAsia="Times New Roman" w:hAnsi="Times New Roman"/>
          <w:sz w:val="20"/>
          <w:szCs w:val="20"/>
        </w:rPr>
        <w:t xml:space="preserve"> = 0.78 corresponds to about 1.5 percentage points with 62 electrodes and 3.3 points with six electrodes. Smaller differences between the best models cannot be resolved reliably with this dataset, and non-significant comparisons should be read as inconclusive rather than as evidence of equality unless supported by the equivalence analysis.</w:t>
      </w:r>
    </w:p>
    <w:p>
      <w:pPr>
        <w:pStyle w:val="Heading2"/>
        <w:keepNext/>
        <w:spacing w:after="40" w:before="220"/>
        <w:ind w:left="1700"/>
      </w:pPr>
      <w:r>
        <w:rPr>
          <w:rFonts w:ascii="Arial" w:cs="Arial" w:eastAsia="Arial" w:hAnsi="Arial"/>
          <w:b/>
          <w:bCs/>
          <w:color w:val="000000"/>
          <w:sz w:val="21"/>
          <w:szCs w:val="21"/>
        </w:rPr>
        <w:t xml:space="preserve">3.15 Sensitivity analyses and missing data</w:t>
      </w:r>
    </w:p>
    <w:p>
      <w:pPr>
        <w:spacing w:after="0" w:line="252"/>
        <w:ind w:left="1700" w:firstLine="0"/>
        <w:jc w:val="both"/>
      </w:pPr>
      <w:r>
        <w:rPr>
          <w:rFonts w:ascii="Times New Roman" w:cs="Times New Roman" w:eastAsia="Times New Roman" w:hAnsi="Times New Roman"/>
          <w:sz w:val="20"/>
          <w:szCs w:val="20"/>
        </w:rPr>
        <w:t xml:space="preserve">Six pre-planned sensitivity analyses tested the robustness of the main comparisons. (i) Linear mixed-effects models</w:t>
      </w:r>
      <w:r>
        <w:rPr>
          <w:rFonts w:ascii="Times New Roman" w:cs="Times New Roman" w:eastAsia="Times New Roman" w:hAnsi="Times New Roman"/>
          <w:color w:val="1F4E9A"/>
          <w:sz w:val="20"/>
          <w:szCs w:val="20"/>
          <w:vertAlign w:val="superscript"/>
        </w:rPr>
        <w:t xml:space="preserve">70</w:t>
      </w:r>
      <w:r>
        <w:rPr>
          <w:rFonts w:ascii="Times New Roman" w:cs="Times New Roman" w:eastAsia="Times New Roman" w:hAnsi="Times New Roman"/>
          <w:sz w:val="20"/>
          <w:szCs w:val="20"/>
        </w:rPr>
        <w:t xml:space="preserve"> fitted to run-level accuracy, with model and seed as fixed effects and a random intercept and random model effect for each participant, so that all 45 runs were used without treating them as independent. (ii) A leave-one-participant-out jackknife</w:t>
      </w:r>
      <w:r>
        <w:rPr>
          <w:rFonts w:ascii="Times New Roman" w:cs="Times New Roman" w:eastAsia="Times New Roman" w:hAnsi="Times New Roman"/>
          <w:color w:val="1F4E9A"/>
          <w:sz w:val="20"/>
          <w:szCs w:val="20"/>
          <w:vertAlign w:val="superscript"/>
        </w:rPr>
        <w:t xml:space="preserve">71</w:t>
      </w:r>
      <w:r>
        <w:rPr>
          <w:rFonts w:ascii="Times New Roman" w:cs="Times New Roman" w:eastAsia="Times New Roman" w:hAnsi="Times New Roman"/>
          <w:sz w:val="20"/>
          <w:szCs w:val="20"/>
        </w:rPr>
        <w:t xml:space="preserve">, recomputing each paired comparison and the retention ratio 15 times with one participant removed. (iii) Seed-wise analyses, repeating the ranking and the comparison with DANN separately for each seed. (iv) Re-analysis of the CLISA-EWU versus DANN comparison with balanced accuracy computed from the confusion matrices. (v) Two one-sided tests (TOST)</w:t>
      </w:r>
      <w:r>
        <w:rPr>
          <w:rFonts w:ascii="Times New Roman" w:cs="Times New Roman" w:eastAsia="Times New Roman" w:hAnsi="Times New Roman"/>
          <w:color w:val="1F4E9A"/>
          <w:sz w:val="20"/>
          <w:szCs w:val="20"/>
          <w:vertAlign w:val="superscript"/>
        </w:rPr>
        <w:t xml:space="preserve">72</w:t>
      </w:r>
      <w:r>
        <w:rPr>
          <w:rFonts w:ascii="Times New Roman" w:cs="Times New Roman" w:eastAsia="Times New Roman" w:hAnsi="Times New Roman"/>
          <w:sz w:val="20"/>
          <w:szCs w:val="20"/>
        </w:rPr>
        <w:t xml:space="preserve"> of equivalence between zero-shot CLISA-EWU and the two perceptron baselines with margins of ±2 and ±3 percentage points. (vi) The probability that each model is the best, estimated as the proportion of 10,000 participant bootstrap resamples</w:t>
      </w:r>
      <w:r>
        <w:rPr>
          <w:rFonts w:ascii="Times New Roman" w:cs="Times New Roman" w:eastAsia="Times New Roman" w:hAnsi="Times New Roman"/>
          <w:color w:val="1F4E9A"/>
          <w:sz w:val="20"/>
          <w:szCs w:val="20"/>
          <w:vertAlign w:val="superscript"/>
        </w:rPr>
        <w:t xml:space="preserve">71</w:t>
      </w:r>
      <w:r>
        <w:rPr>
          <w:rFonts w:ascii="Times New Roman" w:cs="Times New Roman" w:eastAsia="Times New Roman" w:hAnsi="Times New Roman"/>
          <w:sz w:val="20"/>
          <w:szCs w:val="20"/>
        </w:rPr>
        <w:t xml:space="preserve"> in which it had the highest mean accuracy.</w:t>
      </w:r>
    </w:p>
    <w:p>
      <w:pPr>
        <w:spacing w:after="0" w:line="252"/>
        <w:ind w:left="1700" w:firstLine="240"/>
        <w:jc w:val="both"/>
      </w:pPr>
      <w:r>
        <w:rPr>
          <w:rFonts w:ascii="Times New Roman" w:cs="Times New Roman" w:eastAsia="Times New Roman" w:hAnsi="Times New Roman"/>
          <w:sz w:val="20"/>
          <w:szCs w:val="20"/>
        </w:rPr>
        <w:t xml:space="preserve">All 2,250 runs (1,350 deep and 900 classical) completed, so there were no missing data and no imputation was required.</w:t>
      </w:r>
    </w:p>
    <w:p>
      <w:pPr>
        <w:pStyle w:val="Heading2"/>
        <w:keepNext/>
        <w:spacing w:after="40" w:before="220"/>
        <w:ind w:left="1700"/>
      </w:pPr>
      <w:r>
        <w:rPr>
          <w:rFonts w:ascii="Arial" w:cs="Arial" w:eastAsia="Arial" w:hAnsi="Arial"/>
          <w:b/>
          <w:bCs/>
          <w:color w:val="000000"/>
          <w:sz w:val="21"/>
          <w:szCs w:val="21"/>
        </w:rPr>
        <w:t xml:space="preserve">3.16 Representation and attribution analysis</w:t>
      </w:r>
    </w:p>
    <w:p>
      <w:pPr>
        <w:spacing w:after="0" w:line="252"/>
        <w:ind w:left="1700" w:firstLine="0"/>
        <w:jc w:val="both"/>
      </w:pPr>
      <w:r>
        <w:rPr>
          <w:rFonts w:ascii="Times New Roman" w:cs="Times New Roman" w:eastAsia="Times New Roman" w:hAnsi="Times New Roman"/>
          <w:sz w:val="20"/>
          <w:szCs w:val="20"/>
        </w:rPr>
        <w:t xml:space="preserve">Representation geometry was examined with t-SNE</w:t>
      </w:r>
      <w:r>
        <w:rPr>
          <w:rFonts w:ascii="Times New Roman" w:cs="Times New Roman" w:eastAsia="Times New Roman" w:hAnsi="Times New Roman"/>
          <w:color w:val="1F4E9A"/>
          <w:sz w:val="20"/>
          <w:szCs w:val="20"/>
          <w:vertAlign w:val="superscript"/>
        </w:rPr>
        <w:t xml:space="preserve">73</w:t>
      </w:r>
      <w:r>
        <w:rPr>
          <w:rFonts w:ascii="Times New Roman" w:cs="Times New Roman" w:eastAsia="Times New Roman" w:hAnsi="Times New Roman"/>
          <w:sz w:val="20"/>
          <w:szCs w:val="20"/>
        </w:rPr>
        <w:t xml:space="preserve"> and with silhouette</w:t>
      </w:r>
      <w:r>
        <w:rPr>
          <w:rFonts w:ascii="Times New Roman" w:cs="Times New Roman" w:eastAsia="Times New Roman" w:hAnsi="Times New Roman"/>
          <w:color w:val="1F4E9A"/>
          <w:sz w:val="20"/>
          <w:szCs w:val="20"/>
          <w:vertAlign w:val="superscript"/>
        </w:rPr>
        <w:t xml:space="preserve">74</w:t>
      </w:r>
      <w:r>
        <w:rPr>
          <w:rFonts w:ascii="Times New Roman" w:cs="Times New Roman" w:eastAsia="Times New Roman" w:hAnsi="Times New Roman"/>
          <w:sz w:val="20"/>
          <w:szCs w:val="20"/>
        </w:rPr>
        <w:t xml:space="preserve">, Davies–Bouldin</w:t>
      </w:r>
      <w:r>
        <w:rPr>
          <w:rFonts w:ascii="Times New Roman" w:cs="Times New Roman" w:eastAsia="Times New Roman" w:hAnsi="Times New Roman"/>
          <w:color w:val="1F4E9A"/>
          <w:sz w:val="20"/>
          <w:szCs w:val="20"/>
          <w:vertAlign w:val="superscript"/>
        </w:rPr>
        <w:t xml:space="preserve">75</w:t>
      </w:r>
      <w:r>
        <w:rPr>
          <w:rFonts w:ascii="Times New Roman" w:cs="Times New Roman" w:eastAsia="Times New Roman" w:hAnsi="Times New Roman"/>
          <w:sz w:val="20"/>
          <w:szCs w:val="20"/>
        </w:rPr>
        <w:t xml:space="preserve"> and Calinski–Harabasz</w:t>
      </w:r>
      <w:r>
        <w:rPr>
          <w:rFonts w:ascii="Times New Roman" w:cs="Times New Roman" w:eastAsia="Times New Roman" w:hAnsi="Times New Roman"/>
          <w:color w:val="1F4E9A"/>
          <w:sz w:val="20"/>
          <w:szCs w:val="20"/>
          <w:vertAlign w:val="superscript"/>
        </w:rPr>
        <w:t xml:space="preserve">76</w:t>
      </w:r>
      <w:r>
        <w:rPr>
          <w:rFonts w:ascii="Times New Roman" w:cs="Times New Roman" w:eastAsia="Times New Roman" w:hAnsi="Times New Roman"/>
          <w:sz w:val="20"/>
          <w:szCs w:val="20"/>
        </w:rPr>
        <w:t xml:space="preserve"> indices computed on PCA-reduced raw features and on CLISA-EWU encoder embeddings, using emotion and participant labels. Electrode importance was estimated with gradient-based SHAP</w:t>
      </w:r>
      <w:r>
        <w:rPr>
          <w:rFonts w:ascii="Times New Roman" w:cs="Times New Roman" w:eastAsia="Times New Roman" w:hAnsi="Times New Roman"/>
          <w:color w:val="1F4E9A"/>
          <w:sz w:val="20"/>
          <w:szCs w:val="20"/>
          <w:vertAlign w:val="superscript"/>
        </w:rPr>
        <w:t xml:space="preserve">77</w:t>
      </w:r>
      <w:r>
        <w:rPr>
          <w:rFonts w:ascii="Times New Roman" w:cs="Times New Roman" w:eastAsia="Times New Roman" w:hAnsi="Times New Roman"/>
          <w:sz w:val="20"/>
          <w:szCs w:val="20"/>
        </w:rPr>
        <w:t xml:space="preserve"> on the 62-electrode model of the best run, summing absolute attributions over the five bands of each electrode separately for each predicted class.</w:t>
      </w:r>
    </w:p>
    <w:p>
      <w:pPr>
        <w:pStyle w:val="Heading2"/>
        <w:keepNext/>
        <w:spacing w:after="40" w:before="220"/>
        <w:ind w:left="1700"/>
      </w:pPr>
      <w:r>
        <w:rPr>
          <w:rFonts w:ascii="Arial" w:cs="Arial" w:eastAsia="Arial" w:hAnsi="Arial"/>
          <w:b/>
          <w:bCs/>
          <w:color w:val="000000"/>
          <w:sz w:val="21"/>
          <w:szCs w:val="21"/>
        </w:rPr>
        <w:t xml:space="preserve">3.17 Role of the funding source</w:t>
      </w:r>
    </w:p>
    <w:p>
      <w:pPr>
        <w:spacing w:after="0" w:line="252"/>
        <w:ind w:left="1700" w:firstLine="0"/>
        <w:jc w:val="both"/>
      </w:pPr>
      <w:r>
        <w:rPr>
          <w:rFonts w:ascii="Times New Roman" w:cs="Times New Roman" w:eastAsia="Times New Roman" w:hAnsi="Times New Roman"/>
          <w:sz w:val="20"/>
          <w:szCs w:val="20"/>
        </w:rPr>
        <w:t xml:space="preserve">There was no funding source for this study </w:t>
      </w:r>
      <w:r>
        <w:rPr>
          <w:rFonts w:ascii="Times New Roman" w:cs="Times New Roman" w:eastAsia="Times New Roman" w:hAnsi="Times New Roman"/>
          <w:sz w:val="20"/>
          <w:szCs w:val="20"/>
          <w:highlight w:val="yellow"/>
          <w:highlightCs w:val="yellow"/>
        </w:rPr>
        <w:t xml:space="preserve">[confirm]</w:t>
      </w:r>
      <w:r>
        <w:rPr>
          <w:rFonts w:ascii="Times New Roman" w:cs="Times New Roman" w:eastAsia="Times New Roman" w:hAnsi="Times New Roman"/>
          <w:sz w:val="20"/>
          <w:szCs w:val="20"/>
        </w:rPr>
        <w:t xml:space="preserve">. The authors had full access to all the data and were responsible for the decision to submit for publication.</w:t>
      </w:r>
    </w:p>
    <w:p>
      <w:pPr>
        <w:pStyle w:val="Heading1"/>
        <w:keepNext/>
        <w:spacing w:after="40" w:before="300"/>
        <w:ind w:left="1700"/>
      </w:pPr>
      <w:r>
        <w:rPr>
          <w:rFonts w:ascii="Arial" w:cs="Arial" w:eastAsia="Arial" w:hAnsi="Arial"/>
          <w:b/>
          <w:bCs/>
          <w:color w:val="000000"/>
          <w:sz w:val="26"/>
          <w:szCs w:val="26"/>
        </w:rPr>
        <w:t xml:space="preserve">4 Results and Discussion</w:t>
      </w:r>
    </w:p>
    <w:p>
      <w:pPr>
        <w:spacing w:after="0" w:line="252"/>
        <w:ind w:left="1700" w:firstLine="0"/>
        <w:jc w:val="both"/>
      </w:pPr>
      <w:r>
        <w:rPr>
          <w:rFonts w:ascii="Times New Roman" w:cs="Times New Roman" w:eastAsia="Times New Roman" w:hAnsi="Times New Roman"/>
          <w:sz w:val="20"/>
          <w:szCs w:val="20"/>
        </w:rPr>
        <w:t xml:space="preserve">In this section, the results of the benchmark are presented. Zero-shot performance is reported first, followed by the effect of few-shot calibration, the paired statistical comparisons, electrode reduction, variability across participants, class-level behaviour, representation geometry and secondary analyses. The implications and limitations of the findings are discussed at the end of the section.</w:t>
      </w:r>
    </w:p>
    <w:p>
      <w:pPr>
        <w:pStyle w:val="Heading2"/>
        <w:keepNext/>
        <w:spacing w:after="40" w:before="220"/>
        <w:ind w:left="1700"/>
      </w:pPr>
      <w:r>
        <w:rPr>
          <w:rFonts w:ascii="Arial" w:cs="Arial" w:eastAsia="Arial" w:hAnsi="Arial"/>
          <w:b/>
          <w:bCs/>
          <w:color w:val="000000"/>
          <w:sz w:val="21"/>
          <w:szCs w:val="21"/>
        </w:rPr>
        <w:t xml:space="preserve">4.1 Benchmark overview</w:t>
      </w:r>
    </w:p>
    <w:p>
      <w:pPr>
        <w:spacing w:after="0" w:line="252"/>
        <w:ind w:left="1700" w:firstLine="0"/>
        <w:jc w:val="both"/>
      </w:pPr>
      <w:r>
        <w:rPr>
          <w:rFonts w:ascii="Times New Roman" w:cs="Times New Roman" w:eastAsia="Times New Roman" w:hAnsi="Times New Roman"/>
          <w:sz w:val="20"/>
          <w:szCs w:val="20"/>
        </w:rPr>
        <w:t xml:space="preserve">All 26 models completed 45 runs per montage. The best classical classifier reached an accuracy of 0.484 (XGBoost) with 62 electrodes and 0.441 (LDA) with six electrodes (Fig. 5), confirming that differential-entropy features carry emotion information in unseen participants. Fig. 6 shows the calibrated leaderboard for all deep models, and Table 5 summarises zero-shot and calibrated results for the main comparators.</w:t>
      </w:r>
    </w:p>
    <w:p>
      <w:pPr>
        <w:spacing w:before="2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30"/>
        <w:gridCol w:w="710"/>
        <w:gridCol w:w="710"/>
        <w:gridCol w:w="710"/>
        <w:gridCol w:w="710"/>
        <w:gridCol w:w="710"/>
        <w:gridCol w:w="1522"/>
        <w:gridCol w:w="609"/>
        <w:gridCol w:w="710"/>
        <w:gridCol w:w="710"/>
        <w:gridCol w:w="615"/>
      </w:tblGrid>
      <w:tr>
        <w:trPr>
          <w:tblHeader/>
        </w:trPr>
        <w:tc>
          <w:tcPr>
            <w:tcW w:type="dxa" w:w="2030"/>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4"/>
                <w:szCs w:val="14"/>
              </w:rPr>
              <w:t xml:space="preserve">Model</w:t>
            </w:r>
          </w:p>
        </w:tc>
        <w:tc>
          <w:tcPr>
            <w:tcW w:type="dxa" w:w="710"/>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4"/>
                <w:szCs w:val="14"/>
              </w:rPr>
              <w:t xml:space="preserve">Acc (ZS)</w:t>
            </w:r>
          </w:p>
        </w:tc>
        <w:tc>
          <w:tcPr>
            <w:tcW w:type="dxa" w:w="710"/>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4"/>
                <w:szCs w:val="14"/>
              </w:rPr>
              <w:t xml:space="preserve">F1 (ZS)</w:t>
            </w:r>
          </w:p>
        </w:tc>
        <w:tc>
          <w:tcPr>
            <w:tcW w:type="dxa" w:w="710"/>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4"/>
                <w:szCs w:val="14"/>
              </w:rPr>
              <w:t xml:space="preserve">Acc (Cal)</w:t>
            </w:r>
          </w:p>
        </w:tc>
        <w:tc>
          <w:tcPr>
            <w:tcW w:type="dxa" w:w="710"/>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4"/>
                <w:szCs w:val="14"/>
              </w:rPr>
              <w:t xml:space="preserve">SD (Cal)</w:t>
            </w:r>
          </w:p>
        </w:tc>
        <w:tc>
          <w:tcPr>
            <w:tcW w:type="dxa" w:w="710"/>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4"/>
                <w:szCs w:val="14"/>
              </w:rPr>
              <w:t xml:space="preserve">F1 (Cal)</w:t>
            </w:r>
          </w:p>
        </w:tc>
        <w:tc>
          <w:tcPr>
            <w:tcW w:type="dxa" w:w="1522"/>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4"/>
                <w:szCs w:val="14"/>
              </w:rPr>
              <w:t xml:space="preserve">Gain, points (95% CI)</w:t>
            </w:r>
          </w:p>
        </w:tc>
        <w:tc>
          <w:tcPr>
            <w:tcW w:type="dxa" w:w="609"/>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4"/>
                <w:szCs w:val="14"/>
              </w:rPr>
              <w:t xml:space="preserve">CV (%)</w:t>
            </w:r>
          </w:p>
        </w:tc>
        <w:tc>
          <w:tcPr>
            <w:tcW w:type="dxa" w:w="710"/>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4"/>
                <w:szCs w:val="14"/>
              </w:rPr>
              <w:t xml:space="preserve">Worst</w:t>
            </w:r>
          </w:p>
        </w:tc>
        <w:tc>
          <w:tcPr>
            <w:tcW w:type="dxa" w:w="710"/>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4"/>
                <w:szCs w:val="14"/>
              </w:rPr>
              <w:t xml:space="preserve">Best</w:t>
            </w:r>
          </w:p>
        </w:tc>
        <w:tc>
          <w:tcPr>
            <w:tcW w:type="dxa" w:w="615"/>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4"/>
                <w:szCs w:val="14"/>
              </w:rPr>
              <w:t xml:space="preserve">Rank</w:t>
            </w:r>
          </w:p>
        </w:tc>
      </w:tr>
      <w:tr>
        <w:trPr>
          <w:cantSplit/>
        </w:trPr>
        <w:tc>
          <w:tcPr>
            <w:tcW w:type="dxa" w:w="2030"/>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r>
              <w:rPr>
                <w:rFonts w:ascii="Times New Roman" w:cs="Times New Roman" w:eastAsia="Times New Roman" w:hAnsi="Times New Roman"/>
                <w:b/>
                <w:bCs/>
                <w:sz w:val="14"/>
                <w:szCs w:val="14"/>
              </w:rPr>
              <w:t xml:space="preserve">62 electrodes</w:t>
            </w:r>
          </w:p>
        </w:tc>
        <w:tc>
          <w:tcPr>
            <w:tcW w:type="dxa" w:w="710"/>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710"/>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710"/>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710"/>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710"/>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1522"/>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609"/>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710"/>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710"/>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615"/>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r>
      <w:tr>
        <w:trPr>
          <w:cantSplit/>
        </w:trPr>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CLISA-EWU</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0.485</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0.479</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0.678</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0.078</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0.673</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19.3 (14.9, 23.8)</w:t>
            </w:r>
          </w:p>
        </w:tc>
        <w:tc>
          <w:tcPr>
            <w:tcW w:type="dxa" w:w="60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11.5</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0.541</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0.813</w:t>
            </w:r>
          </w:p>
        </w:tc>
        <w:tc>
          <w:tcPr>
            <w:tcW w:type="dxa" w:w="6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1.40</w:t>
            </w:r>
          </w:p>
        </w:tc>
      </w:tr>
      <w:tr>
        <w:trPr>
          <w:cantSplit/>
        </w:trPr>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DANN</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0.458</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0.455</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0.662</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0.080</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0.654</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20.4 (16.2, 24.5)</w:t>
            </w:r>
          </w:p>
        </w:tc>
        <w:tc>
          <w:tcPr>
            <w:tcW w:type="dxa" w:w="60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12.0</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0.528</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0.800</w:t>
            </w:r>
          </w:p>
        </w:tc>
        <w:tc>
          <w:tcPr>
            <w:tcW w:type="dxa" w:w="6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2.40</w:t>
            </w:r>
          </w:p>
        </w:tc>
      </w:tr>
      <w:tr>
        <w:trPr>
          <w:cantSplit/>
        </w:trPr>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PseudoLabel</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0.468</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0.466</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0.657</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0.072</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0.654</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18.9 (14.4, 23.7)</w:t>
            </w:r>
          </w:p>
        </w:tc>
        <w:tc>
          <w:tcPr>
            <w:tcW w:type="dxa" w:w="60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10.9</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0.538</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0.766</w:t>
            </w:r>
          </w:p>
        </w:tc>
        <w:tc>
          <w:tcPr>
            <w:tcW w:type="dxa" w:w="6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2.53</w:t>
            </w:r>
          </w:p>
        </w:tc>
      </w:tr>
      <w:tr>
        <w:trPr>
          <w:cantSplit/>
        </w:trPr>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BYOL</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0.431</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0.423</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0.609</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0.074</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0.594</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17.8 (15.3, 20.2)</w:t>
            </w:r>
          </w:p>
        </w:tc>
        <w:tc>
          <w:tcPr>
            <w:tcW w:type="dxa" w:w="60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12.2</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0.476</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0.718</w:t>
            </w:r>
          </w:p>
        </w:tc>
        <w:tc>
          <w:tcPr>
            <w:tcW w:type="dxa" w:w="6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4.07</w:t>
            </w:r>
          </w:p>
        </w:tc>
      </w:tr>
      <w:tr>
        <w:trPr>
          <w:cantSplit/>
        </w:trPr>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SimCLR</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0.410</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0.405</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0.575</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0.078</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0.557</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16.4 (13.2, 19.5)</w:t>
            </w:r>
          </w:p>
        </w:tc>
        <w:tc>
          <w:tcPr>
            <w:tcW w:type="dxa" w:w="60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13.6</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0.461</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0.692</w:t>
            </w:r>
          </w:p>
        </w:tc>
        <w:tc>
          <w:tcPr>
            <w:tcW w:type="dxa" w:w="6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5.80</w:t>
            </w:r>
          </w:p>
        </w:tc>
      </w:tr>
      <w:tr>
        <w:trPr>
          <w:cantSplit/>
        </w:trPr>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MixMatch</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0.285</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0.243</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0.535</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0.087</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0.522</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25.0 (22.0, 28.0)</w:t>
            </w:r>
          </w:p>
        </w:tc>
        <w:tc>
          <w:tcPr>
            <w:tcW w:type="dxa" w:w="60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16.3</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0.380</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0.692</w:t>
            </w:r>
          </w:p>
        </w:tc>
        <w:tc>
          <w:tcPr>
            <w:tcW w:type="dxa" w:w="6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7.33</w:t>
            </w:r>
          </w:p>
        </w:tc>
      </w:tr>
      <w:tr>
        <w:trPr>
          <w:cantSplit/>
        </w:trPr>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DANCE teacher</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0.419</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0.408</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0.519</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0.080</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0.503</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10.0 (7.0, 13.2)</w:t>
            </w:r>
          </w:p>
        </w:tc>
        <w:tc>
          <w:tcPr>
            <w:tcW w:type="dxa" w:w="60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15.4</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0.409</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0.677</w:t>
            </w:r>
          </w:p>
        </w:tc>
        <w:tc>
          <w:tcPr>
            <w:tcW w:type="dxa" w:w="6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8.20</w:t>
            </w:r>
          </w:p>
        </w:tc>
      </w:tr>
      <w:tr>
        <w:trPr>
          <w:cantSplit/>
        </w:trPr>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Two-layer perceptron</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0.476</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0.474</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0.496</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0.096</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0.493</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2.0 (0.9, 3.1)</w:t>
            </w:r>
          </w:p>
        </w:tc>
        <w:tc>
          <w:tcPr>
            <w:tcW w:type="dxa" w:w="60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19.4</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0.305</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0.710</w:t>
            </w:r>
          </w:p>
        </w:tc>
        <w:tc>
          <w:tcPr>
            <w:tcW w:type="dxa" w:w="6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8.33</w:t>
            </w:r>
          </w:p>
        </w:tc>
      </w:tr>
      <w:tr>
        <w:trPr>
          <w:cantSplit/>
        </w:trPr>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Deep perceptron</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0.479</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0.476</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0.492</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0.100</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0.489</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1.3 (0.3, 2.4)</w:t>
            </w:r>
          </w:p>
        </w:tc>
        <w:tc>
          <w:tcPr>
            <w:tcW w:type="dxa" w:w="60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20.3</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0.306</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0.704</w:t>
            </w:r>
          </w:p>
        </w:tc>
        <w:tc>
          <w:tcPr>
            <w:tcW w:type="dxa" w:w="6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8.67</w:t>
            </w:r>
          </w:p>
        </w:tc>
      </w:tr>
      <w:tr>
        <w:trPr>
          <w:cantSplit/>
        </w:trPr>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EEG Conformer</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0.453</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0.447</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0.459</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0.109</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0.454</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0.7 (−0.0, 1.5)</w:t>
            </w:r>
          </w:p>
        </w:tc>
        <w:tc>
          <w:tcPr>
            <w:tcW w:type="dxa" w:w="60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23.8</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0.248</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0.635</w:t>
            </w:r>
          </w:p>
        </w:tc>
        <w:tc>
          <w:tcPr>
            <w:tcW w:type="dxa" w:w="6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10.53</w:t>
            </w:r>
          </w:p>
        </w:tc>
      </w:tr>
      <w:tr>
        <w:trPr>
          <w:cantSplit/>
        </w:trPr>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Conv1D</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0.430</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0.419</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0.445</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0.103</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0.438</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1.5 (0.5, 2.7)</w:t>
            </w:r>
          </w:p>
        </w:tc>
        <w:tc>
          <w:tcPr>
            <w:tcW w:type="dxa" w:w="60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23.2</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0.291</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0.677</w:t>
            </w:r>
          </w:p>
        </w:tc>
        <w:tc>
          <w:tcPr>
            <w:tcW w:type="dxa" w:w="6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11.57</w:t>
            </w:r>
          </w:p>
        </w:tc>
      </w:tr>
      <w:tr>
        <w:trPr>
          <w:cantSplit/>
        </w:trPr>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GRU</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0.439</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0.431</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0.441</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0.104</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0.434</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0.2 (0.1, 0.4)</w:t>
            </w:r>
          </w:p>
        </w:tc>
        <w:tc>
          <w:tcPr>
            <w:tcW w:type="dxa" w:w="60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23.5</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0.273</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0.691</w:t>
            </w:r>
          </w:p>
        </w:tc>
        <w:tc>
          <w:tcPr>
            <w:tcW w:type="dxa" w:w="6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11.70</w:t>
            </w:r>
          </w:p>
        </w:tc>
      </w:tr>
      <w:tr>
        <w:trPr>
          <w:cantSplit/>
        </w:trPr>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ChanDrop transformer</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0.430</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0.418</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0.431</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0.064</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0.419</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0.1 (0.1, 0.2)</w:t>
            </w:r>
          </w:p>
        </w:tc>
        <w:tc>
          <w:tcPr>
            <w:tcW w:type="dxa" w:w="60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14.8</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0.335</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0.579</w:t>
            </w:r>
          </w:p>
        </w:tc>
        <w:tc>
          <w:tcPr>
            <w:tcW w:type="dxa" w:w="6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12.07</w:t>
            </w:r>
          </w:p>
        </w:tc>
      </w:tr>
      <w:tr>
        <w:trPr>
          <w:cantSplit/>
        </w:trPr>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LSTM</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0.430</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0.420</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0.431</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0.116</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0.421</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0.1 (0.0, 0.3)</w:t>
            </w:r>
          </w:p>
        </w:tc>
        <w:tc>
          <w:tcPr>
            <w:tcW w:type="dxa" w:w="60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26.9</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0.268</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0.695</w:t>
            </w:r>
          </w:p>
        </w:tc>
        <w:tc>
          <w:tcPr>
            <w:tcW w:type="dxa" w:w="6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12.40</w:t>
            </w:r>
          </w:p>
        </w:tc>
      </w:tr>
      <w:tr>
        <w:trPr>
          <w:cantSplit/>
        </w:trPr>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Transformer</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0.405</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0.393</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0.407</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0.072</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0.395</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0.2 (0.1, 0.3)</w:t>
            </w:r>
          </w:p>
        </w:tc>
        <w:tc>
          <w:tcPr>
            <w:tcW w:type="dxa" w:w="60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17.6</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0.277</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0.555</w:t>
            </w:r>
          </w:p>
        </w:tc>
        <w:tc>
          <w:tcPr>
            <w:tcW w:type="dxa" w:w="6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13.00</w:t>
            </w:r>
          </w:p>
        </w:tc>
      </w:tr>
      <w:tr>
        <w:trPr>
          <w:cantSplit/>
        </w:trPr>
        <w:tc>
          <w:tcPr>
            <w:tcW w:type="dxa" w:w="2030"/>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r>
              <w:rPr>
                <w:rFonts w:ascii="Times New Roman" w:cs="Times New Roman" w:eastAsia="Times New Roman" w:hAnsi="Times New Roman"/>
                <w:b/>
                <w:bCs/>
                <w:sz w:val="14"/>
                <w:szCs w:val="14"/>
              </w:rPr>
              <w:t xml:space="preserve">Six electrodes</w:t>
            </w:r>
          </w:p>
        </w:tc>
        <w:tc>
          <w:tcPr>
            <w:tcW w:type="dxa" w:w="710"/>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710"/>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710"/>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710"/>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710"/>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1522"/>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609"/>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710"/>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710"/>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615"/>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r>
      <w:tr>
        <w:trPr>
          <w:cantSplit/>
        </w:trPr>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CLISA-EWU</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0.405</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0.398</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0.620</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0.060</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0.611</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21.4 (18.2, 25.2)</w:t>
            </w:r>
          </w:p>
        </w:tc>
        <w:tc>
          <w:tcPr>
            <w:tcW w:type="dxa" w:w="60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9.7</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0.518</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0.719</w:t>
            </w:r>
          </w:p>
        </w:tc>
        <w:tc>
          <w:tcPr>
            <w:tcW w:type="dxa" w:w="6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2.67</w:t>
            </w:r>
          </w:p>
        </w:tc>
      </w:tr>
      <w:tr>
        <w:trPr>
          <w:cantSplit/>
        </w:trPr>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BYOL</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0.440</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0.433</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0.612</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0.086</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0.598</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17.2 (14.0, 20.3)</w:t>
            </w:r>
          </w:p>
        </w:tc>
        <w:tc>
          <w:tcPr>
            <w:tcW w:type="dxa" w:w="60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14.0</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0.469</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0.735</w:t>
            </w:r>
          </w:p>
        </w:tc>
        <w:tc>
          <w:tcPr>
            <w:tcW w:type="dxa" w:w="6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3.07</w:t>
            </w:r>
          </w:p>
        </w:tc>
      </w:tr>
      <w:tr>
        <w:trPr>
          <w:cantSplit/>
        </w:trPr>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PseudoLabel</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0.405</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0.394</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0.610</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0.072</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0.600</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20.6 (17.5, 24.0)</w:t>
            </w:r>
          </w:p>
        </w:tc>
        <w:tc>
          <w:tcPr>
            <w:tcW w:type="dxa" w:w="60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11.7</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0.484</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0.725</w:t>
            </w:r>
          </w:p>
        </w:tc>
        <w:tc>
          <w:tcPr>
            <w:tcW w:type="dxa" w:w="6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3.07</w:t>
            </w:r>
          </w:p>
        </w:tc>
      </w:tr>
      <w:tr>
        <w:trPr>
          <w:cantSplit/>
        </w:trPr>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SimCLR</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0.446</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0.441</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0.602</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0.090</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0.582</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15.6 (13.0, 17.8)</w:t>
            </w:r>
          </w:p>
        </w:tc>
        <w:tc>
          <w:tcPr>
            <w:tcW w:type="dxa" w:w="60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14.9</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0.423</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0.739</w:t>
            </w:r>
          </w:p>
        </w:tc>
        <w:tc>
          <w:tcPr>
            <w:tcW w:type="dxa" w:w="6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3.73</w:t>
            </w:r>
          </w:p>
        </w:tc>
      </w:tr>
      <w:tr>
        <w:trPr>
          <w:cantSplit/>
        </w:trPr>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DANN</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0.396</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0.386</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0.590</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0.063</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0.579</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19.4 (16.5, 22.5)</w:t>
            </w:r>
          </w:p>
        </w:tc>
        <w:tc>
          <w:tcPr>
            <w:tcW w:type="dxa" w:w="60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10.7</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0.500</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0.695</w:t>
            </w:r>
          </w:p>
        </w:tc>
        <w:tc>
          <w:tcPr>
            <w:tcW w:type="dxa" w:w="6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3.87</w:t>
            </w:r>
          </w:p>
        </w:tc>
      </w:tr>
      <w:tr>
        <w:trPr>
          <w:cantSplit/>
        </w:trPr>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DANCE student</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0.390</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0.377</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0.571</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0.078</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0.541</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18.1 (14.9, 21.5)</w:t>
            </w:r>
          </w:p>
        </w:tc>
        <w:tc>
          <w:tcPr>
            <w:tcW w:type="dxa" w:w="60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13.6</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0.452</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0.699</w:t>
            </w:r>
          </w:p>
        </w:tc>
        <w:tc>
          <w:tcPr>
            <w:tcW w:type="dxa" w:w="6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4.60</w:t>
            </w:r>
          </w:p>
        </w:tc>
      </w:tr>
      <w:tr>
        <w:trPr>
          <w:cantSplit/>
        </w:trPr>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Two-layer perceptron</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0.400</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0.393</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0.412</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0.085</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0.405</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1.1 (0.3, 1.9)</w:t>
            </w:r>
          </w:p>
        </w:tc>
        <w:tc>
          <w:tcPr>
            <w:tcW w:type="dxa" w:w="60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20.6</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0.256</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0.539</w:t>
            </w:r>
          </w:p>
        </w:tc>
        <w:tc>
          <w:tcPr>
            <w:tcW w:type="dxa" w:w="6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9.33</w:t>
            </w:r>
          </w:p>
        </w:tc>
      </w:tr>
      <w:tr>
        <w:trPr>
          <w:cantSplit/>
        </w:trPr>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ChanDrop transformer</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0.391</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0.383</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0.398</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0.049</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0.390</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0.7 (0.4, 1.0)</w:t>
            </w:r>
          </w:p>
        </w:tc>
        <w:tc>
          <w:tcPr>
            <w:tcW w:type="dxa" w:w="60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12.4</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0.323</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0.497</w:t>
            </w:r>
          </w:p>
        </w:tc>
        <w:tc>
          <w:tcPr>
            <w:tcW w:type="dxa" w:w="6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9.67</w:t>
            </w:r>
          </w:p>
        </w:tc>
      </w:tr>
      <w:tr>
        <w:trPr>
          <w:cantSplit/>
        </w:trPr>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Deep perceptron</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0.398</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0.389</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0.401</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0.076</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0.396</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 (−0.6, 1.2)</w:t>
            </w:r>
          </w:p>
        </w:tc>
        <w:tc>
          <w:tcPr>
            <w:tcW w:type="dxa" w:w="60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18.9</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0.254</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0.516</w:t>
            </w:r>
          </w:p>
        </w:tc>
        <w:tc>
          <w:tcPr>
            <w:tcW w:type="dxa" w:w="6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10.00</w:t>
            </w:r>
          </w:p>
        </w:tc>
      </w:tr>
      <w:tr>
        <w:trPr>
          <w:cantSplit/>
        </w:trPr>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Transformer</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0.368</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0.358</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0.371</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0.052</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0.360</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 (0.1, 0.4)</w:t>
            </w:r>
          </w:p>
        </w:tc>
        <w:tc>
          <w:tcPr>
            <w:tcW w:type="dxa" w:w="60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14.1</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0.296</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0.490</w:t>
            </w:r>
          </w:p>
        </w:tc>
        <w:tc>
          <w:tcPr>
            <w:tcW w:type="dxa" w:w="6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10.93</w:t>
            </w:r>
          </w:p>
        </w:tc>
      </w:tr>
      <w:tr>
        <w:trPr>
          <w:cantSplit/>
        </w:trPr>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LSTM</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0.384</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0.376</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0.385</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0.066</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0.377</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0.1 (−0.1, 0.2)</w:t>
            </w:r>
          </w:p>
        </w:tc>
        <w:tc>
          <w:tcPr>
            <w:tcW w:type="dxa" w:w="60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17.2</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0.246</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0.520</w:t>
            </w:r>
          </w:p>
        </w:tc>
        <w:tc>
          <w:tcPr>
            <w:tcW w:type="dxa" w:w="6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11.13</w:t>
            </w:r>
          </w:p>
        </w:tc>
      </w:tr>
      <w:tr>
        <w:trPr>
          <w:cantSplit/>
        </w:trPr>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Conv1D</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0.375</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0.366</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0.379</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0.074</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0.373</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 (−0.4, 1.1)</w:t>
            </w:r>
          </w:p>
        </w:tc>
        <w:tc>
          <w:tcPr>
            <w:tcW w:type="dxa" w:w="60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19.6</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0.232</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0.522</w:t>
            </w:r>
          </w:p>
        </w:tc>
        <w:tc>
          <w:tcPr>
            <w:tcW w:type="dxa" w:w="6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11.47</w:t>
            </w:r>
          </w:p>
        </w:tc>
      </w:tr>
      <w:tr>
        <w:trPr>
          <w:cantSplit/>
        </w:trPr>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GRU</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0.376</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0.369</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0.378</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0.073</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0.371</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0.2 (0.0, 0.4)</w:t>
            </w:r>
          </w:p>
        </w:tc>
        <w:tc>
          <w:tcPr>
            <w:tcW w:type="dxa" w:w="60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19.4</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0.269</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0.532</w:t>
            </w:r>
          </w:p>
        </w:tc>
        <w:tc>
          <w:tcPr>
            <w:tcW w:type="dxa" w:w="6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11.73</w:t>
            </w:r>
          </w:p>
        </w:tc>
      </w:tr>
      <w:tr>
        <w:trPr>
          <w:cantSplit/>
        </w:trPr>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MixMatch</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0.270</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0.226</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0.364</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0.038</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0.334</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9.4 (7.8, 11.1)</w:t>
            </w:r>
          </w:p>
        </w:tc>
        <w:tc>
          <w:tcPr>
            <w:tcW w:type="dxa" w:w="60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10.4</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0.312</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0.431</w:t>
            </w:r>
          </w:p>
        </w:tc>
        <w:tc>
          <w:tcPr>
            <w:tcW w:type="dxa" w:w="6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12.07</w:t>
            </w:r>
          </w:p>
        </w:tc>
      </w:tr>
      <w:tr>
        <w:trPr>
          <w:cantSplit/>
        </w:trPr>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EEG Conformer</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0.353</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0.344</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0.361</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0.065</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0.353</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0.8 (0.2, 1.4)</w:t>
            </w:r>
          </w:p>
        </w:tc>
        <w:tc>
          <w:tcPr>
            <w:tcW w:type="dxa" w:w="60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18.1</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0.263</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0.481</w:t>
            </w:r>
          </w:p>
        </w:tc>
        <w:tc>
          <w:tcPr>
            <w:tcW w:type="dxa" w:w="6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12.67</w:t>
            </w:r>
          </w:p>
        </w:tc>
      </w:tr>
    </w:tbl>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Table 5</w:t>
      </w:r>
      <w:r>
        <w:rPr>
          <w:rFonts w:ascii="Times New Roman" w:cs="Times New Roman" w:eastAsia="Times New Roman" w:hAnsi="Times New Roman"/>
          <w:sz w:val="19"/>
          <w:szCs w:val="19"/>
        </w:rPr>
        <w:t xml:space="preserve">. Cross-participant four-class emotion recognition for all 15 deep models per montage, zero-shot (ZS) and after 20-window calibration (Cal). Values are means over 15 held-out participants (each averaged over three seeds). Gain = calibrated minus zero-shot accuracy in percentage points with 95% bootstrap CI; CV = between-participant coefficient of variation of calibrated accuracy; worst/best = lowest/highest participant; rank = Friedman average rank after calibration (1 = best). Chance accuracy is 0.25.</w:t>
      </w:r>
    </w:p>
    <w:p>
      <w:pPr>
        <w:keepNext/>
        <w:spacing w:before="240"/>
        <w:jc w:val="center"/>
      </w:pPr>
      <w:r>
        <w:drawing>
          <wp:inline distT="0" distB="0" distL="0" distR="0">
            <wp:extent cx="609600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2466975"/>
                    </a:xfrm>
                    <a:prstGeom prst="rect">
                      <a:avLst/>
                    </a:prstGeom>
                  </pic:spPr>
                </pic:pic>
              </a:graphicData>
            </a:graphic>
          </wp:inline>
        </w:drawing>
      </w:r>
    </w:p>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Fig. 5</w:t>
      </w:r>
      <w:r>
        <w:rPr>
          <w:rFonts w:ascii="Times New Roman" w:cs="Times New Roman" w:eastAsia="Times New Roman" w:hAnsi="Times New Roman"/>
          <w:sz w:val="19"/>
          <w:szCs w:val="19"/>
        </w:rPr>
        <w:t xml:space="preserve">. Classical machine-learning baselines. Mean macro F1 over 45 leave-one-participant-out runs with (a) 62 electrodes and (b) six electrodes.</w:t>
      </w:r>
    </w:p>
    <w:p>
      <w:pPr>
        <w:keepNext/>
        <w:spacing w:before="240"/>
        <w:jc w:val="center"/>
      </w:pPr>
      <w:r>
        <w:drawing>
          <wp:inline distT="0" distB="0" distL="0" distR="0">
            <wp:extent cx="6096000" cy="2590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2590800"/>
                    </a:xfrm>
                    <a:prstGeom prst="rect">
                      <a:avLst/>
                    </a:prstGeom>
                  </pic:spPr>
                </pic:pic>
              </a:graphicData>
            </a:graphic>
          </wp:inline>
        </w:drawing>
      </w:r>
    </w:p>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Fig. 6</w:t>
      </w:r>
      <w:r>
        <w:rPr>
          <w:rFonts w:ascii="Times New Roman" w:cs="Times New Roman" w:eastAsia="Times New Roman" w:hAnsi="Times New Roman"/>
          <w:sz w:val="19"/>
          <w:szCs w:val="19"/>
        </w:rPr>
        <w:t xml:space="preserve">. Calibrated performance of all deep models. Mean accuracy over 45 runs after 20-window calibration with (a) 62 electrodes and (b) six electrodes. Colours denote model family (proposed, domain-adaptive, self/semi-supervised, DANCE, supervised baselines). Zero-shot results are shown in Fig. 7. The axis label ‘balanced accuracy’ in this thesis figure denotes accuracy (see Methods).</w:t>
      </w:r>
    </w:p>
    <w:p>
      <w:pPr>
        <w:pStyle w:val="Heading2"/>
        <w:keepNext/>
        <w:spacing w:after="40" w:before="220"/>
        <w:ind w:left="1700"/>
      </w:pPr>
      <w:r>
        <w:rPr>
          <w:rFonts w:ascii="Arial" w:cs="Arial" w:eastAsia="Arial" w:hAnsi="Arial"/>
          <w:b/>
          <w:bCs/>
          <w:color w:val="000000"/>
          <w:sz w:val="21"/>
          <w:szCs w:val="21"/>
        </w:rPr>
        <w:t xml:space="preserve">4.2 Zero-shot cross-participant decoding</w:t>
      </w:r>
    </w:p>
    <w:p>
      <w:pPr>
        <w:spacing w:after="0" w:line="252"/>
        <w:ind w:left="1700" w:firstLine="0"/>
        <w:jc w:val="both"/>
      </w:pPr>
      <w:r>
        <w:rPr>
          <w:rFonts w:ascii="Times New Roman" w:cs="Times New Roman" w:eastAsia="Times New Roman" w:hAnsi="Times New Roman"/>
          <w:sz w:val="20"/>
          <w:szCs w:val="20"/>
        </w:rPr>
        <w:t xml:space="preserve">Without target data, no model approached the accuracies reported in much of the literature (Fig. 7). With 62 electrodes, CLISA-EWU had the highest mean zero-shot accuracy (0.485, 95% CI 0.428–0.542) but did not differ from the two-layer perceptron (difference 0.9 percentage points, −0.5 to 2.1; Wilcoxon p = 0.25) or the deep perceptron (0.6 points, −0.9 to 2.2; p = 0.64). Its advantage over DANN (2.7 points, 1.0 to 4.2; unadjusted p = 0.010) did not survive Holm correction (p = 0.12). With six electrodes, zero-shot accuracy fell to 0.406 (0.370–0.439) for CLISA-EWU, and SimCLR (0.446) and BYOL (0.440) were numerically higher (both Holm-adjusted p = 1.00). Zero-shot performance varied greatly between participants, from 0.244 (participant 11, at chance) to 0.723 (participant 7) for CLISA-EWU with 62 electrodes (Fig. 8a).</w:t>
      </w:r>
    </w:p>
    <w:p>
      <w:pPr>
        <w:keepNext/>
        <w:spacing w:before="240"/>
        <w:jc w:val="center"/>
      </w:pPr>
      <w:r>
        <w:drawing>
          <wp:inline distT="0" distB="0" distL="0" distR="0">
            <wp:extent cx="6096000" cy="3724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3724275"/>
                    </a:xfrm>
                    <a:prstGeom prst="rect">
                      <a:avLst/>
                    </a:prstGeom>
                  </pic:spPr>
                </pic:pic>
              </a:graphicData>
            </a:graphic>
          </wp:inline>
        </w:drawing>
      </w:r>
    </w:p>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Fig. 7</w:t>
      </w:r>
      <w:r>
        <w:rPr>
          <w:rFonts w:ascii="Times New Roman" w:cs="Times New Roman" w:eastAsia="Times New Roman" w:hAnsi="Times New Roman"/>
          <w:sz w:val="19"/>
          <w:szCs w:val="19"/>
        </w:rPr>
        <w:t xml:space="preserve">. Zero-shot versus calibrated accuracy for 16 deep models. (a) 62 electrodes. (b) Six electrodes (FP1, FP2, F7, F8, T7, T8). Points are means over 15 held-out participants (each averaged over three seeds); bars are 95% bootstrap confidence intervals; the grey segment joins the two protocols for each model. The dotted line marks chance (0.25).</w:t>
      </w:r>
    </w:p>
    <w:p>
      <w:pPr>
        <w:keepNext/>
        <w:spacing w:before="240"/>
        <w:jc w:val="center"/>
      </w:pPr>
      <w:r>
        <w:drawing>
          <wp:inline distT="0" distB="0" distL="0" distR="0">
            <wp:extent cx="6096000" cy="287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2876550"/>
                    </a:xfrm>
                    <a:prstGeom prst="rect">
                      <a:avLst/>
                    </a:prstGeom>
                  </pic:spPr>
                </pic:pic>
              </a:graphicData>
            </a:graphic>
          </wp:inline>
        </w:drawing>
      </w:r>
    </w:p>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Fig. 8</w:t>
      </w:r>
      <w:r>
        <w:rPr>
          <w:rFonts w:ascii="Times New Roman" w:cs="Times New Roman" w:eastAsia="Times New Roman" w:hAnsi="Times New Roman"/>
          <w:sz w:val="19"/>
          <w:szCs w:val="19"/>
        </w:rPr>
        <w:t xml:space="preserve">. Participant-level accuracy of CLISA-EWU with 62 and six electrodes. (a) Zero-shot. (b) After 20-window calibration. Each line is one held-out participant (mean of three seeds); black bars are means over participants. The dotted line marks chance (0.25).</w:t>
      </w:r>
    </w:p>
    <w:p>
      <w:pPr>
        <w:pStyle w:val="Heading2"/>
        <w:keepNext/>
        <w:spacing w:after="40" w:before="220"/>
        <w:ind w:left="1700"/>
      </w:pPr>
      <w:r>
        <w:rPr>
          <w:rFonts w:ascii="Arial" w:cs="Arial" w:eastAsia="Arial" w:hAnsi="Arial"/>
          <w:b/>
          <w:bCs/>
          <w:color w:val="000000"/>
          <w:sz w:val="21"/>
          <w:szCs w:val="21"/>
        </w:rPr>
        <w:t xml:space="preserve">4.3 Effect of few-shot calibration</w:t>
      </w:r>
    </w:p>
    <w:p>
      <w:pPr>
        <w:spacing w:after="0" w:line="252"/>
        <w:ind w:left="1700" w:firstLine="0"/>
        <w:jc w:val="both"/>
      </w:pPr>
      <w:r>
        <w:rPr>
          <w:rFonts w:ascii="Times New Roman" w:cs="Times New Roman" w:eastAsia="Times New Roman" w:hAnsi="Times New Roman"/>
          <w:sz w:val="20"/>
          <w:szCs w:val="20"/>
        </w:rPr>
        <w:t xml:space="preserve">Calibration with 20 labelled windows changed the ranking of models (Fig. 7, Table 5). Models trained with a contrastive, domain-adversarial or pseudo-label objective (CLISA-EWU, SimCLR, BYOL, DANN, PseudoLabel) gained 15.6–21.4 percentage points (MixMatch and the DANCE pair gained 9.4–25.0 points), whereas purely supervised networks gained 0.1–2.0 points under the identical calibration routine. After calibration CLISA-EWU had the highest mean accuracy with both montages: 0.678 (0.641–0.718) with 62 electrodes and 0.620 (0.590–0.648) with six (Fig. 9). The mechanism behind the objective-dependent gain is not established here; candidate explanations include adaptation of batch-normalisation statistics to the new participant</w:t>
      </w:r>
      <w:r>
        <w:rPr>
          <w:rFonts w:ascii="Times New Roman" w:cs="Times New Roman" w:eastAsia="Times New Roman" w:hAnsi="Times New Roman"/>
          <w:color w:val="1F4E9A"/>
          <w:sz w:val="20"/>
          <w:szCs w:val="20"/>
          <w:vertAlign w:val="superscript"/>
        </w:rPr>
        <w:t xml:space="preserve">45</w:t>
      </w:r>
      <w:r>
        <w:rPr>
          <w:rFonts w:ascii="Times New Roman" w:cs="Times New Roman" w:eastAsia="Times New Roman" w:hAnsi="Times New Roman"/>
          <w:sz w:val="20"/>
          <w:szCs w:val="20"/>
        </w:rPr>
        <w:t xml:space="preserve"> and differences in how sharply each objective fits the training participants </w:t>
      </w:r>
      <w:r>
        <w:rPr>
          <w:rFonts w:ascii="Times New Roman" w:cs="Times New Roman" w:eastAsia="Times New Roman" w:hAnsi="Times New Roman"/>
          <w:sz w:val="20"/>
          <w:szCs w:val="20"/>
          <w:highlight w:val="yellow"/>
          <w:highlightCs w:val="yellow"/>
        </w:rPr>
        <w:t xml:space="preserve">[pending ablation: calibrate batch-normalisation statistics only, the classifier only, and all parameters]</w:t>
      </w:r>
      <w:r>
        <w:rPr>
          <w:rFonts w:ascii="Times New Roman" w:cs="Times New Roman" w:eastAsia="Times New Roman" w:hAnsi="Times New Roman"/>
          <w:sz w:val="20"/>
          <w:szCs w:val="20"/>
        </w:rPr>
        <w:t xml:space="preserve">.</w:t>
      </w:r>
    </w:p>
    <w:p>
      <w:pPr>
        <w:keepNext/>
        <w:spacing w:before="240"/>
        <w:jc w:val="center"/>
      </w:pPr>
      <w:r>
        <w:drawing>
          <wp:inline distT="0" distB="0" distL="0" distR="0">
            <wp:extent cx="6096000" cy="440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4400550"/>
                    </a:xfrm>
                    <a:prstGeom prst="rect">
                      <a:avLst/>
                    </a:prstGeom>
                  </pic:spPr>
                </pic:pic>
              </a:graphicData>
            </a:graphic>
          </wp:inline>
        </w:drawing>
      </w:r>
    </w:p>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Fig. 9</w:t>
      </w:r>
      <w:r>
        <w:rPr>
          <w:rFonts w:ascii="Times New Roman" w:cs="Times New Roman" w:eastAsia="Times New Roman" w:hAnsi="Times New Roman"/>
          <w:sz w:val="19"/>
          <w:szCs w:val="19"/>
        </w:rPr>
        <w:t xml:space="preserve">. Run-level distribution of calibrated CLISA-EWU performance. Accuracy for each of the 45 runs (15 held-out participants × 3 seeds) with 62 and six electrodes. Horizontal lines mark the mean and range; stars mark the best single runs (85.35% and 78.63%), shown for completeness and not as estimates of expected performance. The axis label ‘balanced accuracy’ in this thesis figure denotes accuracy (see Methods).</w:t>
      </w:r>
    </w:p>
    <w:p>
      <w:pPr>
        <w:spacing w:after="0" w:line="252"/>
        <w:ind w:left="1700" w:firstLine="240"/>
        <w:jc w:val="both"/>
      </w:pPr>
      <w:r>
        <w:rPr>
          <w:rFonts w:ascii="Times New Roman" w:cs="Times New Roman" w:eastAsia="Times New Roman" w:hAnsi="Times New Roman"/>
          <w:sz w:val="20"/>
          <w:szCs w:val="20"/>
        </w:rPr>
        <w:t xml:space="preserve">In paired participant-level comparisons (Table 6, Fig. 10), calibrated CLISA-EWU outperformed BYOL (6.9 points, 5.2–8.5), SimCLR (10.3 points) and all supervised networks with 62 electrodes, for every one of the 15 participants. Its margin over PseudoLabel (2.1 points, 1.0–3.1; Holm p = 0.016) remained significant, but its margin over DANN (1.6 points, 0.6–2.6; Holm p = 0.062) did not. With six electrodes, CLISA-EWU, BYOL, PseudoLabel, SimCLR and DANN were statistically indistinguishable.</w:t>
      </w:r>
    </w:p>
    <w:p>
      <w:pPr>
        <w:spacing w:before="2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33"/>
        <w:gridCol w:w="2030"/>
        <w:gridCol w:w="812"/>
        <w:gridCol w:w="812"/>
        <w:gridCol w:w="812"/>
        <w:gridCol w:w="1015"/>
        <w:gridCol w:w="1015"/>
        <w:gridCol w:w="1017"/>
      </w:tblGrid>
      <w:tr>
        <w:trPr>
          <w:tblHeader/>
        </w:trPr>
        <w:tc>
          <w:tcPr>
            <w:tcW w:type="dxa" w:w="2233"/>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Comparison</w:t>
            </w:r>
          </w:p>
        </w:tc>
        <w:tc>
          <w:tcPr>
            <w:tcW w:type="dxa" w:w="2030"/>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Δ, points (95% CI)</w:t>
            </w:r>
          </w:p>
        </w:tc>
        <w:tc>
          <w:tcPr>
            <w:tcW w:type="dxa" w:w="812"/>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d</w:t>
            </w:r>
            <w:r>
              <w:rPr>
                <w:rFonts w:ascii="Times New Roman" w:cs="Times New Roman" w:eastAsia="Times New Roman" w:hAnsi="Times New Roman"/>
                <w:b/>
                <w:bCs/>
                <w:sz w:val="15"/>
                <w:szCs w:val="15"/>
                <w:vertAlign w:val="subscript"/>
              </w:rPr>
              <w:t xml:space="preserve">z</w:t>
            </w:r>
          </w:p>
        </w:tc>
        <w:tc>
          <w:tcPr>
            <w:tcW w:type="dxa" w:w="812"/>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r</w:t>
            </w:r>
            <w:r>
              <w:rPr>
                <w:rFonts w:ascii="Times New Roman" w:cs="Times New Roman" w:eastAsia="Times New Roman" w:hAnsi="Times New Roman"/>
                <w:b/>
                <w:bCs/>
                <w:sz w:val="15"/>
                <w:szCs w:val="15"/>
                <w:vertAlign w:val="subscript"/>
              </w:rPr>
              <w:t xml:space="preserve">rb</w:t>
            </w:r>
          </w:p>
        </w:tc>
        <w:tc>
          <w:tcPr>
            <w:tcW w:type="dxa" w:w="812"/>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Wins</w:t>
            </w:r>
          </w:p>
        </w:tc>
        <w:tc>
          <w:tcPr>
            <w:tcW w:type="dxa" w:w="1015"/>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t-test p</w:t>
            </w:r>
          </w:p>
        </w:tc>
        <w:tc>
          <w:tcPr>
            <w:tcW w:type="dxa" w:w="1015"/>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Wilcoxon p</w:t>
            </w:r>
          </w:p>
        </w:tc>
        <w:tc>
          <w:tcPr>
            <w:tcW w:type="dxa" w:w="1017"/>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Holm p</w:t>
            </w:r>
          </w:p>
        </w:tc>
      </w:tr>
      <w:tr>
        <w:trPr>
          <w:cantSplit/>
        </w:trPr>
        <w:tc>
          <w:tcPr>
            <w:tcW w:type="dxa" w:w="2233"/>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Calibrated, 62 electrodes</w:t>
            </w:r>
          </w:p>
        </w:tc>
        <w:tc>
          <w:tcPr>
            <w:tcW w:type="dxa" w:w="2030"/>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812"/>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812"/>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812"/>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1015"/>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1015"/>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1017"/>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r>
      <w:tr>
        <w:trPr>
          <w:cantSplit/>
        </w:trPr>
        <w:tc>
          <w:tcPr>
            <w:tcW w:type="dxa" w:w="22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vs DANN</w:t>
            </w:r>
          </w:p>
        </w:tc>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1.6 (0.7, 2.6)</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0.82</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0.72</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11/15</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0.007</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0.012</w:t>
            </w:r>
          </w:p>
        </w:tc>
        <w:tc>
          <w:tcPr>
            <w:tcW w:type="dxa" w:w="101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0.062</w:t>
            </w:r>
          </w:p>
        </w:tc>
      </w:tr>
      <w:tr>
        <w:trPr>
          <w:cantSplit/>
        </w:trPr>
        <w:tc>
          <w:tcPr>
            <w:tcW w:type="dxa" w:w="22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vs PseudoLabel</w:t>
            </w:r>
          </w:p>
        </w:tc>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2.1 (1.0, 3.1)</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0.98</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0.83</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13/15</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0.002</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0.003</w:t>
            </w:r>
          </w:p>
        </w:tc>
        <w:tc>
          <w:tcPr>
            <w:tcW w:type="dxa" w:w="101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0.016</w:t>
            </w:r>
          </w:p>
        </w:tc>
      </w:tr>
      <w:tr>
        <w:trPr>
          <w:cantSplit/>
        </w:trPr>
        <w:tc>
          <w:tcPr>
            <w:tcW w:type="dxa" w:w="22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vs BYOL</w:t>
            </w:r>
          </w:p>
        </w:tc>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6.9 (5.3, 8.6)</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2.04</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1.00</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15/15</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&lt;0.001</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&lt;0.001</w:t>
            </w:r>
          </w:p>
        </w:tc>
        <w:tc>
          <w:tcPr>
            <w:tcW w:type="dxa" w:w="101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&lt;0.001</w:t>
            </w:r>
          </w:p>
        </w:tc>
      </w:tr>
      <w:tr>
        <w:trPr>
          <w:cantSplit/>
        </w:trPr>
        <w:tc>
          <w:tcPr>
            <w:tcW w:type="dxa" w:w="22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vs SimCLR</w:t>
            </w:r>
          </w:p>
        </w:tc>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10.3 (8.4, 12.3)</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2.62</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1.00</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15/15</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&lt;0.001</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&lt;0.001</w:t>
            </w:r>
          </w:p>
        </w:tc>
        <w:tc>
          <w:tcPr>
            <w:tcW w:type="dxa" w:w="101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&lt;0.001</w:t>
            </w:r>
          </w:p>
        </w:tc>
      </w:tr>
      <w:tr>
        <w:trPr>
          <w:cantSplit/>
        </w:trPr>
        <w:tc>
          <w:tcPr>
            <w:tcW w:type="dxa" w:w="22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vs Two-layer perceptron</w:t>
            </w:r>
          </w:p>
        </w:tc>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18.2 (14.3, 22.0)</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2.33</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1.00</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15/15</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&lt;0.001</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&lt;0.001</w:t>
            </w:r>
          </w:p>
        </w:tc>
        <w:tc>
          <w:tcPr>
            <w:tcW w:type="dxa" w:w="101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&lt;0.001</w:t>
            </w:r>
          </w:p>
        </w:tc>
      </w:tr>
      <w:tr>
        <w:trPr>
          <w:cantSplit/>
        </w:trPr>
        <w:tc>
          <w:tcPr>
            <w:tcW w:type="dxa" w:w="22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vs Deep perceptron</w:t>
            </w:r>
          </w:p>
        </w:tc>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18.6 (14.1, 22.9)</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2.07</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1.00</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15/15</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&lt;0.001</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&lt;0.001</w:t>
            </w:r>
          </w:p>
        </w:tc>
        <w:tc>
          <w:tcPr>
            <w:tcW w:type="dxa" w:w="101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&lt;0.001</w:t>
            </w:r>
          </w:p>
        </w:tc>
      </w:tr>
      <w:tr>
        <w:trPr>
          <w:cantSplit/>
        </w:trPr>
        <w:tc>
          <w:tcPr>
            <w:tcW w:type="dxa" w:w="22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vs EEG Conformer</w:t>
            </w:r>
          </w:p>
        </w:tc>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21.9 (17.6, 26.4)</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2.42</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1.00</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15/15</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&lt;0.001</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&lt;0.001</w:t>
            </w:r>
          </w:p>
        </w:tc>
        <w:tc>
          <w:tcPr>
            <w:tcW w:type="dxa" w:w="101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&lt;0.001</w:t>
            </w:r>
          </w:p>
        </w:tc>
      </w:tr>
      <w:tr>
        <w:trPr>
          <w:cantSplit/>
        </w:trPr>
        <w:tc>
          <w:tcPr>
            <w:tcW w:type="dxa" w:w="2233"/>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Calibrated, six electrodes</w:t>
            </w:r>
          </w:p>
        </w:tc>
        <w:tc>
          <w:tcPr>
            <w:tcW w:type="dxa" w:w="2030"/>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812"/>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812"/>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812"/>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1015"/>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1015"/>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1017"/>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r>
      <w:tr>
        <w:trPr>
          <w:cantSplit/>
        </w:trPr>
        <w:tc>
          <w:tcPr>
            <w:tcW w:type="dxa" w:w="22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vs DANN</w:t>
            </w:r>
          </w:p>
        </w:tc>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3.0 (0.9, 5.0)</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0.70</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0.67</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11/15</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0.017</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0.022</w:t>
            </w:r>
          </w:p>
        </w:tc>
        <w:tc>
          <w:tcPr>
            <w:tcW w:type="dxa" w:w="101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0.086</w:t>
            </w:r>
          </w:p>
        </w:tc>
      </w:tr>
      <w:tr>
        <w:trPr>
          <w:cantSplit/>
        </w:trPr>
        <w:tc>
          <w:tcPr>
            <w:tcW w:type="dxa" w:w="22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vs PseudoLabel</w:t>
            </w:r>
          </w:p>
        </w:tc>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1.0 (−0.7, 2.7)</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0.28</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0.30</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9/15</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0.300</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0.330</w:t>
            </w:r>
          </w:p>
        </w:tc>
        <w:tc>
          <w:tcPr>
            <w:tcW w:type="dxa" w:w="101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0.688</w:t>
            </w:r>
          </w:p>
        </w:tc>
      </w:tr>
      <w:tr>
        <w:trPr>
          <w:cantSplit/>
        </w:trPr>
        <w:tc>
          <w:tcPr>
            <w:tcW w:type="dxa" w:w="22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vs BYOL</w:t>
            </w:r>
          </w:p>
        </w:tc>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0.7 (−1.8, 3.4)</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0.14</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0.13</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8/15</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0.591</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0.679</w:t>
            </w:r>
          </w:p>
        </w:tc>
        <w:tc>
          <w:tcPr>
            <w:tcW w:type="dxa" w:w="101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0.688</w:t>
            </w:r>
          </w:p>
        </w:tc>
      </w:tr>
      <w:tr>
        <w:trPr>
          <w:cantSplit/>
        </w:trPr>
        <w:tc>
          <w:tcPr>
            <w:tcW w:type="dxa" w:w="22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vs SimCLR</w:t>
            </w:r>
          </w:p>
        </w:tc>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1.8 (−1.2, 4.7)</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0.30</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0.37</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10/15</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0.266</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0.229</w:t>
            </w:r>
          </w:p>
        </w:tc>
        <w:tc>
          <w:tcPr>
            <w:tcW w:type="dxa" w:w="101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0.688</w:t>
            </w:r>
          </w:p>
        </w:tc>
      </w:tr>
      <w:tr>
        <w:trPr>
          <w:cantSplit/>
        </w:trPr>
        <w:tc>
          <w:tcPr>
            <w:tcW w:type="dxa" w:w="22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vs Two-layer perceptron</w:t>
            </w:r>
          </w:p>
        </w:tc>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20.8 (17.0, 24.9)</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2.58</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1.00</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15/15</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&lt;0.001</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&lt;0.001</w:t>
            </w:r>
          </w:p>
        </w:tc>
        <w:tc>
          <w:tcPr>
            <w:tcW w:type="dxa" w:w="101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&lt;0.001</w:t>
            </w:r>
          </w:p>
        </w:tc>
      </w:tr>
      <w:tr>
        <w:trPr>
          <w:cantSplit/>
        </w:trPr>
        <w:tc>
          <w:tcPr>
            <w:tcW w:type="dxa" w:w="22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vs Deep perceptron</w:t>
            </w:r>
          </w:p>
        </w:tc>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21.9 (18.6, 25.5)</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3.07</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1.00</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15/15</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&lt;0.001</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&lt;0.001</w:t>
            </w:r>
          </w:p>
        </w:tc>
        <w:tc>
          <w:tcPr>
            <w:tcW w:type="dxa" w:w="101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&lt;0.001</w:t>
            </w:r>
          </w:p>
        </w:tc>
      </w:tr>
      <w:tr>
        <w:trPr>
          <w:cantSplit/>
        </w:trPr>
        <w:tc>
          <w:tcPr>
            <w:tcW w:type="dxa" w:w="22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vs EEG Conformer</w:t>
            </w:r>
          </w:p>
        </w:tc>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25.9 (22.6, 29.4)</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3.61</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1.00</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15/15</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&lt;0.001</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&lt;0.001</w:t>
            </w:r>
          </w:p>
        </w:tc>
        <w:tc>
          <w:tcPr>
            <w:tcW w:type="dxa" w:w="101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&lt;0.001</w:t>
            </w:r>
          </w:p>
        </w:tc>
      </w:tr>
      <w:tr>
        <w:trPr>
          <w:cantSplit/>
        </w:trPr>
        <w:tc>
          <w:tcPr>
            <w:tcW w:type="dxa" w:w="2233"/>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Zero-shot, 62 electrodes</w:t>
            </w:r>
          </w:p>
        </w:tc>
        <w:tc>
          <w:tcPr>
            <w:tcW w:type="dxa" w:w="2030"/>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812"/>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812"/>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812"/>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1015"/>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1015"/>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1017"/>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r>
      <w:tr>
        <w:trPr>
          <w:cantSplit/>
        </w:trPr>
        <w:tc>
          <w:tcPr>
            <w:tcW w:type="dxa" w:w="22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vs DANN</w:t>
            </w:r>
          </w:p>
        </w:tc>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2.7 (1.0, 4.3)</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0.80</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0.73</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12/15</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0.008</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0.010</w:t>
            </w:r>
          </w:p>
        </w:tc>
        <w:tc>
          <w:tcPr>
            <w:tcW w:type="dxa" w:w="101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0.123</w:t>
            </w:r>
          </w:p>
        </w:tc>
      </w:tr>
      <w:tr>
        <w:trPr>
          <w:cantSplit/>
        </w:trPr>
        <w:tc>
          <w:tcPr>
            <w:tcW w:type="dxa" w:w="22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vs PseudoLabel</w:t>
            </w:r>
          </w:p>
        </w:tc>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1.7 (−0.1, 3.5)</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0.46</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0.43</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8/15</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0.099</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0.151</w:t>
            </w:r>
          </w:p>
        </w:tc>
        <w:tc>
          <w:tcPr>
            <w:tcW w:type="dxa" w:w="101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1.000</w:t>
            </w:r>
          </w:p>
        </w:tc>
      </w:tr>
      <w:tr>
        <w:trPr>
          <w:cantSplit/>
        </w:trPr>
        <w:tc>
          <w:tcPr>
            <w:tcW w:type="dxa" w:w="22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vs BYOL</w:t>
            </w:r>
          </w:p>
        </w:tc>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5.4 (1.1, 9.7)</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0.62</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0.58</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11/15</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0.032</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0.048</w:t>
            </w:r>
          </w:p>
        </w:tc>
        <w:tc>
          <w:tcPr>
            <w:tcW w:type="dxa" w:w="101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0.527</w:t>
            </w:r>
          </w:p>
        </w:tc>
      </w:tr>
      <w:tr>
        <w:trPr>
          <w:cantSplit/>
        </w:trPr>
        <w:tc>
          <w:tcPr>
            <w:tcW w:type="dxa" w:w="22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vs SimCLR</w:t>
            </w:r>
          </w:p>
        </w:tc>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7.5 (2.8, 12.3)</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0.76</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0.75</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13/15</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0.010</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0.008</w:t>
            </w:r>
          </w:p>
        </w:tc>
        <w:tc>
          <w:tcPr>
            <w:tcW w:type="dxa" w:w="101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0.109</w:t>
            </w:r>
          </w:p>
        </w:tc>
      </w:tr>
      <w:tr>
        <w:trPr>
          <w:cantSplit/>
        </w:trPr>
        <w:tc>
          <w:tcPr>
            <w:tcW w:type="dxa" w:w="22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vs Two-layer perceptron</w:t>
            </w:r>
          </w:p>
        </w:tc>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0.8 (−0.5, 2.1)</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0.31</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0.35</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10/15</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0.243</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0.252</w:t>
            </w:r>
          </w:p>
        </w:tc>
        <w:tc>
          <w:tcPr>
            <w:tcW w:type="dxa" w:w="101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1.000</w:t>
            </w:r>
          </w:p>
        </w:tc>
      </w:tr>
      <w:tr>
        <w:trPr>
          <w:cantSplit/>
        </w:trPr>
        <w:tc>
          <w:tcPr>
            <w:tcW w:type="dxa" w:w="22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vs Deep perceptron</w:t>
            </w:r>
          </w:p>
        </w:tc>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0.6 (−0.9, 2.2)</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0.19</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0.15</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7/15</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0.465</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0.639</w:t>
            </w:r>
          </w:p>
        </w:tc>
        <w:tc>
          <w:tcPr>
            <w:tcW w:type="dxa" w:w="101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1.000</w:t>
            </w:r>
          </w:p>
        </w:tc>
      </w:tr>
      <w:tr>
        <w:trPr>
          <w:cantSplit/>
        </w:trPr>
        <w:tc>
          <w:tcPr>
            <w:tcW w:type="dxa" w:w="22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vs EEG Conformer</w:t>
            </w:r>
          </w:p>
        </w:tc>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3.2 (−0.1, 6.7)</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0.45</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0.45</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9/15</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0.102</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0.135</w:t>
            </w:r>
          </w:p>
        </w:tc>
        <w:tc>
          <w:tcPr>
            <w:tcW w:type="dxa" w:w="101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1.000</w:t>
            </w:r>
          </w:p>
        </w:tc>
      </w:tr>
      <w:tr>
        <w:trPr>
          <w:cantSplit/>
        </w:trPr>
        <w:tc>
          <w:tcPr>
            <w:tcW w:type="dxa" w:w="2233"/>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Zero-shot, six electrodes</w:t>
            </w:r>
          </w:p>
        </w:tc>
        <w:tc>
          <w:tcPr>
            <w:tcW w:type="dxa" w:w="2030"/>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812"/>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812"/>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812"/>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1015"/>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1015"/>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1017"/>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r>
      <w:tr>
        <w:trPr>
          <w:cantSplit/>
        </w:trPr>
        <w:tc>
          <w:tcPr>
            <w:tcW w:type="dxa" w:w="22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vs DANN</w:t>
            </w:r>
          </w:p>
        </w:tc>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0.9 (−1.4, 3.3)</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0.19</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0.15</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9/15</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0.472</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0.639</w:t>
            </w:r>
          </w:p>
        </w:tc>
        <w:tc>
          <w:tcPr>
            <w:tcW w:type="dxa" w:w="101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1.000</w:t>
            </w:r>
          </w:p>
        </w:tc>
      </w:tr>
      <w:tr>
        <w:trPr>
          <w:cantSplit/>
        </w:trPr>
        <w:tc>
          <w:tcPr>
            <w:tcW w:type="dxa" w:w="22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vs PseudoLabel</w:t>
            </w:r>
          </w:p>
        </w:tc>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0.1 (−1.7, 1.9)</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0.02</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0.03</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8/15</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0.936</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0.934</w:t>
            </w:r>
          </w:p>
        </w:tc>
        <w:tc>
          <w:tcPr>
            <w:tcW w:type="dxa" w:w="101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1.000</w:t>
            </w:r>
          </w:p>
        </w:tc>
      </w:tr>
      <w:tr>
        <w:trPr>
          <w:cantSplit/>
        </w:trPr>
        <w:tc>
          <w:tcPr>
            <w:tcW w:type="dxa" w:w="22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vs BYOL</w:t>
            </w:r>
          </w:p>
        </w:tc>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−3.5 (−7.1, 0.2)</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−0.46</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−0.45</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5/15</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0.096</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0.135</w:t>
            </w:r>
          </w:p>
        </w:tc>
        <w:tc>
          <w:tcPr>
            <w:tcW w:type="dxa" w:w="101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1.000</w:t>
            </w:r>
          </w:p>
        </w:tc>
      </w:tr>
      <w:tr>
        <w:trPr>
          <w:cantSplit/>
        </w:trPr>
        <w:tc>
          <w:tcPr>
            <w:tcW w:type="dxa" w:w="22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vs SimCLR</w:t>
            </w:r>
          </w:p>
        </w:tc>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−4.1 (−8.7, 0.3)</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−0.45</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−0.48</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7/15</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0.105</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0.107</w:t>
            </w:r>
          </w:p>
        </w:tc>
        <w:tc>
          <w:tcPr>
            <w:tcW w:type="dxa" w:w="101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1.000</w:t>
            </w:r>
          </w:p>
        </w:tc>
      </w:tr>
      <w:tr>
        <w:trPr>
          <w:cantSplit/>
        </w:trPr>
        <w:tc>
          <w:tcPr>
            <w:tcW w:type="dxa" w:w="22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vs Two-layer perceptron</w:t>
            </w:r>
          </w:p>
        </w:tc>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0.5 (−1.1, 2.3)</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0.14</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0.03</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6/15</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0.597</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0.934</w:t>
            </w:r>
          </w:p>
        </w:tc>
        <w:tc>
          <w:tcPr>
            <w:tcW w:type="dxa" w:w="101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1.000</w:t>
            </w:r>
          </w:p>
        </w:tc>
      </w:tr>
      <w:tr>
        <w:trPr>
          <w:cantSplit/>
        </w:trPr>
        <w:tc>
          <w:tcPr>
            <w:tcW w:type="dxa" w:w="22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vs Deep perceptron</w:t>
            </w:r>
          </w:p>
        </w:tc>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0.8 (−0.9, 2.6)</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0.21</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0.17</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9/15</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0.419</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0.599</w:t>
            </w:r>
          </w:p>
        </w:tc>
        <w:tc>
          <w:tcPr>
            <w:tcW w:type="dxa" w:w="101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1.000</w:t>
            </w:r>
          </w:p>
        </w:tc>
      </w:tr>
      <w:tr>
        <w:trPr>
          <w:cantSplit/>
        </w:trPr>
        <w:tc>
          <w:tcPr>
            <w:tcW w:type="dxa" w:w="22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vs EEG Conformer</w:t>
            </w:r>
          </w:p>
        </w:tc>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5.3 (3.5, 7.2)</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1.38</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1.00</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15/15</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&lt;0.001</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&lt;0.001</w:t>
            </w:r>
          </w:p>
        </w:tc>
        <w:tc>
          <w:tcPr>
            <w:tcW w:type="dxa" w:w="101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&lt;0.001</w:t>
            </w:r>
          </w:p>
        </w:tc>
      </w:tr>
    </w:tbl>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Table 6</w:t>
      </w:r>
      <w:r>
        <w:rPr>
          <w:rFonts w:ascii="Times New Roman" w:cs="Times New Roman" w:eastAsia="Times New Roman" w:hAnsi="Times New Roman"/>
          <w:sz w:val="19"/>
          <w:szCs w:val="19"/>
        </w:rPr>
        <w:t xml:space="preserve">. Paired participant-level comparisons of CLISA-EWU with other models. Δ = CLISA-EWU minus comparator in percentage points of accuracy (95% bootstrap CI); d</w:t>
      </w:r>
      <w:r>
        <w:rPr>
          <w:rFonts w:ascii="Times New Roman" w:cs="Times New Roman" w:eastAsia="Times New Roman" w:hAnsi="Times New Roman"/>
          <w:sz w:val="19"/>
          <w:szCs w:val="19"/>
          <w:vertAlign w:val="subscript"/>
        </w:rPr>
        <w:t xml:space="preserve">z</w:t>
      </w:r>
      <w:r>
        <w:rPr>
          <w:rFonts w:ascii="Times New Roman" w:cs="Times New Roman" w:eastAsia="Times New Roman" w:hAnsi="Times New Roman"/>
          <w:sz w:val="19"/>
          <w:szCs w:val="19"/>
        </w:rPr>
        <w:t xml:space="preserve"> = Cohen’s paired effect size; r</w:t>
      </w:r>
      <w:r>
        <w:rPr>
          <w:rFonts w:ascii="Times New Roman" w:cs="Times New Roman" w:eastAsia="Times New Roman" w:hAnsi="Times New Roman"/>
          <w:sz w:val="19"/>
          <w:szCs w:val="19"/>
          <w:vertAlign w:val="subscript"/>
        </w:rPr>
        <w:t xml:space="preserve">rb</w:t>
      </w:r>
      <w:r>
        <w:rPr>
          <w:rFonts w:ascii="Times New Roman" w:cs="Times New Roman" w:eastAsia="Times New Roman" w:hAnsi="Times New Roman"/>
          <w:sz w:val="19"/>
          <w:szCs w:val="19"/>
        </w:rPr>
        <w:t xml:space="preserve"> = matched-pairs rank-biserial correlation; wins = participants favouring CLISA-EWU; p values from paired t-tests, Wilcoxon signed-rank tests and Holm adjustment (14 comparisons per protocol).</w:t>
      </w:r>
    </w:p>
    <w:p>
      <w:pPr>
        <w:keepNext/>
        <w:spacing w:before="240"/>
        <w:jc w:val="center"/>
      </w:pPr>
      <w:r>
        <w:drawing>
          <wp:inline distT="0" distB="0" distL="0" distR="0">
            <wp:extent cx="6096000" cy="2705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2705100"/>
                    </a:xfrm>
                    <a:prstGeom prst="rect">
                      <a:avLst/>
                    </a:prstGeom>
                  </pic:spPr>
                </pic:pic>
              </a:graphicData>
            </a:graphic>
          </wp:inline>
        </w:drawing>
      </w:r>
    </w:p>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Fig. 10</w:t>
      </w:r>
      <w:r>
        <w:rPr>
          <w:rFonts w:ascii="Times New Roman" w:cs="Times New Roman" w:eastAsia="Times New Roman" w:hAnsi="Times New Roman"/>
          <w:sz w:val="19"/>
          <w:szCs w:val="19"/>
        </w:rPr>
        <w:t xml:space="preserve">. Paired participant-level comparisons of calibrated CLISA-EWU with other models. Differences in accuracy (CLISA-EWU minus comparator, percentage points) with 95% bootstrap confidence intervals for (a) 62 and (b) six electrodes. Filled markers: Holm-adjusted Wilcoxon p &lt; 0.05 (14 comparisons). This figure replaces a Welch t-test on run-level summaries, which treated 45 runs from 15 participants as independent.</w:t>
      </w:r>
    </w:p>
    <w:p>
      <w:pPr>
        <w:pStyle w:val="Heading2"/>
        <w:keepNext/>
        <w:spacing w:after="40" w:before="220"/>
        <w:ind w:left="1700"/>
      </w:pPr>
      <w:r>
        <w:rPr>
          <w:rFonts w:ascii="Arial" w:cs="Arial" w:eastAsia="Arial" w:hAnsi="Arial"/>
          <w:b/>
          <w:bCs/>
          <w:color w:val="000000"/>
          <w:sz w:val="21"/>
          <w:szCs w:val="21"/>
        </w:rPr>
        <w:t xml:space="preserve">4.4 Ranking across participants</w:t>
      </w:r>
    </w:p>
    <w:p>
      <w:pPr>
        <w:spacing w:after="0" w:line="252"/>
        <w:ind w:left="1700" w:firstLine="0"/>
        <w:jc w:val="both"/>
      </w:pPr>
      <w:r>
        <w:rPr>
          <w:rFonts w:ascii="Times New Roman" w:cs="Times New Roman" w:eastAsia="Times New Roman" w:hAnsi="Times New Roman"/>
          <w:sz w:val="20"/>
          <w:szCs w:val="20"/>
        </w:rPr>
        <w:t xml:space="preserve">Friedman tests showed significant differences among the 15 deep models in every montage and protocol (Table 7; all p &lt; 0.001). Agreement between participants on the ordering of models was weak zero-shot (Kendall’s W = 0.35 for both montages) but strong after calibration (W = 0.79 and 0.77), so calibration made the ranking consistent across people (Fig. 11). After calibration, CLISA-EWU had the best average rank with 62 electrodes (1.40) and with six (2.67). The Nemenyi critical difference for 15 models and 15 participants was 5.54 ranks; by this conservative criterion, calibrated CLISA-EWU was distinguishable from every supervised network, MixMatch and the DANCE pair, but not from DANN (2.40), PseudoLabel (2.53), BYOL (4.07) or SimCLR (5.80) with 62 electrodes. Zero-shot, CLISA-EWU ranked first with 62 electrodes (4.53), but the deep and two-layer perceptrons were within 0.4 ranks of it, and with six electrodes it ranked third (5.93) behind BYOL (4.13) and SimCLR (4.87).</w:t>
      </w:r>
    </w:p>
    <w:p>
      <w:pPr>
        <w:spacing w:before="2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609"/>
        <w:gridCol w:w="1340"/>
        <w:gridCol w:w="487"/>
        <w:gridCol w:w="487"/>
        <w:gridCol w:w="852"/>
        <w:gridCol w:w="852"/>
        <w:gridCol w:w="730"/>
        <w:gridCol w:w="730"/>
        <w:gridCol w:w="2436"/>
        <w:gridCol w:w="1223"/>
      </w:tblGrid>
      <w:tr>
        <w:trPr>
          <w:tblHeader/>
        </w:trPr>
        <w:tc>
          <w:tcPr>
            <w:tcW w:type="dxa" w:w="609"/>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Ch</w:t>
            </w:r>
          </w:p>
        </w:tc>
        <w:tc>
          <w:tcPr>
            <w:tcW w:type="dxa" w:w="1340"/>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Protocol</w:t>
            </w:r>
          </w:p>
        </w:tc>
        <w:tc>
          <w:tcPr>
            <w:tcW w:type="dxa" w:w="487"/>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k</w:t>
            </w:r>
          </w:p>
        </w:tc>
        <w:tc>
          <w:tcPr>
            <w:tcW w:type="dxa" w:w="487"/>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n</w:t>
            </w:r>
          </w:p>
        </w:tc>
        <w:tc>
          <w:tcPr>
            <w:tcW w:type="dxa" w:w="852"/>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χ²</w:t>
            </w:r>
            <w:r>
              <w:rPr>
                <w:rFonts w:ascii="Times New Roman" w:cs="Times New Roman" w:eastAsia="Times New Roman" w:hAnsi="Times New Roman"/>
                <w:b/>
                <w:bCs/>
                <w:sz w:val="15"/>
                <w:szCs w:val="15"/>
                <w:vertAlign w:val="subscript"/>
              </w:rPr>
              <w:t xml:space="preserve">F</w:t>
            </w:r>
          </w:p>
        </w:tc>
        <w:tc>
          <w:tcPr>
            <w:tcW w:type="dxa" w:w="852"/>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p</w:t>
            </w:r>
          </w:p>
        </w:tc>
        <w:tc>
          <w:tcPr>
            <w:tcW w:type="dxa" w:w="730"/>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W</w:t>
            </w:r>
          </w:p>
        </w:tc>
        <w:tc>
          <w:tcPr>
            <w:tcW w:type="dxa" w:w="730"/>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CD</w:t>
            </w:r>
          </w:p>
        </w:tc>
        <w:tc>
          <w:tcPr>
            <w:tcW w:type="dxa" w:w="2436"/>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Best model (rank)</w:t>
            </w:r>
          </w:p>
        </w:tc>
        <w:tc>
          <w:tcPr>
            <w:tcW w:type="dxa" w:w="1223"/>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CLISA-EWU rank</w:t>
            </w:r>
          </w:p>
        </w:tc>
      </w:tr>
      <w:tr>
        <w:trPr>
          <w:cantSplit/>
        </w:trPr>
        <w:tc>
          <w:tcPr>
            <w:tcW w:type="dxa" w:w="60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62</w:t>
            </w:r>
          </w:p>
        </w:tc>
        <w:tc>
          <w:tcPr>
            <w:tcW w:type="dxa" w:w="134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Zero-shot</w:t>
            </w:r>
          </w:p>
        </w:tc>
        <w:tc>
          <w:tcPr>
            <w:tcW w:type="dxa" w:w="48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15</w:t>
            </w:r>
          </w:p>
        </w:tc>
        <w:tc>
          <w:tcPr>
            <w:tcW w:type="dxa" w:w="48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15</w:t>
            </w:r>
          </w:p>
        </w:tc>
        <w:tc>
          <w:tcPr>
            <w:tcW w:type="dxa" w:w="85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72.6</w:t>
            </w:r>
          </w:p>
        </w:tc>
        <w:tc>
          <w:tcPr>
            <w:tcW w:type="dxa" w:w="85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&lt;0.001</w:t>
            </w:r>
          </w:p>
        </w:tc>
        <w:tc>
          <w:tcPr>
            <w:tcW w:type="dxa" w:w="7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0.35</w:t>
            </w:r>
          </w:p>
        </w:tc>
        <w:tc>
          <w:tcPr>
            <w:tcW w:type="dxa" w:w="7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5.54</w:t>
            </w:r>
          </w:p>
        </w:tc>
        <w:tc>
          <w:tcPr>
            <w:tcW w:type="dxa" w:w="2436"/>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CLISA-EWU (4.53)</w:t>
            </w:r>
          </w:p>
        </w:tc>
        <w:tc>
          <w:tcPr>
            <w:tcW w:type="dxa" w:w="122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4.53</w:t>
            </w:r>
          </w:p>
        </w:tc>
      </w:tr>
      <w:tr>
        <w:trPr>
          <w:cantSplit/>
        </w:trPr>
        <w:tc>
          <w:tcPr>
            <w:tcW w:type="dxa" w:w="60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62</w:t>
            </w:r>
          </w:p>
        </w:tc>
        <w:tc>
          <w:tcPr>
            <w:tcW w:type="dxa" w:w="134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Calibrated</w:t>
            </w:r>
          </w:p>
        </w:tc>
        <w:tc>
          <w:tcPr>
            <w:tcW w:type="dxa" w:w="48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15</w:t>
            </w:r>
          </w:p>
        </w:tc>
        <w:tc>
          <w:tcPr>
            <w:tcW w:type="dxa" w:w="48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15</w:t>
            </w:r>
          </w:p>
        </w:tc>
        <w:tc>
          <w:tcPr>
            <w:tcW w:type="dxa" w:w="85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164.9</w:t>
            </w:r>
          </w:p>
        </w:tc>
        <w:tc>
          <w:tcPr>
            <w:tcW w:type="dxa" w:w="85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&lt;0.001</w:t>
            </w:r>
          </w:p>
        </w:tc>
        <w:tc>
          <w:tcPr>
            <w:tcW w:type="dxa" w:w="7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0.79</w:t>
            </w:r>
          </w:p>
        </w:tc>
        <w:tc>
          <w:tcPr>
            <w:tcW w:type="dxa" w:w="7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5.54</w:t>
            </w:r>
          </w:p>
        </w:tc>
        <w:tc>
          <w:tcPr>
            <w:tcW w:type="dxa" w:w="2436"/>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CLISA-EWU (1.40)</w:t>
            </w:r>
          </w:p>
        </w:tc>
        <w:tc>
          <w:tcPr>
            <w:tcW w:type="dxa" w:w="122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1.40</w:t>
            </w:r>
          </w:p>
        </w:tc>
      </w:tr>
      <w:tr>
        <w:trPr>
          <w:cantSplit/>
        </w:trPr>
        <w:tc>
          <w:tcPr>
            <w:tcW w:type="dxa" w:w="60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6</w:t>
            </w:r>
          </w:p>
        </w:tc>
        <w:tc>
          <w:tcPr>
            <w:tcW w:type="dxa" w:w="134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Zero-shot</w:t>
            </w:r>
          </w:p>
        </w:tc>
        <w:tc>
          <w:tcPr>
            <w:tcW w:type="dxa" w:w="48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15</w:t>
            </w:r>
          </w:p>
        </w:tc>
        <w:tc>
          <w:tcPr>
            <w:tcW w:type="dxa" w:w="48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15</w:t>
            </w:r>
          </w:p>
        </w:tc>
        <w:tc>
          <w:tcPr>
            <w:tcW w:type="dxa" w:w="85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74.5</w:t>
            </w:r>
          </w:p>
        </w:tc>
        <w:tc>
          <w:tcPr>
            <w:tcW w:type="dxa" w:w="85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&lt;0.001</w:t>
            </w:r>
          </w:p>
        </w:tc>
        <w:tc>
          <w:tcPr>
            <w:tcW w:type="dxa" w:w="7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0.35</w:t>
            </w:r>
          </w:p>
        </w:tc>
        <w:tc>
          <w:tcPr>
            <w:tcW w:type="dxa" w:w="7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5.54</w:t>
            </w:r>
          </w:p>
        </w:tc>
        <w:tc>
          <w:tcPr>
            <w:tcW w:type="dxa" w:w="2436"/>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BYOL (4.13)</w:t>
            </w:r>
          </w:p>
        </w:tc>
        <w:tc>
          <w:tcPr>
            <w:tcW w:type="dxa" w:w="122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5.93</w:t>
            </w:r>
          </w:p>
        </w:tc>
      </w:tr>
      <w:tr>
        <w:trPr>
          <w:cantSplit/>
        </w:trPr>
        <w:tc>
          <w:tcPr>
            <w:tcW w:type="dxa" w:w="60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6</w:t>
            </w:r>
          </w:p>
        </w:tc>
        <w:tc>
          <w:tcPr>
            <w:tcW w:type="dxa" w:w="134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Calibrated</w:t>
            </w:r>
          </w:p>
        </w:tc>
        <w:tc>
          <w:tcPr>
            <w:tcW w:type="dxa" w:w="48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15</w:t>
            </w:r>
          </w:p>
        </w:tc>
        <w:tc>
          <w:tcPr>
            <w:tcW w:type="dxa" w:w="48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15</w:t>
            </w:r>
          </w:p>
        </w:tc>
        <w:tc>
          <w:tcPr>
            <w:tcW w:type="dxa" w:w="85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161.4</w:t>
            </w:r>
          </w:p>
        </w:tc>
        <w:tc>
          <w:tcPr>
            <w:tcW w:type="dxa" w:w="85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&lt;0.001</w:t>
            </w:r>
          </w:p>
        </w:tc>
        <w:tc>
          <w:tcPr>
            <w:tcW w:type="dxa" w:w="7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0.77</w:t>
            </w:r>
          </w:p>
        </w:tc>
        <w:tc>
          <w:tcPr>
            <w:tcW w:type="dxa" w:w="7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5.54</w:t>
            </w:r>
          </w:p>
        </w:tc>
        <w:tc>
          <w:tcPr>
            <w:tcW w:type="dxa" w:w="2436"/>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CLISA-EWU (2.67)</w:t>
            </w:r>
          </w:p>
        </w:tc>
        <w:tc>
          <w:tcPr>
            <w:tcW w:type="dxa" w:w="122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2.67</w:t>
            </w:r>
          </w:p>
        </w:tc>
      </w:tr>
    </w:tbl>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Table 7</w:t>
      </w:r>
      <w:r>
        <w:rPr>
          <w:rFonts w:ascii="Times New Roman" w:cs="Times New Roman" w:eastAsia="Times New Roman" w:hAnsi="Times New Roman"/>
          <w:sz w:val="19"/>
          <w:szCs w:val="19"/>
        </w:rPr>
        <w:t xml:space="preserve">. Friedman tests across the 15 deep models of each montage (k models, n participants) with Kendall’s W, the Nemenyi critical difference (CD, α = 0.05), the best-ranked model and the average rank of CLISA-EWU.</w:t>
      </w:r>
    </w:p>
    <w:p>
      <w:pPr>
        <w:keepNext/>
        <w:spacing w:before="240"/>
        <w:jc w:val="center"/>
      </w:pPr>
      <w:r>
        <w:drawing>
          <wp:inline distT="0" distB="0" distL="0" distR="0">
            <wp:extent cx="600075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00750" cy="5334000"/>
                    </a:xfrm>
                    <a:prstGeom prst="rect">
                      <a:avLst/>
                    </a:prstGeom>
                  </pic:spPr>
                </pic:pic>
              </a:graphicData>
            </a:graphic>
          </wp:inline>
        </w:drawing>
      </w:r>
    </w:p>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Fig. 11</w:t>
      </w:r>
      <w:r>
        <w:rPr>
          <w:rFonts w:ascii="Times New Roman" w:cs="Times New Roman" w:eastAsia="Times New Roman" w:hAnsi="Times New Roman"/>
          <w:sz w:val="19"/>
          <w:szCs w:val="19"/>
        </w:rPr>
        <w:t xml:space="preserve">. Average ranks of the deep models across participants. Friedman average rank of each model over the 15 held-out participants (1 = best) for (a) 62 electrodes zero-shot, (b) 62 electrodes calibrated, (c) six electrodes zero-shot and (d) six electrodes calibrated. The shaded band extends one Nemenyi critical difference (CD = 5.54) from the best model; models inside it are not significantly different from the best at α = 0.05. CLISA-EWU is shown in orange.</w:t>
      </w:r>
    </w:p>
    <w:p>
      <w:pPr>
        <w:pStyle w:val="Heading2"/>
        <w:keepNext/>
        <w:spacing w:after="40" w:before="220"/>
        <w:ind w:left="1700"/>
      </w:pPr>
      <w:r>
        <w:rPr>
          <w:rFonts w:ascii="Arial" w:cs="Arial" w:eastAsia="Arial" w:hAnsi="Arial"/>
          <w:b/>
          <w:bCs/>
          <w:color w:val="000000"/>
          <w:sz w:val="21"/>
          <w:szCs w:val="21"/>
        </w:rPr>
        <w:t xml:space="preserve">4.5 Effect sizes</w:t>
      </w:r>
    </w:p>
    <w:p>
      <w:pPr>
        <w:spacing w:after="0" w:line="252"/>
        <w:ind w:left="1700" w:firstLine="0"/>
        <w:jc w:val="both"/>
      </w:pPr>
      <w:r>
        <w:rPr>
          <w:rFonts w:ascii="Times New Roman" w:cs="Times New Roman" w:eastAsia="Times New Roman" w:hAnsi="Times New Roman"/>
          <w:sz w:val="20"/>
          <w:szCs w:val="20"/>
        </w:rPr>
        <w:t xml:space="preserve">Paired effect sizes (Table 6) separate statistical from practical significance. After calibration with 62 electrodes, the advantage of CLISA-EWU over BYOL and SimCLR was very large (</w:t>
      </w:r>
      <w:r>
        <w:rPr>
          <w:rFonts w:ascii="Times New Roman" w:cs="Times New Roman" w:eastAsia="Times New Roman" w:hAnsi="Times New Roman"/>
          <w:i/>
          <w:iCs/>
          <w:sz w:val="20"/>
          <w:szCs w:val="20"/>
        </w:rPr>
        <w:t xml:space="preserve">d</w:t>
      </w:r>
      <w:r>
        <w:rPr>
          <w:rFonts w:ascii="Times New Roman" w:cs="Times New Roman" w:eastAsia="Times New Roman" w:hAnsi="Times New Roman"/>
          <w:sz w:val="20"/>
          <w:szCs w:val="20"/>
          <w:vertAlign w:val="subscript"/>
        </w:rPr>
        <w:t xml:space="preserve">z</w:t>
      </w:r>
      <w:r>
        <w:rPr>
          <w:rFonts w:ascii="Times New Roman" w:cs="Times New Roman" w:eastAsia="Times New Roman" w:hAnsi="Times New Roman"/>
          <w:sz w:val="20"/>
          <w:szCs w:val="20"/>
        </w:rPr>
        <w:t xml:space="preserve"> = 2.04 and 2.62; </w:t>
      </w:r>
      <w:r>
        <w:rPr>
          <w:rFonts w:ascii="Times New Roman" w:cs="Times New Roman" w:eastAsia="Times New Roman" w:hAnsi="Times New Roman"/>
          <w:i/>
          <w:iCs/>
          <w:sz w:val="20"/>
          <w:szCs w:val="20"/>
        </w:rPr>
        <w:t xml:space="preserve">r</w:t>
      </w:r>
      <w:r>
        <w:rPr>
          <w:rFonts w:ascii="Times New Roman" w:cs="Times New Roman" w:eastAsia="Times New Roman" w:hAnsi="Times New Roman"/>
          <w:sz w:val="20"/>
          <w:szCs w:val="20"/>
          <w:vertAlign w:val="subscript"/>
        </w:rPr>
        <w:t xml:space="preserve">rb</w:t>
      </w:r>
      <w:r>
        <w:rPr>
          <w:rFonts w:ascii="Times New Roman" w:cs="Times New Roman" w:eastAsia="Times New Roman" w:hAnsi="Times New Roman"/>
          <w:sz w:val="20"/>
          <w:szCs w:val="20"/>
        </w:rPr>
        <w:t xml:space="preserve"> = 1.00, with all 15 participants favouring CLISA-EWU), whereas its advantage over PseudoLabel and DANN was large in standardised terms (</w:t>
      </w:r>
      <w:r>
        <w:rPr>
          <w:rFonts w:ascii="Times New Roman" w:cs="Times New Roman" w:eastAsia="Times New Roman" w:hAnsi="Times New Roman"/>
          <w:i/>
          <w:iCs/>
          <w:sz w:val="20"/>
          <w:szCs w:val="20"/>
        </w:rPr>
        <w:t xml:space="preserve">d</w:t>
      </w:r>
      <w:r>
        <w:rPr>
          <w:rFonts w:ascii="Times New Roman" w:cs="Times New Roman" w:eastAsia="Times New Roman" w:hAnsi="Times New Roman"/>
          <w:sz w:val="20"/>
          <w:szCs w:val="20"/>
          <w:vertAlign w:val="subscript"/>
        </w:rPr>
        <w:t xml:space="preserve">z</w:t>
      </w:r>
      <w:r>
        <w:rPr>
          <w:rFonts w:ascii="Times New Roman" w:cs="Times New Roman" w:eastAsia="Times New Roman" w:hAnsi="Times New Roman"/>
          <w:sz w:val="20"/>
          <w:szCs w:val="20"/>
        </w:rPr>
        <w:t xml:space="preserve"> = 0.98 and 0.82) but small in absolute terms (2.1 and 1.6 percentage points), and only the PseudoLabel difference survived Holm correction. With six electrodes, effects against the self-supervised and semi-supervised models were small (</w:t>
      </w:r>
      <w:r>
        <w:rPr>
          <w:rFonts w:ascii="Times New Roman" w:cs="Times New Roman" w:eastAsia="Times New Roman" w:hAnsi="Times New Roman"/>
          <w:i/>
          <w:iCs/>
          <w:sz w:val="20"/>
          <w:szCs w:val="20"/>
        </w:rPr>
        <w:t xml:space="preserve">d</w:t>
      </w:r>
      <w:r>
        <w:rPr>
          <w:rFonts w:ascii="Times New Roman" w:cs="Times New Roman" w:eastAsia="Times New Roman" w:hAnsi="Times New Roman"/>
          <w:sz w:val="20"/>
          <w:szCs w:val="20"/>
          <w:vertAlign w:val="subscript"/>
        </w:rPr>
        <w:t xml:space="preserve">z</w:t>
      </w:r>
      <w:r>
        <w:rPr>
          <w:rFonts w:ascii="Times New Roman" w:cs="Times New Roman" w:eastAsia="Times New Roman" w:hAnsi="Times New Roman"/>
          <w:sz w:val="20"/>
          <w:szCs w:val="20"/>
        </w:rPr>
        <w:t xml:space="preserve"> = 0.14–0.30) and non-significant. Zero-shot, CLISA-EWU differed meaningfully only from EEG Conformer with six electrodes (5.3 points, </w:t>
      </w:r>
      <w:r>
        <w:rPr>
          <w:rFonts w:ascii="Times New Roman" w:cs="Times New Roman" w:eastAsia="Times New Roman" w:hAnsi="Times New Roman"/>
          <w:i/>
          <w:iCs/>
          <w:sz w:val="20"/>
          <w:szCs w:val="20"/>
        </w:rPr>
        <w:t xml:space="preserve">d</w:t>
      </w:r>
      <w:r>
        <w:rPr>
          <w:rFonts w:ascii="Times New Roman" w:cs="Times New Roman" w:eastAsia="Times New Roman" w:hAnsi="Times New Roman"/>
          <w:sz w:val="20"/>
          <w:szCs w:val="20"/>
          <w:vertAlign w:val="subscript"/>
        </w:rPr>
        <w:t xml:space="preserve">z</w:t>
      </w:r>
      <w:r>
        <w:rPr>
          <w:rFonts w:ascii="Times New Roman" w:cs="Times New Roman" w:eastAsia="Times New Roman" w:hAnsi="Times New Roman"/>
          <w:sz w:val="20"/>
          <w:szCs w:val="20"/>
        </w:rPr>
        <w:t xml:space="preserve"> = 1.38, Holm p = 0.001); its differences from the perceptrons were negligible (</w:t>
      </w:r>
      <w:r>
        <w:rPr>
          <w:rFonts w:ascii="Times New Roman" w:cs="Times New Roman" w:eastAsia="Times New Roman" w:hAnsi="Times New Roman"/>
          <w:i/>
          <w:iCs/>
          <w:sz w:val="20"/>
          <w:szCs w:val="20"/>
        </w:rPr>
        <w:t xml:space="preserve">d</w:t>
      </w:r>
      <w:r>
        <w:rPr>
          <w:rFonts w:ascii="Times New Roman" w:cs="Times New Roman" w:eastAsia="Times New Roman" w:hAnsi="Times New Roman"/>
          <w:sz w:val="20"/>
          <w:szCs w:val="20"/>
          <w:vertAlign w:val="subscript"/>
        </w:rPr>
        <w:t xml:space="preserve">z</w:t>
      </w:r>
      <w:r>
        <w:rPr>
          <w:rFonts w:ascii="Times New Roman" w:cs="Times New Roman" w:eastAsia="Times New Roman" w:hAnsi="Times New Roman"/>
          <w:sz w:val="20"/>
          <w:szCs w:val="20"/>
        </w:rPr>
        <w:t xml:space="preserve"> = 0.14–0.32).</w:t>
      </w:r>
    </w:p>
    <w:p>
      <w:pPr>
        <w:pStyle w:val="Heading2"/>
        <w:keepNext/>
        <w:spacing w:after="40" w:before="220"/>
        <w:ind w:left="1700"/>
      </w:pPr>
      <w:r>
        <w:rPr>
          <w:rFonts w:ascii="Arial" w:cs="Arial" w:eastAsia="Arial" w:hAnsi="Arial"/>
          <w:b/>
          <w:bCs/>
          <w:color w:val="000000"/>
          <w:sz w:val="21"/>
          <w:szCs w:val="21"/>
        </w:rPr>
        <w:t xml:space="preserve">4.6 Electrode reduction</w:t>
      </w:r>
    </w:p>
    <w:p>
      <w:pPr>
        <w:spacing w:after="0" w:line="252"/>
        <w:ind w:left="1700" w:firstLine="0"/>
        <w:jc w:val="both"/>
      </w:pPr>
      <w:r>
        <w:rPr>
          <w:rFonts w:ascii="Times New Roman" w:cs="Times New Roman" w:eastAsia="Times New Roman" w:hAnsi="Times New Roman"/>
          <w:sz w:val="20"/>
          <w:szCs w:val="20"/>
        </w:rPr>
        <w:t xml:space="preserve">Reducing the montage from 62 to six electrodes lowered calibrated accuracy for CLISA-EWU by 5.8 percentage points (Wilcoxon p &lt; 0.001), a retention of 91.4% (95% CI 87.9–95.0%; Fig. 8b, Fig. 12a). Zero-shot retention was lower, at 83.6%. Retention differed between models (Fig. 12b): BYOL and SimCLR performed as well or better with six electrodes than with 62, whereas EEG Conformer retained 78.5%. After calibration, every six-electrode contrastive, domain-adversarial and pseudo-label model remained above chance for every participant (CLISA-EWU minimum 0.518).</w:t>
      </w:r>
    </w:p>
    <w:p>
      <w:pPr>
        <w:keepNext/>
        <w:spacing w:before="240"/>
        <w:jc w:val="center"/>
      </w:pPr>
      <w:r>
        <w:drawing>
          <wp:inline distT="0" distB="0" distL="0" distR="0">
            <wp:extent cx="609600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2466975"/>
                    </a:xfrm>
                    <a:prstGeom prst="rect">
                      <a:avLst/>
                    </a:prstGeom>
                  </pic:spPr>
                </pic:pic>
              </a:graphicData>
            </a:graphic>
          </wp:inline>
        </w:drawing>
      </w:r>
    </w:p>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Fig. 12</w:t>
      </w:r>
      <w:r>
        <w:rPr>
          <w:rFonts w:ascii="Times New Roman" w:cs="Times New Roman" w:eastAsia="Times New Roman" w:hAnsi="Times New Roman"/>
          <w:sz w:val="19"/>
          <w:szCs w:val="19"/>
        </w:rPr>
        <w:t xml:space="preserve">. Electrode reduction. (a) Calibrated accuracy (mean ± s.d. over 45 runs) with 62 and six electrodes for CLISA-EWU, DANN, PseudoLabel, BYOL and the DANCE teacher→student pair. (b) Six-electrode retention (six-electrode ÷ 62-electrode performance) for all models; the dashed line marks 100%. The axis label ‘balanced accuracy’ in this thesis figure denotes accuracy (see Methods).</w:t>
      </w:r>
    </w:p>
    <w:p>
      <w:pPr>
        <w:pStyle w:val="Heading2"/>
        <w:keepNext/>
        <w:spacing w:after="40" w:before="220"/>
        <w:ind w:left="1700"/>
      </w:pPr>
      <w:r>
        <w:rPr>
          <w:rFonts w:ascii="Arial" w:cs="Arial" w:eastAsia="Arial" w:hAnsi="Arial"/>
          <w:b/>
          <w:bCs/>
          <w:color w:val="000000"/>
          <w:sz w:val="21"/>
          <w:szCs w:val="21"/>
        </w:rPr>
        <w:t xml:space="preserve">4.7 Multi-metric evaluation</w:t>
      </w:r>
    </w:p>
    <w:p>
      <w:pPr>
        <w:spacing w:after="0" w:line="252"/>
        <w:ind w:left="1700" w:firstLine="0"/>
        <w:jc w:val="both"/>
      </w:pPr>
      <w:r>
        <w:rPr>
          <w:rFonts w:ascii="Times New Roman" w:cs="Times New Roman" w:eastAsia="Times New Roman" w:hAnsi="Times New Roman"/>
          <w:sz w:val="20"/>
          <w:szCs w:val="20"/>
        </w:rPr>
        <w:t xml:space="preserve">Table 8 reports the complete confusion-matrix metric set for CLISA-EWU and DANN. Calibrated CLISA-EWU with 62 electrodes reached an accuracy of 0.678, balanced accuracy 0.676, macro F1 0.673, Cohen’s κ 0.569 (95% CI 0.519–0.622) and MCC 0.577; with six electrodes the corresponding values were 0.620, 0.615, 0.611, 0.490 (0.449–0.530) and 0.499. On the Landis–Koch scale</w:t>
      </w:r>
      <w:r>
        <w:rPr>
          <w:rFonts w:ascii="Times New Roman" w:cs="Times New Roman" w:eastAsia="Times New Roman" w:hAnsi="Times New Roman"/>
          <w:color w:val="1F4E9A"/>
          <w:sz w:val="20"/>
          <w:szCs w:val="20"/>
          <w:vertAlign w:val="superscript"/>
        </w:rPr>
        <w:t xml:space="preserve">78</w:t>
      </w:r>
      <w:r>
        <w:rPr>
          <w:rFonts w:ascii="Times New Roman" w:cs="Times New Roman" w:eastAsia="Times New Roman" w:hAnsi="Times New Roman"/>
          <w:sz w:val="20"/>
          <w:szCs w:val="20"/>
        </w:rPr>
        <w:t xml:space="preserve">, calibrated agreement beyond chance was moderate (κ 0.41–0.60) for both montages, whereas zero-shot agreement was fair with 62 electrodes (κ = 0.31) and at the border of slight and fair with six (κ = 0.21). MCC tracked κ to within 0.01, macro and weighted F1 differed by at most 0.004, and the geometric mean of recalls (0.659 and 0.594 after calibration) stayed close to balanced accuracy, so the results were not driven by class imbalance or by neglect of any class. Mean specificity was high (0.893 and 0.873), indicating that errors were spread across classes rather than concentrated on one. Expressed as an information transfer rate, calibration raised throughput from 3.35 to 9.13 bits min</w:t>
      </w:r>
      <w:r>
        <w:rPr>
          <w:rFonts w:ascii="Times New Roman" w:cs="Times New Roman" w:eastAsia="Times New Roman" w:hAnsi="Times New Roman"/>
          <w:sz w:val="20"/>
          <w:szCs w:val="20"/>
          <w:vertAlign w:val="superscript"/>
        </w:rPr>
        <w:t xml:space="preserve">−1</w:t>
      </w:r>
      <w:r>
        <w:rPr>
          <w:rFonts w:ascii="Times New Roman" w:cs="Times New Roman" w:eastAsia="Times New Roman" w:hAnsi="Times New Roman"/>
          <w:sz w:val="20"/>
          <w:szCs w:val="20"/>
        </w:rPr>
        <w:t xml:space="preserve"> with 62 electrodes and from 1.51 to 6.85 bits min</w:t>
      </w:r>
      <w:r>
        <w:rPr>
          <w:rFonts w:ascii="Times New Roman" w:cs="Times New Roman" w:eastAsia="Times New Roman" w:hAnsi="Times New Roman"/>
          <w:sz w:val="20"/>
          <w:szCs w:val="20"/>
          <w:vertAlign w:val="superscript"/>
        </w:rPr>
        <w:t xml:space="preserve">−1</w:t>
      </w:r>
      <w:r>
        <w:rPr>
          <w:rFonts w:ascii="Times New Roman" w:cs="Times New Roman" w:eastAsia="Times New Roman" w:hAnsi="Times New Roman"/>
          <w:sz w:val="20"/>
          <w:szCs w:val="20"/>
        </w:rPr>
        <w:t xml:space="preserve"> with six. CLISA-EWU exceeded DANN on every metric in both montages and protocols, by 1.2–3.8 points of κ.</w:t>
      </w:r>
    </w:p>
    <w:p>
      <w:pPr>
        <w:spacing w:before="2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44"/>
        <w:gridCol w:w="448"/>
        <w:gridCol w:w="1120"/>
        <w:gridCol w:w="672"/>
        <w:gridCol w:w="672"/>
        <w:gridCol w:w="784"/>
        <w:gridCol w:w="672"/>
        <w:gridCol w:w="672"/>
        <w:gridCol w:w="672"/>
        <w:gridCol w:w="672"/>
        <w:gridCol w:w="672"/>
        <w:gridCol w:w="672"/>
        <w:gridCol w:w="674"/>
      </w:tblGrid>
      <w:tr>
        <w:trPr>
          <w:tblHeader/>
        </w:trPr>
        <w:tc>
          <w:tcPr>
            <w:tcW w:type="dxa" w:w="1344"/>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4"/>
                <w:szCs w:val="14"/>
              </w:rPr>
              <w:t xml:space="preserve">Model</w:t>
            </w:r>
          </w:p>
        </w:tc>
        <w:tc>
          <w:tcPr>
            <w:tcW w:type="dxa" w:w="448"/>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4"/>
                <w:szCs w:val="14"/>
              </w:rPr>
              <w:t xml:space="preserve">Ch</w:t>
            </w:r>
          </w:p>
        </w:tc>
        <w:tc>
          <w:tcPr>
            <w:tcW w:type="dxa" w:w="1120"/>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4"/>
                <w:szCs w:val="14"/>
              </w:rPr>
              <w:t xml:space="preserve">Protocol</w:t>
            </w:r>
          </w:p>
        </w:tc>
        <w:tc>
          <w:tcPr>
            <w:tcW w:type="dxa" w:w="672"/>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4"/>
                <w:szCs w:val="14"/>
              </w:rPr>
              <w:t xml:space="preserve">Acc</w:t>
            </w:r>
          </w:p>
        </w:tc>
        <w:tc>
          <w:tcPr>
            <w:tcW w:type="dxa" w:w="672"/>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4"/>
                <w:szCs w:val="14"/>
              </w:rPr>
              <w:t xml:space="preserve">BA</w:t>
            </w:r>
          </w:p>
        </w:tc>
        <w:tc>
          <w:tcPr>
            <w:tcW w:type="dxa" w:w="784"/>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4"/>
                <w:szCs w:val="14"/>
              </w:rPr>
              <w:t xml:space="preserve">P</w:t>
            </w:r>
            <w:r>
              <w:rPr>
                <w:rFonts w:ascii="Times New Roman" w:cs="Times New Roman" w:eastAsia="Times New Roman" w:hAnsi="Times New Roman"/>
                <w:b/>
                <w:bCs/>
                <w:sz w:val="14"/>
                <w:szCs w:val="14"/>
                <w:vertAlign w:val="subscript"/>
              </w:rPr>
              <w:t xml:space="preserve">macro</w:t>
            </w:r>
          </w:p>
        </w:tc>
        <w:tc>
          <w:tcPr>
            <w:tcW w:type="dxa" w:w="672"/>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4"/>
                <w:szCs w:val="14"/>
              </w:rPr>
              <w:t xml:space="preserve">F1</w:t>
            </w:r>
            <w:r>
              <w:rPr>
                <w:rFonts w:ascii="Times New Roman" w:cs="Times New Roman" w:eastAsia="Times New Roman" w:hAnsi="Times New Roman"/>
                <w:b/>
                <w:bCs/>
                <w:sz w:val="14"/>
                <w:szCs w:val="14"/>
                <w:vertAlign w:val="subscript"/>
              </w:rPr>
              <w:t xml:space="preserve">m</w:t>
            </w:r>
          </w:p>
        </w:tc>
        <w:tc>
          <w:tcPr>
            <w:tcW w:type="dxa" w:w="672"/>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4"/>
                <w:szCs w:val="14"/>
              </w:rPr>
              <w:t xml:space="preserve">F1</w:t>
            </w:r>
            <w:r>
              <w:rPr>
                <w:rFonts w:ascii="Times New Roman" w:cs="Times New Roman" w:eastAsia="Times New Roman" w:hAnsi="Times New Roman"/>
                <w:b/>
                <w:bCs/>
                <w:sz w:val="14"/>
                <w:szCs w:val="14"/>
                <w:vertAlign w:val="subscript"/>
              </w:rPr>
              <w:t xml:space="preserve">w</w:t>
            </w:r>
          </w:p>
        </w:tc>
        <w:tc>
          <w:tcPr>
            <w:tcW w:type="dxa" w:w="672"/>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4"/>
                <w:szCs w:val="14"/>
              </w:rPr>
              <w:t xml:space="preserve">κ</w:t>
            </w:r>
          </w:p>
        </w:tc>
        <w:tc>
          <w:tcPr>
            <w:tcW w:type="dxa" w:w="672"/>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4"/>
                <w:szCs w:val="14"/>
              </w:rPr>
              <w:t xml:space="preserve">MCC</w:t>
            </w:r>
          </w:p>
        </w:tc>
        <w:tc>
          <w:tcPr>
            <w:tcW w:type="dxa" w:w="672"/>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4"/>
                <w:szCs w:val="14"/>
              </w:rPr>
              <w:t xml:space="preserve">G</w:t>
            </w:r>
          </w:p>
        </w:tc>
        <w:tc>
          <w:tcPr>
            <w:tcW w:type="dxa" w:w="672"/>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4"/>
                <w:szCs w:val="14"/>
              </w:rPr>
              <w:t xml:space="preserve">Spec</w:t>
            </w:r>
          </w:p>
        </w:tc>
        <w:tc>
          <w:tcPr>
            <w:tcW w:type="dxa" w:w="674"/>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4"/>
                <w:szCs w:val="14"/>
              </w:rPr>
              <w:t xml:space="preserve">ITR</w:t>
            </w:r>
          </w:p>
        </w:tc>
      </w:tr>
      <w:tr>
        <w:trPr>
          <w:cantSplit/>
        </w:trPr>
        <w:tc>
          <w:tcPr>
            <w:tcW w:type="dxa" w:w="134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DANN</w:t>
            </w:r>
          </w:p>
        </w:tc>
        <w:tc>
          <w:tcPr>
            <w:tcW w:type="dxa" w:w="448"/>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62</w:t>
            </w:r>
          </w:p>
        </w:tc>
        <w:tc>
          <w:tcPr>
            <w:tcW w:type="dxa" w:w="112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Zero-shot</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0.458</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0.459</w:t>
            </w:r>
          </w:p>
        </w:tc>
        <w:tc>
          <w:tcPr>
            <w:tcW w:type="dxa" w:w="78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0.479</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0.455</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0.456</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0.278</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0.282</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0.436</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0.820</w:t>
            </w:r>
          </w:p>
        </w:tc>
        <w:tc>
          <w:tcPr>
            <w:tcW w:type="dxa" w:w="67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2.76</w:t>
            </w:r>
          </w:p>
        </w:tc>
      </w:tr>
      <w:tr>
        <w:trPr>
          <w:cantSplit/>
        </w:trPr>
        <w:tc>
          <w:tcPr>
            <w:tcW w:type="dxa" w:w="134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DANN</w:t>
            </w:r>
          </w:p>
        </w:tc>
        <w:tc>
          <w:tcPr>
            <w:tcW w:type="dxa" w:w="448"/>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62</w:t>
            </w:r>
          </w:p>
        </w:tc>
        <w:tc>
          <w:tcPr>
            <w:tcW w:type="dxa" w:w="112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Calibrated</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0.662</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0.658</w:t>
            </w:r>
          </w:p>
        </w:tc>
        <w:tc>
          <w:tcPr>
            <w:tcW w:type="dxa" w:w="78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0.688</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0.654</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0.658</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0.547</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0.556</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0.637</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0.887</w:t>
            </w:r>
          </w:p>
        </w:tc>
        <w:tc>
          <w:tcPr>
            <w:tcW w:type="dxa" w:w="67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8.52</w:t>
            </w:r>
          </w:p>
        </w:tc>
      </w:tr>
      <w:tr>
        <w:trPr>
          <w:cantSplit/>
        </w:trPr>
        <w:tc>
          <w:tcPr>
            <w:tcW w:type="dxa" w:w="134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DANN</w:t>
            </w:r>
          </w:p>
        </w:tc>
        <w:tc>
          <w:tcPr>
            <w:tcW w:type="dxa" w:w="448"/>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6</w:t>
            </w:r>
          </w:p>
        </w:tc>
        <w:tc>
          <w:tcPr>
            <w:tcW w:type="dxa" w:w="112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Zero-shot</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0.396</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0.397</w:t>
            </w:r>
          </w:p>
        </w:tc>
        <w:tc>
          <w:tcPr>
            <w:tcW w:type="dxa" w:w="78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0.404</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0.386</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0.387</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0.195</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0.199</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0.359</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0.799</w:t>
            </w:r>
          </w:p>
        </w:tc>
        <w:tc>
          <w:tcPr>
            <w:tcW w:type="dxa" w:w="67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1.50</w:t>
            </w:r>
          </w:p>
        </w:tc>
      </w:tr>
      <w:tr>
        <w:trPr>
          <w:cantSplit/>
        </w:trPr>
        <w:tc>
          <w:tcPr>
            <w:tcW w:type="dxa" w:w="134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DANN</w:t>
            </w:r>
          </w:p>
        </w:tc>
        <w:tc>
          <w:tcPr>
            <w:tcW w:type="dxa" w:w="448"/>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6</w:t>
            </w:r>
          </w:p>
        </w:tc>
        <w:tc>
          <w:tcPr>
            <w:tcW w:type="dxa" w:w="112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Calibrated</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0.590</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0.586</w:t>
            </w:r>
          </w:p>
        </w:tc>
        <w:tc>
          <w:tcPr>
            <w:tcW w:type="dxa" w:w="78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0.604</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0.579</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0.584</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0.452</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0.458</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0.562</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0.863</w:t>
            </w:r>
          </w:p>
        </w:tc>
        <w:tc>
          <w:tcPr>
            <w:tcW w:type="dxa" w:w="67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5.85</w:t>
            </w:r>
          </w:p>
        </w:tc>
      </w:tr>
      <w:tr>
        <w:trPr>
          <w:cantSplit/>
        </w:trPr>
        <w:tc>
          <w:tcPr>
            <w:tcW w:type="dxa" w:w="134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CLISA-EWU</w:t>
            </w:r>
          </w:p>
        </w:tc>
        <w:tc>
          <w:tcPr>
            <w:tcW w:type="dxa" w:w="448"/>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62</w:t>
            </w:r>
          </w:p>
        </w:tc>
        <w:tc>
          <w:tcPr>
            <w:tcW w:type="dxa" w:w="112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Zero-shot</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0.485</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0.485</w:t>
            </w:r>
          </w:p>
        </w:tc>
        <w:tc>
          <w:tcPr>
            <w:tcW w:type="dxa" w:w="78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0.504</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0.479</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0.481</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0.312</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0.317</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0.460</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0.828</w:t>
            </w:r>
          </w:p>
        </w:tc>
        <w:tc>
          <w:tcPr>
            <w:tcW w:type="dxa" w:w="67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3.35</w:t>
            </w:r>
          </w:p>
        </w:tc>
      </w:tr>
      <w:tr>
        <w:trPr>
          <w:cantSplit/>
        </w:trPr>
        <w:tc>
          <w:tcPr>
            <w:tcW w:type="dxa" w:w="134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CLISA-EWU</w:t>
            </w:r>
          </w:p>
        </w:tc>
        <w:tc>
          <w:tcPr>
            <w:tcW w:type="dxa" w:w="448"/>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62</w:t>
            </w:r>
          </w:p>
        </w:tc>
        <w:tc>
          <w:tcPr>
            <w:tcW w:type="dxa" w:w="112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Calibrated</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0.678</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0.676</w:t>
            </w:r>
          </w:p>
        </w:tc>
        <w:tc>
          <w:tcPr>
            <w:tcW w:type="dxa" w:w="78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0.700</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0.673</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0.675</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0.569</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0.577</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0.659</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0.893</w:t>
            </w:r>
          </w:p>
        </w:tc>
        <w:tc>
          <w:tcPr>
            <w:tcW w:type="dxa" w:w="67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9.13</w:t>
            </w:r>
          </w:p>
        </w:tc>
      </w:tr>
      <w:tr>
        <w:trPr>
          <w:cantSplit/>
        </w:trPr>
        <w:tc>
          <w:tcPr>
            <w:tcW w:type="dxa" w:w="134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CLISA-EWU</w:t>
            </w:r>
          </w:p>
        </w:tc>
        <w:tc>
          <w:tcPr>
            <w:tcW w:type="dxa" w:w="448"/>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6</w:t>
            </w:r>
          </w:p>
        </w:tc>
        <w:tc>
          <w:tcPr>
            <w:tcW w:type="dxa" w:w="112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Zero-shot</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0.405</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0.407</w:t>
            </w:r>
          </w:p>
        </w:tc>
        <w:tc>
          <w:tcPr>
            <w:tcW w:type="dxa" w:w="78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0.412</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0.398</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0.398</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0.207</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0.212</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0.374</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0.802</w:t>
            </w:r>
          </w:p>
        </w:tc>
        <w:tc>
          <w:tcPr>
            <w:tcW w:type="dxa" w:w="67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1.51</w:t>
            </w:r>
          </w:p>
        </w:tc>
      </w:tr>
      <w:tr>
        <w:trPr>
          <w:cantSplit/>
        </w:trPr>
        <w:tc>
          <w:tcPr>
            <w:tcW w:type="dxa" w:w="134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CLISA-EWU</w:t>
            </w:r>
          </w:p>
        </w:tc>
        <w:tc>
          <w:tcPr>
            <w:tcW w:type="dxa" w:w="448"/>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6</w:t>
            </w:r>
          </w:p>
        </w:tc>
        <w:tc>
          <w:tcPr>
            <w:tcW w:type="dxa" w:w="112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Calibrated</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0.620</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0.615</w:t>
            </w:r>
          </w:p>
        </w:tc>
        <w:tc>
          <w:tcPr>
            <w:tcW w:type="dxa" w:w="78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0.641</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0.611</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0.615</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0.490</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0.499</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0.594</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0.873</w:t>
            </w:r>
          </w:p>
        </w:tc>
        <w:tc>
          <w:tcPr>
            <w:tcW w:type="dxa" w:w="67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6.84</w:t>
            </w:r>
          </w:p>
        </w:tc>
      </w:tr>
    </w:tbl>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Table 8</w:t>
      </w:r>
      <w:r>
        <w:rPr>
          <w:rFonts w:ascii="Times New Roman" w:cs="Times New Roman" w:eastAsia="Times New Roman" w:hAnsi="Times New Roman"/>
          <w:sz w:val="19"/>
          <w:szCs w:val="19"/>
        </w:rPr>
        <w:t xml:space="preserve">. Complete confusion-matrix metrics for CLISA-EWU and DANN (means over 15 participants). Ch = electrodes; BA = balanced accuracy; P</w:t>
      </w:r>
      <w:r>
        <w:rPr>
          <w:rFonts w:ascii="Times New Roman" w:cs="Times New Roman" w:eastAsia="Times New Roman" w:hAnsi="Times New Roman"/>
          <w:sz w:val="19"/>
          <w:szCs w:val="19"/>
          <w:vertAlign w:val="subscript"/>
        </w:rPr>
        <w:t xml:space="preserve">macro</w:t>
      </w:r>
      <w:r>
        <w:rPr>
          <w:rFonts w:ascii="Times New Roman" w:cs="Times New Roman" w:eastAsia="Times New Roman" w:hAnsi="Times New Roman"/>
          <w:sz w:val="19"/>
          <w:szCs w:val="19"/>
        </w:rPr>
        <w:t xml:space="preserve"> = macro precision; F1</w:t>
      </w:r>
      <w:r>
        <w:rPr>
          <w:rFonts w:ascii="Times New Roman" w:cs="Times New Roman" w:eastAsia="Times New Roman" w:hAnsi="Times New Roman"/>
          <w:sz w:val="19"/>
          <w:szCs w:val="19"/>
          <w:vertAlign w:val="subscript"/>
        </w:rPr>
        <w:t xml:space="preserve">m</w:t>
      </w:r>
      <w:r>
        <w:rPr>
          <w:rFonts w:ascii="Times New Roman" w:cs="Times New Roman" w:eastAsia="Times New Roman" w:hAnsi="Times New Roman"/>
          <w:sz w:val="19"/>
          <w:szCs w:val="19"/>
        </w:rPr>
        <w:t xml:space="preserve"> and F1</w:t>
      </w:r>
      <w:r>
        <w:rPr>
          <w:rFonts w:ascii="Times New Roman" w:cs="Times New Roman" w:eastAsia="Times New Roman" w:hAnsi="Times New Roman"/>
          <w:sz w:val="19"/>
          <w:szCs w:val="19"/>
          <w:vertAlign w:val="subscript"/>
        </w:rPr>
        <w:t xml:space="preserve">w</w:t>
      </w:r>
      <w:r>
        <w:rPr>
          <w:rFonts w:ascii="Times New Roman" w:cs="Times New Roman" w:eastAsia="Times New Roman" w:hAnsi="Times New Roman"/>
          <w:sz w:val="19"/>
          <w:szCs w:val="19"/>
        </w:rPr>
        <w:t xml:space="preserve"> = macro and weighted F1; κ = Cohen’s kappa; MCC = Matthews correlation coefficient; G = geometric mean of recalls; Spec = macro specificity; ITR in bits min</w:t>
      </w:r>
      <w:r>
        <w:rPr>
          <w:rFonts w:ascii="Times New Roman" w:cs="Times New Roman" w:eastAsia="Times New Roman" w:hAnsi="Times New Roman"/>
          <w:sz w:val="19"/>
          <w:szCs w:val="19"/>
          <w:vertAlign w:val="superscript"/>
        </w:rPr>
        <w:t xml:space="preserve">−1</w:t>
      </w:r>
      <w:r>
        <w:rPr>
          <w:rFonts w:ascii="Times New Roman" w:cs="Times New Roman" w:eastAsia="Times New Roman" w:hAnsi="Times New Roman"/>
          <w:sz w:val="19"/>
          <w:szCs w:val="19"/>
        </w:rPr>
        <w:t xml:space="preserve"> (4-s windows).</w:t>
      </w:r>
    </w:p>
    <w:p>
      <w:pPr>
        <w:pStyle w:val="Heading2"/>
        <w:keepNext/>
        <w:spacing w:after="40" w:before="220"/>
        <w:ind w:left="1700"/>
      </w:pPr>
      <w:r>
        <w:rPr>
          <w:rFonts w:ascii="Arial" w:cs="Arial" w:eastAsia="Arial" w:hAnsi="Arial"/>
          <w:b/>
          <w:bCs/>
          <w:color w:val="000000"/>
          <w:sz w:val="21"/>
          <w:szCs w:val="21"/>
        </w:rPr>
        <w:t xml:space="preserve">4.8 Variability across participants and seeds</w:t>
      </w:r>
    </w:p>
    <w:p>
      <w:pPr>
        <w:spacing w:after="0" w:line="252"/>
        <w:ind w:left="1700" w:firstLine="0"/>
        <w:jc w:val="both"/>
      </w:pPr>
      <w:r>
        <w:rPr>
          <w:rFonts w:ascii="Times New Roman" w:cs="Times New Roman" w:eastAsia="Times New Roman" w:hAnsi="Times New Roman"/>
          <w:sz w:val="20"/>
          <w:szCs w:val="20"/>
        </w:rPr>
        <w:t xml:space="preserve">Between-participant variability exceeded between-seed variability. With 62 electrodes, calibrated CLISA-EWU ranged from 0.541 (participant 5) to 0.813 (participant 2) across participants, whereas seed means ranged from 0.658 to 0.691 (Fig. 9). The best single runs reached 0.854 with 62 electrodes (participant 15, seed 7) and 0.786 with six (participant 7, seed 1); they are shown for completeness and are not estimates of expected performance. Fine-tuning converged smoothly (Fig. 13).</w:t>
      </w:r>
    </w:p>
    <w:p>
      <w:pPr>
        <w:keepNext/>
        <w:spacing w:before="240"/>
        <w:jc w:val="center"/>
      </w:pPr>
      <w:r>
        <w:drawing>
          <wp:inline distT="0" distB="0" distL="0" distR="0">
            <wp:extent cx="6096000"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3419475"/>
                    </a:xfrm>
                    <a:prstGeom prst="rect">
                      <a:avLst/>
                    </a:prstGeom>
                  </pic:spPr>
                </pic:pic>
              </a:graphicData>
            </a:graphic>
          </wp:inline>
        </w:drawing>
      </w:r>
    </w:p>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Fig. 13</w:t>
      </w:r>
      <w:r>
        <w:rPr>
          <w:rFonts w:ascii="Times New Roman" w:cs="Times New Roman" w:eastAsia="Times New Roman" w:hAnsi="Times New Roman"/>
          <w:sz w:val="19"/>
          <w:szCs w:val="19"/>
        </w:rPr>
        <w:t xml:space="preserve">. Fine-tuning convergence. Training and validation cross-entropy for CLISA-EWU with 62 electrodes in the best run (participant 15, seed 7); early stopping at epoch 29. Validation loss lies below training loss because dropout is active during training and validation windows share participants and trials with training windows.</w:t>
      </w:r>
    </w:p>
    <w:p>
      <w:pPr>
        <w:spacing w:after="0" w:line="252"/>
        <w:ind w:left="1700" w:firstLine="240"/>
        <w:jc w:val="both"/>
      </w:pPr>
      <w:r>
        <w:rPr>
          <w:rFonts w:ascii="Times New Roman" w:cs="Times New Roman" w:eastAsia="Times New Roman" w:hAnsi="Times New Roman"/>
          <w:sz w:val="20"/>
          <w:szCs w:val="20"/>
        </w:rPr>
        <w:t xml:space="preserve">A two-way decomposition (Table 9) quantified the sources of this variability. Zero-shot with 62 electrodes, participant identity explained 96.9% of the variance in CLISA-EWU accuracy and the seed only 0.05% (ICC(3,1) = 0.95). After calibration, the participant share fell to 77.8%, residual variance rose to 19.3% and the ICC dropped to 0.70; with six electrodes the seed effect became significant (F = 4.49, p = 0.020; ICC = 0.53). Because the seed also determines which 20 windows are drawn for calibration, this increase reflects sensitivity to the choice of calibration samples, which argues for averaging over several calibration draws in practice.</w:t>
      </w:r>
    </w:p>
    <w:p>
      <w:pPr>
        <w:spacing w:before="2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624"/>
        <w:gridCol w:w="1374"/>
        <w:gridCol w:w="1249"/>
        <w:gridCol w:w="999"/>
        <w:gridCol w:w="1124"/>
        <w:gridCol w:w="1749"/>
        <w:gridCol w:w="1624"/>
        <w:gridCol w:w="1003"/>
      </w:tblGrid>
      <w:tr>
        <w:trPr>
          <w:tblHeader/>
        </w:trPr>
        <w:tc>
          <w:tcPr>
            <w:tcW w:type="dxa" w:w="624"/>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Ch</w:t>
            </w:r>
          </w:p>
        </w:tc>
        <w:tc>
          <w:tcPr>
            <w:tcW w:type="dxa" w:w="1374"/>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Protocol</w:t>
            </w:r>
          </w:p>
        </w:tc>
        <w:tc>
          <w:tcPr>
            <w:tcW w:type="dxa" w:w="1249"/>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Participant (%)</w:t>
            </w:r>
          </w:p>
        </w:tc>
        <w:tc>
          <w:tcPr>
            <w:tcW w:type="dxa" w:w="999"/>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Seed (%)</w:t>
            </w:r>
          </w:p>
        </w:tc>
        <w:tc>
          <w:tcPr>
            <w:tcW w:type="dxa" w:w="1124"/>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Residual (%)</w:t>
            </w:r>
          </w:p>
        </w:tc>
        <w:tc>
          <w:tcPr>
            <w:tcW w:type="dxa" w:w="1749"/>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F participant (p)</w:t>
            </w:r>
          </w:p>
        </w:tc>
        <w:tc>
          <w:tcPr>
            <w:tcW w:type="dxa" w:w="1624"/>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F seed (p)</w:t>
            </w:r>
          </w:p>
        </w:tc>
        <w:tc>
          <w:tcPr>
            <w:tcW w:type="dxa" w:w="1003"/>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ICC(3,1)</w:t>
            </w:r>
          </w:p>
        </w:tc>
      </w:tr>
      <w:tr>
        <w:trPr>
          <w:cantSplit/>
        </w:trPr>
        <w:tc>
          <w:tcPr>
            <w:tcW w:type="dxa" w:w="62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62</w:t>
            </w:r>
          </w:p>
        </w:tc>
        <w:tc>
          <w:tcPr>
            <w:tcW w:type="dxa" w:w="137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Zero-shot</w:t>
            </w:r>
          </w:p>
        </w:tc>
        <w:tc>
          <w:tcPr>
            <w:tcW w:type="dxa" w:w="124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96.9</w:t>
            </w:r>
          </w:p>
        </w:tc>
        <w:tc>
          <w:tcPr>
            <w:tcW w:type="dxa" w:w="99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0.0</w:t>
            </w:r>
          </w:p>
        </w:tc>
        <w:tc>
          <w:tcPr>
            <w:tcW w:type="dxa" w:w="112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3.1</w:t>
            </w:r>
          </w:p>
        </w:tc>
        <w:tc>
          <w:tcPr>
            <w:tcW w:type="dxa" w:w="174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63.50 (&lt;0.001)</w:t>
            </w:r>
          </w:p>
        </w:tc>
        <w:tc>
          <w:tcPr>
            <w:tcW w:type="dxa" w:w="162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0.22 (0.805)</w:t>
            </w:r>
          </w:p>
        </w:tc>
        <w:tc>
          <w:tcPr>
            <w:tcW w:type="dxa" w:w="100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0.95</w:t>
            </w:r>
          </w:p>
        </w:tc>
      </w:tr>
      <w:tr>
        <w:trPr>
          <w:cantSplit/>
        </w:trPr>
        <w:tc>
          <w:tcPr>
            <w:tcW w:type="dxa" w:w="62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62</w:t>
            </w:r>
          </w:p>
        </w:tc>
        <w:tc>
          <w:tcPr>
            <w:tcW w:type="dxa" w:w="137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Calibrated</w:t>
            </w:r>
          </w:p>
        </w:tc>
        <w:tc>
          <w:tcPr>
            <w:tcW w:type="dxa" w:w="124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77.8</w:t>
            </w:r>
          </w:p>
        </w:tc>
        <w:tc>
          <w:tcPr>
            <w:tcW w:type="dxa" w:w="99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2.9</w:t>
            </w:r>
          </w:p>
        </w:tc>
        <w:tc>
          <w:tcPr>
            <w:tcW w:type="dxa" w:w="112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19.3</w:t>
            </w:r>
          </w:p>
        </w:tc>
        <w:tc>
          <w:tcPr>
            <w:tcW w:type="dxa" w:w="174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8.06 (&lt;0.001)</w:t>
            </w:r>
          </w:p>
        </w:tc>
        <w:tc>
          <w:tcPr>
            <w:tcW w:type="dxa" w:w="162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2.13 (0.138)</w:t>
            </w:r>
          </w:p>
        </w:tc>
        <w:tc>
          <w:tcPr>
            <w:tcW w:type="dxa" w:w="100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0.70</w:t>
            </w:r>
          </w:p>
        </w:tc>
      </w:tr>
      <w:tr>
        <w:trPr>
          <w:cantSplit/>
        </w:trPr>
        <w:tc>
          <w:tcPr>
            <w:tcW w:type="dxa" w:w="62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6</w:t>
            </w:r>
          </w:p>
        </w:tc>
        <w:tc>
          <w:tcPr>
            <w:tcW w:type="dxa" w:w="137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Zero-shot</w:t>
            </w:r>
          </w:p>
        </w:tc>
        <w:tc>
          <w:tcPr>
            <w:tcW w:type="dxa" w:w="124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84.3</w:t>
            </w:r>
          </w:p>
        </w:tc>
        <w:tc>
          <w:tcPr>
            <w:tcW w:type="dxa" w:w="99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2.3</w:t>
            </w:r>
          </w:p>
        </w:tc>
        <w:tc>
          <w:tcPr>
            <w:tcW w:type="dxa" w:w="112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13.4</w:t>
            </w:r>
          </w:p>
        </w:tc>
        <w:tc>
          <w:tcPr>
            <w:tcW w:type="dxa" w:w="174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12.54 (&lt;0.001)</w:t>
            </w:r>
          </w:p>
        </w:tc>
        <w:tc>
          <w:tcPr>
            <w:tcW w:type="dxa" w:w="162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2.40 (0.109)</w:t>
            </w:r>
          </w:p>
        </w:tc>
        <w:tc>
          <w:tcPr>
            <w:tcW w:type="dxa" w:w="100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0.79</w:t>
            </w:r>
          </w:p>
        </w:tc>
      </w:tr>
      <w:tr>
        <w:trPr>
          <w:cantSplit/>
        </w:trPr>
        <w:tc>
          <w:tcPr>
            <w:tcW w:type="dxa" w:w="62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6</w:t>
            </w:r>
          </w:p>
        </w:tc>
        <w:tc>
          <w:tcPr>
            <w:tcW w:type="dxa" w:w="137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Calibrated</w:t>
            </w:r>
          </w:p>
        </w:tc>
        <w:tc>
          <w:tcPr>
            <w:tcW w:type="dxa" w:w="124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62.3</w:t>
            </w:r>
          </w:p>
        </w:tc>
        <w:tc>
          <w:tcPr>
            <w:tcW w:type="dxa" w:w="99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9.2</w:t>
            </w:r>
          </w:p>
        </w:tc>
        <w:tc>
          <w:tcPr>
            <w:tcW w:type="dxa" w:w="112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28.6</w:t>
            </w:r>
          </w:p>
        </w:tc>
        <w:tc>
          <w:tcPr>
            <w:tcW w:type="dxa" w:w="174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4.36 (&lt;0.001)</w:t>
            </w:r>
          </w:p>
        </w:tc>
        <w:tc>
          <w:tcPr>
            <w:tcW w:type="dxa" w:w="162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4.49 (0.020)</w:t>
            </w:r>
          </w:p>
        </w:tc>
        <w:tc>
          <w:tcPr>
            <w:tcW w:type="dxa" w:w="100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0.53</w:t>
            </w:r>
          </w:p>
        </w:tc>
      </w:tr>
    </w:tbl>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Table 9</w:t>
      </w:r>
      <w:r>
        <w:rPr>
          <w:rFonts w:ascii="Times New Roman" w:cs="Times New Roman" w:eastAsia="Times New Roman" w:hAnsi="Times New Roman"/>
          <w:sz w:val="19"/>
          <w:szCs w:val="19"/>
        </w:rPr>
        <w:t xml:space="preserve">. Decomposition of CLISA-EWU accuracy variance into participant, seed and residual components (two-way ANOVA without replication) and consistency across seeds (ICC(3,1)).</w:t>
      </w:r>
    </w:p>
    <w:p>
      <w:pPr>
        <w:pStyle w:val="Heading2"/>
        <w:keepNext/>
        <w:spacing w:after="40" w:before="220"/>
        <w:ind w:left="1700"/>
      </w:pPr>
      <w:r>
        <w:rPr>
          <w:rFonts w:ascii="Arial" w:cs="Arial" w:eastAsia="Arial" w:hAnsi="Arial"/>
          <w:b/>
          <w:bCs/>
          <w:color w:val="000000"/>
          <w:sz w:val="21"/>
          <w:szCs w:val="21"/>
        </w:rPr>
        <w:t xml:space="preserve">4.9 Who benefits from calibration</w:t>
      </w:r>
    </w:p>
    <w:p>
      <w:pPr>
        <w:spacing w:after="0" w:line="252"/>
        <w:ind w:left="1700" w:firstLine="0"/>
        <w:jc w:val="both"/>
      </w:pPr>
      <w:r>
        <w:rPr>
          <w:rFonts w:ascii="Times New Roman" w:cs="Times New Roman" w:eastAsia="Times New Roman" w:hAnsi="Times New Roman"/>
          <w:sz w:val="20"/>
          <w:szCs w:val="20"/>
        </w:rPr>
        <w:t xml:space="preserve">Calibration gain was negatively correlated with zero-shot accuracy (Spearman ρ = −0.60, p = 0.017 with 62 electrodes; ρ = −0.58, p = 0.024 with six; Fig. 14a): participants who were decoded worst without calibration gained most, up to 39 percentage points for participant 11. Part of this association is expected from regression to the mean, because the gain contains the zero-shot score. Across montages, participants’ calibrated accuracies were strongly correlated (ρ = 0.80, p &lt; 0.001) whereas their zero-shot accuracies were not (ρ = −0.05, p = 0.86; Fig. 14b), so after calibration a participant who is decoded well with 62 electrodes is also decoded well with six. Across models, participant rankings before and after calibration were almost identical for supervised networks (ρ = 0.94–1.00) but less so for the adaptable models (ρ = 0.43–0.93), consistent with calibration substantively changing only the latter.</w:t>
      </w:r>
    </w:p>
    <w:p>
      <w:pPr>
        <w:keepNext/>
        <w:spacing w:before="240"/>
        <w:jc w:val="center"/>
      </w:pPr>
      <w:r>
        <w:drawing>
          <wp:inline distT="0" distB="0" distL="0" distR="0">
            <wp:extent cx="60960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2628900"/>
                    </a:xfrm>
                    <a:prstGeom prst="rect">
                      <a:avLst/>
                    </a:prstGeom>
                  </pic:spPr>
                </pic:pic>
              </a:graphicData>
            </a:graphic>
          </wp:inline>
        </w:drawing>
      </w:r>
    </w:p>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Fig. 14</w:t>
      </w:r>
      <w:r>
        <w:rPr>
          <w:rFonts w:ascii="Times New Roman" w:cs="Times New Roman" w:eastAsia="Times New Roman" w:hAnsi="Times New Roman"/>
          <w:sz w:val="19"/>
          <w:szCs w:val="19"/>
        </w:rPr>
        <w:t xml:space="preserve">. Who benefits from calibration. (a) Calibration gain versus zero-shot accuracy for each participant with 62 and six electrodes, with least-squares lines and Spearman correlations. (b) Agreement of participant accuracy between montages, zero-shot and calibrated; the dotted line marks equality.</w:t>
      </w:r>
    </w:p>
    <w:p>
      <w:pPr>
        <w:pStyle w:val="Heading2"/>
        <w:keepNext/>
        <w:spacing w:after="40" w:before="220"/>
        <w:ind w:left="1700"/>
      </w:pPr>
      <w:r>
        <w:rPr>
          <w:rFonts w:ascii="Arial" w:cs="Arial" w:eastAsia="Arial" w:hAnsi="Arial"/>
          <w:b/>
          <w:bCs/>
          <w:color w:val="000000"/>
          <w:sz w:val="21"/>
          <w:szCs w:val="21"/>
        </w:rPr>
        <w:t xml:space="preserve">4.10 Class-level behaviour and electrode importance</w:t>
      </w:r>
    </w:p>
    <w:p>
      <w:pPr>
        <w:spacing w:after="0" w:line="252"/>
        <w:ind w:left="1700" w:firstLine="0"/>
        <w:jc w:val="both"/>
      </w:pPr>
      <w:r>
        <w:rPr>
          <w:rFonts w:ascii="Times New Roman" w:cs="Times New Roman" w:eastAsia="Times New Roman" w:hAnsi="Times New Roman"/>
          <w:sz w:val="20"/>
          <w:szCs w:val="20"/>
        </w:rPr>
        <w:t xml:space="preserve">Per-class metrics (Table 10, Fig. 15) and the mean confusion matrices over all 45 runs (Fig. 16) show where the errors arose. After calibration with 62 electrodes, sad had the highest recall (0.733) but the lowest specificity (0.858), because it attracted errors from fear (16.9% of fear windows) and happy (14.3%); neutral had the highest precision (0.790) and F1 (0.728). Fear was the hardest class in both montages (F1 = 0.621 and 0.565) and was confused mostly with sad. Electrode reduction affected classes unequally: recall fell by 9.6 percentage points for happy, 7.4 for fear, 4.4 for sad and 2.9 for neutral. Zero-shot, the confusion matrices were diffuse and biased towards fear, which received 21.0% of neutral, 24.5% of sad and 21.3% of happy windows with 62 electrodes; calibration removed most of this bias. In the best single runs (Fig. 17), sad recall reached 100% with 62 electrodes.</w:t>
      </w:r>
    </w:p>
    <w:p>
      <w:pPr>
        <w:spacing w:before="2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624"/>
        <w:gridCol w:w="1015"/>
        <w:gridCol w:w="1015"/>
        <w:gridCol w:w="1015"/>
        <w:gridCol w:w="1015"/>
        <w:gridCol w:w="1015"/>
        <w:gridCol w:w="1015"/>
        <w:gridCol w:w="1015"/>
        <w:gridCol w:w="1017"/>
      </w:tblGrid>
      <w:tr>
        <w:trPr>
          <w:tblHeader/>
        </w:trPr>
        <w:tc>
          <w:tcPr>
            <w:tcW w:type="dxa" w:w="1624"/>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Class</w:t>
            </w:r>
          </w:p>
        </w:tc>
        <w:tc>
          <w:tcPr>
            <w:tcW w:type="dxa" w:w="1015"/>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P (ZS)</w:t>
            </w:r>
          </w:p>
        </w:tc>
        <w:tc>
          <w:tcPr>
            <w:tcW w:type="dxa" w:w="1015"/>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R (ZS)</w:t>
            </w:r>
          </w:p>
        </w:tc>
        <w:tc>
          <w:tcPr>
            <w:tcW w:type="dxa" w:w="1015"/>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F1 (ZS)</w:t>
            </w:r>
          </w:p>
        </w:tc>
        <w:tc>
          <w:tcPr>
            <w:tcW w:type="dxa" w:w="1015"/>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Spec (ZS)</w:t>
            </w:r>
          </w:p>
        </w:tc>
        <w:tc>
          <w:tcPr>
            <w:tcW w:type="dxa" w:w="1015"/>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P (Cal)</w:t>
            </w:r>
          </w:p>
        </w:tc>
        <w:tc>
          <w:tcPr>
            <w:tcW w:type="dxa" w:w="1015"/>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R (Cal)</w:t>
            </w:r>
          </w:p>
        </w:tc>
        <w:tc>
          <w:tcPr>
            <w:tcW w:type="dxa" w:w="1015"/>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F1 (Cal)</w:t>
            </w:r>
          </w:p>
        </w:tc>
        <w:tc>
          <w:tcPr>
            <w:tcW w:type="dxa" w:w="1017"/>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Spec (Cal)</w:t>
            </w:r>
          </w:p>
        </w:tc>
      </w:tr>
      <w:tr>
        <w:trPr>
          <w:cantSplit/>
        </w:trPr>
        <w:tc>
          <w:tcPr>
            <w:tcW w:type="dxa" w:w="1624"/>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62 electrodes</w:t>
            </w:r>
          </w:p>
        </w:tc>
        <w:tc>
          <w:tcPr>
            <w:tcW w:type="dxa" w:w="1015"/>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1015"/>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1015"/>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1015"/>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1015"/>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1015"/>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1015"/>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1017"/>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r>
      <w:tr>
        <w:trPr>
          <w:cantSplit/>
        </w:trPr>
        <w:tc>
          <w:tcPr>
            <w:tcW w:type="dxa" w:w="162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Neutral</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0.595</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0.535</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0.541</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0.848</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0.790</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0.697</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0.728</w:t>
            </w:r>
          </w:p>
        </w:tc>
        <w:tc>
          <w:tcPr>
            <w:tcW w:type="dxa" w:w="101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0.919</w:t>
            </w:r>
          </w:p>
        </w:tc>
      </w:tr>
      <w:tr>
        <w:trPr>
          <w:cantSplit/>
        </w:trPr>
        <w:tc>
          <w:tcPr>
            <w:tcW w:type="dxa" w:w="162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Sad</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0.539</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0.464</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0.480</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0.837</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0.687</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0.733</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0.695</w:t>
            </w:r>
          </w:p>
        </w:tc>
        <w:tc>
          <w:tcPr>
            <w:tcW w:type="dxa" w:w="101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0.858</w:t>
            </w:r>
          </w:p>
        </w:tc>
      </w:tr>
      <w:tr>
        <w:trPr>
          <w:cantSplit/>
        </w:trPr>
        <w:tc>
          <w:tcPr>
            <w:tcW w:type="dxa" w:w="162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Fear</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0.393</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0.438</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0.408</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0.776</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0.675</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0.604</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0.621</w:t>
            </w:r>
          </w:p>
        </w:tc>
        <w:tc>
          <w:tcPr>
            <w:tcW w:type="dxa" w:w="101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0.895</w:t>
            </w:r>
          </w:p>
        </w:tc>
      </w:tr>
      <w:tr>
        <w:trPr>
          <w:cantSplit/>
        </w:trPr>
        <w:tc>
          <w:tcPr>
            <w:tcW w:type="dxa" w:w="162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Happy</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0.490</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0.504</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0.488</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0.852</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0.648</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0.671</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0.647</w:t>
            </w:r>
          </w:p>
        </w:tc>
        <w:tc>
          <w:tcPr>
            <w:tcW w:type="dxa" w:w="101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0.898</w:t>
            </w:r>
          </w:p>
        </w:tc>
      </w:tr>
      <w:tr>
        <w:trPr>
          <w:cantSplit/>
        </w:trPr>
        <w:tc>
          <w:tcPr>
            <w:tcW w:type="dxa" w:w="1624"/>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Six electrodes</w:t>
            </w:r>
          </w:p>
        </w:tc>
        <w:tc>
          <w:tcPr>
            <w:tcW w:type="dxa" w:w="1015"/>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1015"/>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1015"/>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1015"/>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1015"/>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1015"/>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1015"/>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1017"/>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r>
      <w:tr>
        <w:trPr>
          <w:cantSplit/>
        </w:trPr>
        <w:tc>
          <w:tcPr>
            <w:tcW w:type="dxa" w:w="162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Neutral</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0.489</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0.430</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0.446</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0.829</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0.674</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0.668</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0.659</w:t>
            </w:r>
          </w:p>
        </w:tc>
        <w:tc>
          <w:tcPr>
            <w:tcW w:type="dxa" w:w="101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0.870</w:t>
            </w:r>
          </w:p>
        </w:tc>
      </w:tr>
      <w:tr>
        <w:trPr>
          <w:cantSplit/>
        </w:trPr>
        <w:tc>
          <w:tcPr>
            <w:tcW w:type="dxa" w:w="162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Sad</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0.419</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0.399</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0.402</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0.787</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0.636</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0.689</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0.644</w:t>
            </w:r>
          </w:p>
        </w:tc>
        <w:tc>
          <w:tcPr>
            <w:tcW w:type="dxa" w:w="101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0.828</w:t>
            </w:r>
          </w:p>
        </w:tc>
      </w:tr>
      <w:tr>
        <w:trPr>
          <w:cantSplit/>
        </w:trPr>
        <w:tc>
          <w:tcPr>
            <w:tcW w:type="dxa" w:w="162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Fear</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0.336</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0.327</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0.322</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0.797</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0.645</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0.530</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0.565</w:t>
            </w:r>
          </w:p>
        </w:tc>
        <w:tc>
          <w:tcPr>
            <w:tcW w:type="dxa" w:w="101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0.901</w:t>
            </w:r>
          </w:p>
        </w:tc>
      </w:tr>
      <w:tr>
        <w:trPr>
          <w:cantSplit/>
        </w:trPr>
        <w:tc>
          <w:tcPr>
            <w:tcW w:type="dxa" w:w="162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Happy</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0.402</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0.473</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0.422</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0.795</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0.607</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0.575</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0.577</w:t>
            </w:r>
          </w:p>
        </w:tc>
        <w:tc>
          <w:tcPr>
            <w:tcW w:type="dxa" w:w="101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0.892</w:t>
            </w:r>
          </w:p>
        </w:tc>
      </w:tr>
    </w:tbl>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Table 10</w:t>
      </w:r>
      <w:r>
        <w:rPr>
          <w:rFonts w:ascii="Times New Roman" w:cs="Times New Roman" w:eastAsia="Times New Roman" w:hAnsi="Times New Roman"/>
          <w:sz w:val="19"/>
          <w:szCs w:val="19"/>
        </w:rPr>
        <w:t xml:space="preserve">. Per-class precision (P), recall (R), F1 and specificity (Spec) of CLISA-EWU, zero-shot (ZS) and calibrated (Cal), means over 15 participants.</w:t>
      </w:r>
    </w:p>
    <w:p>
      <w:pPr>
        <w:keepNext/>
        <w:spacing w:before="240"/>
        <w:jc w:val="center"/>
      </w:pPr>
      <w:r>
        <w:drawing>
          <wp:inline distT="0" distB="0" distL="0" distR="0">
            <wp:extent cx="6096000" cy="2200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96000" cy="2200275"/>
                    </a:xfrm>
                    <a:prstGeom prst="rect">
                      <a:avLst/>
                    </a:prstGeom>
                  </pic:spPr>
                </pic:pic>
              </a:graphicData>
            </a:graphic>
          </wp:inline>
        </w:drawing>
      </w:r>
    </w:p>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Fig. 15</w:t>
      </w:r>
      <w:r>
        <w:rPr>
          <w:rFonts w:ascii="Times New Roman" w:cs="Times New Roman" w:eastAsia="Times New Roman" w:hAnsi="Times New Roman"/>
          <w:sz w:val="19"/>
          <w:szCs w:val="19"/>
        </w:rPr>
        <w:t xml:space="preserve">. Per-class metrics of calibrated CLISA-EWU. Precision, recall, F1 score and specificity for each emotion with 62 and six electrodes, means over 15 held-out participants.</w:t>
      </w:r>
    </w:p>
    <w:p>
      <w:pPr>
        <w:keepNext/>
        <w:spacing w:before="240"/>
        <w:jc w:val="center"/>
      </w:pPr>
      <w:r>
        <w:drawing>
          <wp:inline distT="0" distB="0" distL="0" distR="0">
            <wp:extent cx="5934075"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934075" cy="5334000"/>
                    </a:xfrm>
                    <a:prstGeom prst="rect">
                      <a:avLst/>
                    </a:prstGeom>
                  </pic:spPr>
                </pic:pic>
              </a:graphicData>
            </a:graphic>
          </wp:inline>
        </w:drawing>
      </w:r>
    </w:p>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Fig. 16</w:t>
      </w:r>
      <w:r>
        <w:rPr>
          <w:rFonts w:ascii="Times New Roman" w:cs="Times New Roman" w:eastAsia="Times New Roman" w:hAnsi="Times New Roman"/>
          <w:sz w:val="19"/>
          <w:szCs w:val="19"/>
        </w:rPr>
        <w:t xml:space="preserve">. Mean confusion matrices of CLISA-EWU. Row-normalised percentages averaged over all 45 runs for (a) 62 electrodes zero-shot, (b) 62 electrodes calibrated, (c) six electrodes zero-shot and (d) six electrodes calibrated. Diagonal cells are per-class recall.</w:t>
      </w:r>
    </w:p>
    <w:p>
      <w:pPr>
        <w:keepNext/>
        <w:spacing w:before="240"/>
        <w:jc w:val="center"/>
      </w:pPr>
      <w:r>
        <w:drawing>
          <wp:inline distT="0" distB="0" distL="0" distR="0">
            <wp:extent cx="60960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2476500"/>
                    </a:xfrm>
                    <a:prstGeom prst="rect">
                      <a:avLst/>
                    </a:prstGeom>
                  </pic:spPr>
                </pic:pic>
              </a:graphicData>
            </a:graphic>
          </wp:inline>
        </w:drawing>
      </w:r>
    </w:p>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Fig. 17</w:t>
      </w:r>
      <w:r>
        <w:rPr>
          <w:rFonts w:ascii="Times New Roman" w:cs="Times New Roman" w:eastAsia="Times New Roman" w:hAnsi="Times New Roman"/>
          <w:sz w:val="19"/>
          <w:szCs w:val="19"/>
        </w:rPr>
        <w:t xml:space="preserve">. Confusion matrices of CLISA-EWU in the best single runs. Row-normalised percentages after calibration with (a) 62 electrodes (participant 15, seed 7) and (b) six electrodes (participant 7, seed 1). Best runs illustrate class-level behaviour and are not representative; mean per-class recall over all runs is reported in the text.</w:t>
      </w:r>
    </w:p>
    <w:p>
      <w:pPr>
        <w:spacing w:after="0" w:line="252"/>
        <w:ind w:left="1700" w:firstLine="240"/>
        <w:jc w:val="both"/>
      </w:pPr>
      <w:r>
        <w:rPr>
          <w:rFonts w:ascii="Times New Roman" w:cs="Times New Roman" w:eastAsia="Times New Roman" w:hAnsi="Times New Roman"/>
          <w:sz w:val="20"/>
          <w:szCs w:val="20"/>
        </w:rPr>
        <w:t xml:space="preserve">Electrode importance differed by class (Fig. 18). For happy, the wearable electrodes FP1 and FP2 ranked second and sixth of 62. For sad, FP1 and F8 ranked fourth and seventh, and the most important electrode was the adjacent midline FPZ. For neutral, FP2 ranked third. For fear, the most important electrodes were parieto-occipital (POZ, PO8), and only F7 among the wearable electrodes ranked in the top five, consistent with fear being the class most affected by electrode reduction. This analysis is based on a single run and is exploratory.</w:t>
      </w:r>
    </w:p>
    <w:p>
      <w:pPr>
        <w:keepNext/>
        <w:spacing w:before="240"/>
        <w:jc w:val="center"/>
      </w:pPr>
      <w:r>
        <w:drawing>
          <wp:inline distT="0" distB="0" distL="0" distR="0">
            <wp:extent cx="609600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1504950"/>
                    </a:xfrm>
                    <a:prstGeom prst="rect">
                      <a:avLst/>
                    </a:prstGeom>
                  </pic:spPr>
                </pic:pic>
              </a:graphicData>
            </a:graphic>
          </wp:inline>
        </w:drawing>
      </w:r>
    </w:p>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Fig. 18</w:t>
      </w:r>
      <w:r>
        <w:rPr>
          <w:rFonts w:ascii="Times New Roman" w:cs="Times New Roman" w:eastAsia="Times New Roman" w:hAnsi="Times New Roman"/>
          <w:sz w:val="19"/>
          <w:szCs w:val="19"/>
        </w:rPr>
        <w:t xml:space="preserve">. Electrode importance by predicted class. SHAP attributions summed over five frequency bands per electrode for neutral, sad, fear and happy (left to right), CLISA-EWU with 62 electrodes, best run; shared colour scale. Blue circles mark the six-electrode wearable subset. Single-run, exploratory analysis.</w:t>
      </w:r>
    </w:p>
    <w:p>
      <w:pPr>
        <w:pStyle w:val="Heading2"/>
        <w:keepNext/>
        <w:spacing w:after="40" w:before="220"/>
        <w:ind w:left="1700"/>
      </w:pPr>
      <w:r>
        <w:rPr>
          <w:rFonts w:ascii="Arial" w:cs="Arial" w:eastAsia="Arial" w:hAnsi="Arial"/>
          <w:b/>
          <w:bCs/>
          <w:color w:val="000000"/>
          <w:sz w:val="21"/>
          <w:szCs w:val="21"/>
        </w:rPr>
        <w:t xml:space="preserve">4.11 Representation geometry</w:t>
      </w:r>
    </w:p>
    <w:p>
      <w:pPr>
        <w:spacing w:after="0" w:line="252"/>
        <w:ind w:left="1700" w:firstLine="0"/>
        <w:jc w:val="both"/>
      </w:pPr>
      <w:r>
        <w:rPr>
          <w:rFonts w:ascii="Times New Roman" w:cs="Times New Roman" w:eastAsia="Times New Roman" w:hAnsi="Times New Roman"/>
          <w:sz w:val="20"/>
          <w:szCs w:val="20"/>
        </w:rPr>
        <w:t xml:space="preserve">In the raw feature space, emotion classes were not separable (emotion silhouette −0.017 with 62 electrodes and −0.013 with six; Table 11). In the CLISA-EWU embedding, emotion silhouette rose to 0.220 (62 electrodes) and 0.046 (six), Davies–Bouldin indices fell, and participant silhouettes were negative (−0.098 and −0.057), indicating that participant identity did not dominate the embedding (Fig. 19). These embeddings were computed on all 15 participants with the best-run model, 14 of whom contributed labelled training data, so the emotion structure partly reflects supervised fitting </w:t>
      </w:r>
      <w:r>
        <w:rPr>
          <w:rFonts w:ascii="Times New Roman" w:cs="Times New Roman" w:eastAsia="Times New Roman" w:hAnsi="Times New Roman"/>
          <w:sz w:val="20"/>
          <w:szCs w:val="20"/>
          <w:highlight w:val="yellow"/>
          <w:highlightCs w:val="yellow"/>
        </w:rPr>
        <w:t xml:space="preserve">[recompute on held-out participants only]</w:t>
      </w:r>
      <w:r>
        <w:rPr>
          <w:rFonts w:ascii="Times New Roman" w:cs="Times New Roman" w:eastAsia="Times New Roman" w:hAnsi="Times New Roman"/>
          <w:sz w:val="20"/>
          <w:szCs w:val="20"/>
        </w:rPr>
        <w:t xml:space="preserve">.</w:t>
      </w:r>
    </w:p>
    <w:p>
      <w:pPr>
        <w:spacing w:before="2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844"/>
        <w:gridCol w:w="2029"/>
        <w:gridCol w:w="1522"/>
        <w:gridCol w:w="1623"/>
        <w:gridCol w:w="1728"/>
      </w:tblGrid>
      <w:tr>
        <w:trPr>
          <w:tblHeader/>
        </w:trPr>
        <w:tc>
          <w:tcPr>
            <w:tcW w:type="dxa" w:w="2844"/>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7"/>
                <w:szCs w:val="17"/>
              </w:rPr>
              <w:t xml:space="preserve">Feature space</w:t>
            </w:r>
          </w:p>
        </w:tc>
        <w:tc>
          <w:tcPr>
            <w:tcW w:type="dxa" w:w="2029"/>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7"/>
                <w:szCs w:val="17"/>
              </w:rPr>
              <w:t xml:space="preserve">Labels (clusters)</w:t>
            </w:r>
          </w:p>
        </w:tc>
        <w:tc>
          <w:tcPr>
            <w:tcW w:type="dxa" w:w="1522"/>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7"/>
                <w:szCs w:val="17"/>
              </w:rPr>
              <w:t xml:space="preserve">Silhouette</w:t>
            </w:r>
          </w:p>
        </w:tc>
        <w:tc>
          <w:tcPr>
            <w:tcW w:type="dxa" w:w="1623"/>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7"/>
                <w:szCs w:val="17"/>
              </w:rPr>
              <w:t xml:space="preserve">Davies–Bouldin</w:t>
            </w:r>
          </w:p>
        </w:tc>
        <w:tc>
          <w:tcPr>
            <w:tcW w:type="dxa" w:w="1728"/>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7"/>
                <w:szCs w:val="17"/>
              </w:rPr>
              <w:t xml:space="preserve">Calinski–Harabasz</w:t>
            </w:r>
          </w:p>
        </w:tc>
      </w:tr>
      <w:tr>
        <w:trPr>
          <w:cantSplit/>
        </w:trPr>
        <w:tc>
          <w:tcPr>
            <w:tcW w:type="dxa" w:w="284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Raw, 62 electrodes</w:t>
            </w:r>
          </w:p>
        </w:tc>
        <w:tc>
          <w:tcPr>
            <w:tcW w:type="dxa" w:w="202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Emotion (4)</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−0.017</w:t>
            </w:r>
          </w:p>
        </w:tc>
        <w:tc>
          <w:tcPr>
            <w:tcW w:type="dxa" w:w="162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7.68</w:t>
            </w:r>
          </w:p>
        </w:tc>
        <w:tc>
          <w:tcPr>
            <w:tcW w:type="dxa" w:w="1728"/>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511.8</w:t>
            </w:r>
          </w:p>
        </w:tc>
      </w:tr>
      <w:tr>
        <w:trPr>
          <w:cantSplit/>
        </w:trPr>
        <w:tc>
          <w:tcPr>
            <w:tcW w:type="dxa" w:w="284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Raw, 62 electrodes</w:t>
            </w:r>
          </w:p>
        </w:tc>
        <w:tc>
          <w:tcPr>
            <w:tcW w:type="dxa" w:w="202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Participant (15)</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−0.034</w:t>
            </w:r>
          </w:p>
        </w:tc>
        <w:tc>
          <w:tcPr>
            <w:tcW w:type="dxa" w:w="162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1.40 × 10</w:t>
            </w:r>
            <w:r>
              <w:rPr>
                <w:rFonts w:ascii="Times New Roman" w:cs="Times New Roman" w:eastAsia="Times New Roman" w:hAnsi="Times New Roman"/>
                <w:color w:val="1F4E9A"/>
                <w:sz w:val="17"/>
                <w:szCs w:val="17"/>
                <w:vertAlign w:val="superscript"/>
              </w:rPr>
              <w:t xml:space="preserve">5</w:t>
            </w:r>
          </w:p>
        </w:tc>
        <w:tc>
          <w:tcPr>
            <w:tcW w:type="dxa" w:w="1728"/>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&lt;0.1</w:t>
            </w:r>
          </w:p>
        </w:tc>
      </w:tr>
      <w:tr>
        <w:trPr>
          <w:cantSplit/>
        </w:trPr>
        <w:tc>
          <w:tcPr>
            <w:tcW w:type="dxa" w:w="284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CLISA-EWU, 62 electrodes</w:t>
            </w:r>
          </w:p>
        </w:tc>
        <w:tc>
          <w:tcPr>
            <w:tcW w:type="dxa" w:w="202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Emotion (4)</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0.220</w:t>
            </w:r>
          </w:p>
        </w:tc>
        <w:tc>
          <w:tcPr>
            <w:tcW w:type="dxa" w:w="162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1.64</w:t>
            </w:r>
          </w:p>
        </w:tc>
        <w:tc>
          <w:tcPr>
            <w:tcW w:type="dxa" w:w="1728"/>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7309.0</w:t>
            </w:r>
          </w:p>
        </w:tc>
      </w:tr>
      <w:tr>
        <w:trPr>
          <w:cantSplit/>
        </w:trPr>
        <w:tc>
          <w:tcPr>
            <w:tcW w:type="dxa" w:w="284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CLISA-EWU, 62 electrodes</w:t>
            </w:r>
          </w:p>
        </w:tc>
        <w:tc>
          <w:tcPr>
            <w:tcW w:type="dxa" w:w="202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Participant (15)</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−0.098</w:t>
            </w:r>
          </w:p>
        </w:tc>
        <w:tc>
          <w:tcPr>
            <w:tcW w:type="dxa" w:w="162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11.10</w:t>
            </w:r>
          </w:p>
        </w:tc>
        <w:tc>
          <w:tcPr>
            <w:tcW w:type="dxa" w:w="1728"/>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84.4</w:t>
            </w:r>
          </w:p>
        </w:tc>
      </w:tr>
      <w:tr>
        <w:trPr>
          <w:cantSplit/>
        </w:trPr>
        <w:tc>
          <w:tcPr>
            <w:tcW w:type="dxa" w:w="284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Raw, six electrodes</w:t>
            </w:r>
          </w:p>
        </w:tc>
        <w:tc>
          <w:tcPr>
            <w:tcW w:type="dxa" w:w="202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Emotion (4)</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−0.013</w:t>
            </w:r>
          </w:p>
        </w:tc>
        <w:tc>
          <w:tcPr>
            <w:tcW w:type="dxa" w:w="162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8.16</w:t>
            </w:r>
          </w:p>
        </w:tc>
        <w:tc>
          <w:tcPr>
            <w:tcW w:type="dxa" w:w="1728"/>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536.3</w:t>
            </w:r>
          </w:p>
        </w:tc>
      </w:tr>
      <w:tr>
        <w:trPr>
          <w:cantSplit/>
        </w:trPr>
        <w:tc>
          <w:tcPr>
            <w:tcW w:type="dxa" w:w="284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Raw, six electrodes</w:t>
            </w:r>
          </w:p>
        </w:tc>
        <w:tc>
          <w:tcPr>
            <w:tcW w:type="dxa" w:w="202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Participant (15)</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−0.045</w:t>
            </w:r>
          </w:p>
        </w:tc>
        <w:tc>
          <w:tcPr>
            <w:tcW w:type="dxa" w:w="162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5.56 × 10</w:t>
            </w:r>
            <w:r>
              <w:rPr>
                <w:rFonts w:ascii="Times New Roman" w:cs="Times New Roman" w:eastAsia="Times New Roman" w:hAnsi="Times New Roman"/>
                <w:color w:val="1F4E9A"/>
                <w:sz w:val="17"/>
                <w:szCs w:val="17"/>
                <w:vertAlign w:val="superscript"/>
              </w:rPr>
              <w:t xml:space="preserve">4</w:t>
            </w:r>
          </w:p>
        </w:tc>
        <w:tc>
          <w:tcPr>
            <w:tcW w:type="dxa" w:w="1728"/>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&lt;0.1</w:t>
            </w:r>
          </w:p>
        </w:tc>
      </w:tr>
      <w:tr>
        <w:trPr>
          <w:cantSplit/>
        </w:trPr>
        <w:tc>
          <w:tcPr>
            <w:tcW w:type="dxa" w:w="284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CLISA-EWU, six electrodes</w:t>
            </w:r>
          </w:p>
        </w:tc>
        <w:tc>
          <w:tcPr>
            <w:tcW w:type="dxa" w:w="202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Emotion (4)</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0.046</w:t>
            </w:r>
          </w:p>
        </w:tc>
        <w:tc>
          <w:tcPr>
            <w:tcW w:type="dxa" w:w="162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3.75</w:t>
            </w:r>
          </w:p>
        </w:tc>
        <w:tc>
          <w:tcPr>
            <w:tcW w:type="dxa" w:w="1728"/>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1434.1</w:t>
            </w:r>
          </w:p>
        </w:tc>
      </w:tr>
      <w:tr>
        <w:trPr>
          <w:cantSplit/>
        </w:trPr>
        <w:tc>
          <w:tcPr>
            <w:tcW w:type="dxa" w:w="284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CLISA-EWU, six electrodes</w:t>
            </w:r>
          </w:p>
        </w:tc>
        <w:tc>
          <w:tcPr>
            <w:tcW w:type="dxa" w:w="202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Participant (15)</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−0.057</w:t>
            </w:r>
          </w:p>
        </w:tc>
        <w:tc>
          <w:tcPr>
            <w:tcW w:type="dxa" w:w="162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10.09</w:t>
            </w:r>
          </w:p>
        </w:tc>
        <w:tc>
          <w:tcPr>
            <w:tcW w:type="dxa" w:w="1728"/>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159.6</w:t>
            </w:r>
          </w:p>
        </w:tc>
      </w:tr>
    </w:tbl>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Table 11</w:t>
      </w:r>
      <w:r>
        <w:rPr>
          <w:rFonts w:ascii="Times New Roman" w:cs="Times New Roman" w:eastAsia="Times New Roman" w:hAnsi="Times New Roman"/>
          <w:sz w:val="19"/>
          <w:szCs w:val="19"/>
        </w:rPr>
        <w:t xml:space="preserve">. Clustering metrics for raw features and CLISA-EWU embeddings. Higher silhouette and Calinski–Harabasz and lower Davies–Bouldin values indicate tighter clusters. Embeddings were computed with the best-run model on all 15 participants (14 of whom were in its training set).</w:t>
      </w:r>
    </w:p>
    <w:p>
      <w:pPr>
        <w:keepNext/>
        <w:spacing w:before="240"/>
        <w:jc w:val="center"/>
      </w:pPr>
      <w:r>
        <w:drawing>
          <wp:inline distT="0" distB="0" distL="0" distR="0">
            <wp:extent cx="6096000" cy="502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096000" cy="5029200"/>
                    </a:xfrm>
                    <a:prstGeom prst="rect">
                      <a:avLst/>
                    </a:prstGeom>
                  </pic:spPr>
                </pic:pic>
              </a:graphicData>
            </a:graphic>
          </wp:inline>
        </w:drawing>
      </w:r>
    </w:p>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Fig. 19</w:t>
      </w:r>
      <w:r>
        <w:rPr>
          <w:rFonts w:ascii="Times New Roman" w:cs="Times New Roman" w:eastAsia="Times New Roman" w:hAnsi="Times New Roman"/>
          <w:sz w:val="19"/>
          <w:szCs w:val="19"/>
        </w:rPr>
        <w:t xml:space="preserve">. Representation geometry. t-SNE projections of raw 62-electrode differential-entropy features (top) and CLISA-EWU 62-electrode encoder embeddings (bottom), coloured by participant (left) and emotion (right). The embedding model is from the best run, and 14 of the 15 participants contributed labelled training data to it, so the emotion structure should be interpreted qualitatively.</w:t>
      </w:r>
    </w:p>
    <w:p>
      <w:pPr>
        <w:pStyle w:val="Heading2"/>
        <w:keepNext/>
        <w:spacing w:after="40" w:before="220"/>
        <w:ind w:left="1700"/>
      </w:pPr>
      <w:r>
        <w:rPr>
          <w:rFonts w:ascii="Arial" w:cs="Arial" w:eastAsia="Arial" w:hAnsi="Arial"/>
          <w:b/>
          <w:bCs/>
          <w:color w:val="000000"/>
          <w:sz w:val="21"/>
          <w:szCs w:val="21"/>
        </w:rPr>
        <w:t xml:space="preserve">4.12 Secondary analyses</w:t>
      </w:r>
    </w:p>
    <w:p>
      <w:pPr>
        <w:spacing w:after="0" w:line="252"/>
        <w:ind w:left="1700" w:firstLine="0"/>
        <w:jc w:val="both"/>
      </w:pPr>
      <w:r>
        <w:rPr>
          <w:rFonts w:ascii="Times New Roman" w:cs="Times New Roman" w:eastAsia="Times New Roman" w:hAnsi="Times New Roman"/>
          <w:sz w:val="20"/>
          <w:szCs w:val="20"/>
        </w:rPr>
        <w:t xml:space="preserve">The DANCE teacher–student pair was included as a secondary reference. Its calibrated accuracy was 0.519 (teacher, 62 electrodes) and 0.571 (student, six electrodes). An ablation of the DANCE framework is shown in Fig. 20; four of its variants produced identical results, indicating that the corresponding options were not applied, so this ablation should be regarded as incomplete </w:t>
      </w:r>
      <w:r>
        <w:rPr>
          <w:rFonts w:ascii="Times New Roman" w:cs="Times New Roman" w:eastAsia="Times New Roman" w:hAnsi="Times New Roman"/>
          <w:sz w:val="20"/>
          <w:szCs w:val="20"/>
          <w:highlight w:val="yellow"/>
          <w:highlightCs w:val="yellow"/>
        </w:rPr>
        <w:t xml:space="preserve">[re-run, and add a CLISA-EWU ablation: no pretraining, noise-only, masking-only, temperature]</w:t>
      </w:r>
      <w:r>
        <w:rPr>
          <w:rFonts w:ascii="Times New Roman" w:cs="Times New Roman" w:eastAsia="Times New Roman" w:hAnsi="Times New Roman"/>
          <w:sz w:val="20"/>
          <w:szCs w:val="20"/>
        </w:rPr>
        <w:t xml:space="preserve">. A software prototype, NeuroSync, displays signal traces, band power, predicted state and class probabilities from the trained model (Fig. 21); it was demonstrated on a synthetic replay session and has not been validated on live wearable recordings.</w:t>
      </w:r>
    </w:p>
    <w:p>
      <w:pPr>
        <w:keepNext/>
        <w:spacing w:before="240"/>
        <w:jc w:val="center"/>
      </w:pPr>
      <w:r>
        <w:drawing>
          <wp:inline distT="0" distB="0" distL="0" distR="0">
            <wp:extent cx="60960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096000" cy="3505200"/>
                    </a:xfrm>
                    <a:prstGeom prst="rect">
                      <a:avLst/>
                    </a:prstGeom>
                  </pic:spPr>
                </pic:pic>
              </a:graphicData>
            </a:graphic>
          </wp:inline>
        </w:drawing>
      </w:r>
    </w:p>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Fig. 20</w:t>
      </w:r>
      <w:r>
        <w:rPr>
          <w:rFonts w:ascii="Times New Roman" w:cs="Times New Roman" w:eastAsia="Times New Roman" w:hAnsi="Times New Roman"/>
          <w:sz w:val="19"/>
          <w:szCs w:val="19"/>
        </w:rPr>
        <w:t xml:space="preserve">. Ablation of the DANCE teacher–student framework (secondary comparator). Calibrated accuracy (mean ± s.d. over three seeds) of 11 DANCE variants under a reduced protocol. Four variants produced identical values, indicating that their options were not applied; this ablation is incomplete and does not concern CLISA-EWU. The axis label ‘balanced accuracy’ in this thesis figure denotes accuracy (see Methods). </w:t>
      </w:r>
      <w:r>
        <w:rPr>
          <w:rFonts w:ascii="Times New Roman" w:cs="Times New Roman" w:eastAsia="Times New Roman" w:hAnsi="Times New Roman"/>
          <w:sz w:val="19"/>
          <w:szCs w:val="19"/>
          <w:highlight w:val="yellow"/>
          <w:highlightCs w:val="yellow"/>
        </w:rPr>
        <w:t xml:space="preserve">[Re-run before submission.]</w:t>
      </w:r>
    </w:p>
    <w:p>
      <w:pPr>
        <w:keepNext/>
        <w:spacing w:before="240"/>
        <w:jc w:val="center"/>
      </w:pPr>
      <w:r>
        <w:drawing>
          <wp:inline distT="0" distB="0" distL="0" distR="0">
            <wp:extent cx="6096000" cy="3829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3829050"/>
                    </a:xfrm>
                    <a:prstGeom prst="rect">
                      <a:avLst/>
                    </a:prstGeom>
                  </pic:spPr>
                </pic:pic>
              </a:graphicData>
            </a:graphic>
          </wp:inline>
        </w:drawing>
      </w:r>
    </w:p>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Fig. 21</w:t>
      </w:r>
      <w:r>
        <w:rPr>
          <w:rFonts w:ascii="Times New Roman" w:cs="Times New Roman" w:eastAsia="Times New Roman" w:hAnsi="Times New Roman"/>
          <w:sz w:val="19"/>
          <w:szCs w:val="19"/>
        </w:rPr>
        <w:t xml:space="preserve">. NeuroSync dashboard prototype. Signal traces, frequency-band activity, predicted state with confidence and class probabilities produced by the trained model during a synthetic replay session. Software demonstration only; not validated on live wearable recordings.</w:t>
      </w:r>
    </w:p>
    <w:p>
      <w:pPr>
        <w:pStyle w:val="Heading2"/>
        <w:keepNext/>
        <w:spacing w:after="40" w:before="220"/>
        <w:ind w:left="1700"/>
      </w:pPr>
      <w:r>
        <w:rPr>
          <w:rFonts w:ascii="Arial" w:cs="Arial" w:eastAsia="Arial" w:hAnsi="Arial"/>
          <w:b/>
          <w:bCs/>
          <w:color w:val="000000"/>
          <w:sz w:val="21"/>
          <w:szCs w:val="21"/>
        </w:rPr>
        <w:t xml:space="preserve">4.13 Sensitivity analyses</w:t>
      </w:r>
    </w:p>
    <w:p>
      <w:pPr>
        <w:spacing w:after="0" w:line="252"/>
        <w:ind w:left="1700" w:firstLine="0"/>
        <w:jc w:val="both"/>
      </w:pPr>
      <w:r>
        <w:rPr>
          <w:rFonts w:ascii="Times New Roman" w:cs="Times New Roman" w:eastAsia="Times New Roman" w:hAnsi="Times New Roman"/>
          <w:sz w:val="20"/>
          <w:szCs w:val="20"/>
        </w:rPr>
        <w:t xml:space="preserve">The main conclusions were unchanged in all sensitivity analyses (Table 12). In mixed-effects models, the calibrated advantage of CLISA-EWU with 62 electrodes was 6.9 percentage points over BYOL (95% CI 4.8 to 9.0; p &lt; 0.001) and 2.1 points over PseudoLabel (0.0 to 4.1; p = 0.049), whereas its 1.6-point advantage over DANN had a confidence interval including zero (−0.3 to 3.6; p = 0.10), consistent with the Holm-adjusted Wilcoxon result. Zero-shot, the mixed-model difference from the two-layer perceptron was 0.8 points (−0.5 to 2.2; p = 0.22).</w:t>
      </w:r>
    </w:p>
    <w:p>
      <w:pPr>
        <w:spacing w:before="2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656"/>
        <w:gridCol w:w="2339"/>
        <w:gridCol w:w="1949"/>
        <w:gridCol w:w="1461"/>
        <w:gridCol w:w="2341"/>
      </w:tblGrid>
      <w:tr>
        <w:trPr>
          <w:tblHeader/>
        </w:trPr>
        <w:tc>
          <w:tcPr>
            <w:tcW w:type="dxa" w:w="1656"/>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7"/>
                <w:szCs w:val="17"/>
              </w:rPr>
              <w:t xml:space="preserve">Analysis</w:t>
            </w:r>
          </w:p>
        </w:tc>
        <w:tc>
          <w:tcPr>
            <w:tcW w:type="dxa" w:w="2339"/>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7"/>
                <w:szCs w:val="17"/>
              </w:rPr>
              <w:t xml:space="preserve">Comparison</w:t>
            </w:r>
          </w:p>
        </w:tc>
        <w:tc>
          <w:tcPr>
            <w:tcW w:type="dxa" w:w="1949"/>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7"/>
                <w:szCs w:val="17"/>
              </w:rPr>
              <w:t xml:space="preserve">Estimate (95% CI or range)</w:t>
            </w:r>
          </w:p>
        </w:tc>
        <w:tc>
          <w:tcPr>
            <w:tcW w:type="dxa" w:w="1461"/>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7"/>
                <w:szCs w:val="17"/>
              </w:rPr>
              <w:t xml:space="preserve">p</w:t>
            </w:r>
          </w:p>
        </w:tc>
        <w:tc>
          <w:tcPr>
            <w:tcW w:type="dxa" w:w="2341"/>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7"/>
                <w:szCs w:val="17"/>
              </w:rPr>
              <w:t xml:space="preserve">Conclusion</w:t>
            </w:r>
          </w:p>
        </w:tc>
      </w:tr>
      <w:tr>
        <w:trPr>
          <w:cantSplit/>
        </w:trPr>
        <w:tc>
          <w:tcPr>
            <w:tcW w:type="dxa" w:w="1656"/>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Mixed-effects model</w:t>
            </w:r>
          </w:p>
        </w:tc>
        <w:tc>
          <w:tcPr>
            <w:tcW w:type="dxa" w:w="233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Cal, 62: vs DANN</w:t>
            </w:r>
          </w:p>
        </w:tc>
        <w:tc>
          <w:tcPr>
            <w:tcW w:type="dxa" w:w="194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1.6 (−0.3 to 3.6)</w:t>
            </w:r>
          </w:p>
        </w:tc>
        <w:tc>
          <w:tcPr>
            <w:tcW w:type="dxa" w:w="1461"/>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0.10</w:t>
            </w:r>
          </w:p>
        </w:tc>
        <w:tc>
          <w:tcPr>
            <w:tcW w:type="dxa" w:w="2341"/>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Not significant, as in main analysis</w:t>
            </w:r>
          </w:p>
        </w:tc>
      </w:tr>
      <w:tr>
        <w:trPr>
          <w:cantSplit/>
        </w:trPr>
        <w:tc>
          <w:tcPr>
            <w:tcW w:type="dxa" w:w="1656"/>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Mixed-effects model</w:t>
            </w:r>
          </w:p>
        </w:tc>
        <w:tc>
          <w:tcPr>
            <w:tcW w:type="dxa" w:w="233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Cal, 62: vs PseudoLabel</w:t>
            </w:r>
          </w:p>
        </w:tc>
        <w:tc>
          <w:tcPr>
            <w:tcW w:type="dxa" w:w="194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2.1 (0.0 to 4.1)</w:t>
            </w:r>
          </w:p>
        </w:tc>
        <w:tc>
          <w:tcPr>
            <w:tcW w:type="dxa" w:w="1461"/>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0.049</w:t>
            </w:r>
          </w:p>
        </w:tc>
        <w:tc>
          <w:tcPr>
            <w:tcW w:type="dxa" w:w="2341"/>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Small advantage</w:t>
            </w:r>
          </w:p>
        </w:tc>
      </w:tr>
      <w:tr>
        <w:trPr>
          <w:cantSplit/>
        </w:trPr>
        <w:tc>
          <w:tcPr>
            <w:tcW w:type="dxa" w:w="1656"/>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Mixed-effects model</w:t>
            </w:r>
          </w:p>
        </w:tc>
        <w:tc>
          <w:tcPr>
            <w:tcW w:type="dxa" w:w="233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Cal, 62: vs BYOL</w:t>
            </w:r>
          </w:p>
        </w:tc>
        <w:tc>
          <w:tcPr>
            <w:tcW w:type="dxa" w:w="194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6.9 (4.8 to 9.0)</w:t>
            </w:r>
          </w:p>
        </w:tc>
        <w:tc>
          <w:tcPr>
            <w:tcW w:type="dxa" w:w="1461"/>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&lt;0.001</w:t>
            </w:r>
          </w:p>
        </w:tc>
        <w:tc>
          <w:tcPr>
            <w:tcW w:type="dxa" w:w="2341"/>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Clear advantage</w:t>
            </w:r>
          </w:p>
        </w:tc>
      </w:tr>
      <w:tr>
        <w:trPr>
          <w:cantSplit/>
        </w:trPr>
        <w:tc>
          <w:tcPr>
            <w:tcW w:type="dxa" w:w="1656"/>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Mixed-effects model</w:t>
            </w:r>
          </w:p>
        </w:tc>
        <w:tc>
          <w:tcPr>
            <w:tcW w:type="dxa" w:w="233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ZS, 62: vs two-layer perceptron</w:t>
            </w:r>
          </w:p>
        </w:tc>
        <w:tc>
          <w:tcPr>
            <w:tcW w:type="dxa" w:w="194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0.8 (−0.5 to 2.2)</w:t>
            </w:r>
          </w:p>
        </w:tc>
        <w:tc>
          <w:tcPr>
            <w:tcW w:type="dxa" w:w="1461"/>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0.22</w:t>
            </w:r>
          </w:p>
        </w:tc>
        <w:tc>
          <w:tcPr>
            <w:tcW w:type="dxa" w:w="2341"/>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No difference</w:t>
            </w:r>
          </w:p>
        </w:tc>
      </w:tr>
      <w:tr>
        <w:trPr>
          <w:cantSplit/>
        </w:trPr>
        <w:tc>
          <w:tcPr>
            <w:tcW w:type="dxa" w:w="1656"/>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Jackknife (15 subsets)</w:t>
            </w:r>
          </w:p>
        </w:tc>
        <w:tc>
          <w:tcPr>
            <w:tcW w:type="dxa" w:w="233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Cal, 62: vs DANN</w:t>
            </w:r>
          </w:p>
        </w:tc>
        <w:tc>
          <w:tcPr>
            <w:tcW w:type="dxa" w:w="194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1.4 to 1.9</w:t>
            </w:r>
          </w:p>
        </w:tc>
        <w:tc>
          <w:tcPr>
            <w:tcW w:type="dxa" w:w="1461"/>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0.004 to 0.025</w:t>
            </w:r>
          </w:p>
        </w:tc>
        <w:tc>
          <w:tcPr>
            <w:tcW w:type="dxa" w:w="2341"/>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Stable direction</w:t>
            </w:r>
          </w:p>
        </w:tc>
      </w:tr>
      <w:tr>
        <w:trPr>
          <w:cantSplit/>
        </w:trPr>
        <w:tc>
          <w:tcPr>
            <w:tcW w:type="dxa" w:w="1656"/>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Jackknife (15 subsets)</w:t>
            </w:r>
          </w:p>
        </w:tc>
        <w:tc>
          <w:tcPr>
            <w:tcW w:type="dxa" w:w="233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Cal, 6: vs BYOL</w:t>
            </w:r>
          </w:p>
        </w:tc>
        <w:tc>
          <w:tcPr>
            <w:tcW w:type="dxa" w:w="194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0.0 to 1.4</w:t>
            </w:r>
          </w:p>
        </w:tc>
        <w:tc>
          <w:tcPr>
            <w:tcW w:type="dxa" w:w="1461"/>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0.39 to 1.00</w:t>
            </w:r>
          </w:p>
        </w:tc>
        <w:tc>
          <w:tcPr>
            <w:tcW w:type="dxa" w:w="2341"/>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No difference</w:t>
            </w:r>
          </w:p>
        </w:tc>
      </w:tr>
      <w:tr>
        <w:trPr>
          <w:cantSplit/>
        </w:trPr>
        <w:tc>
          <w:tcPr>
            <w:tcW w:type="dxa" w:w="1656"/>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Jackknife (15 subsets)</w:t>
            </w:r>
          </w:p>
        </w:tc>
        <w:tc>
          <w:tcPr>
            <w:tcW w:type="dxa" w:w="233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Retention, CLISA-EWU</w:t>
            </w:r>
          </w:p>
        </w:tc>
        <w:tc>
          <w:tcPr>
            <w:tcW w:type="dxa" w:w="194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90.7% to 92.3%</w:t>
            </w:r>
          </w:p>
        </w:tc>
        <w:tc>
          <w:tcPr>
            <w:tcW w:type="dxa" w:w="1461"/>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w:t>
            </w:r>
          </w:p>
        </w:tc>
        <w:tc>
          <w:tcPr>
            <w:tcW w:type="dxa" w:w="2341"/>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Not driven by one participant</w:t>
            </w:r>
          </w:p>
        </w:tc>
      </w:tr>
      <w:tr>
        <w:trPr>
          <w:cantSplit/>
        </w:trPr>
        <w:tc>
          <w:tcPr>
            <w:tcW w:type="dxa" w:w="1656"/>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Seed-wise</w:t>
            </w:r>
          </w:p>
        </w:tc>
        <w:tc>
          <w:tcPr>
            <w:tcW w:type="dxa" w:w="233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Cal rank of CLISA-EWU, 62 / 6</w:t>
            </w:r>
          </w:p>
        </w:tc>
        <w:tc>
          <w:tcPr>
            <w:tcW w:type="dxa" w:w="194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1, 1, 1 / 1, 2, 1</w:t>
            </w:r>
          </w:p>
        </w:tc>
        <w:tc>
          <w:tcPr>
            <w:tcW w:type="dxa" w:w="1461"/>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w:t>
            </w:r>
          </w:p>
        </w:tc>
        <w:tc>
          <w:tcPr>
            <w:tcW w:type="dxa" w:w="2341"/>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Top rank in 5 of 6 seed–montage pairs</w:t>
            </w:r>
          </w:p>
        </w:tc>
      </w:tr>
      <w:tr>
        <w:trPr>
          <w:cantSplit/>
        </w:trPr>
        <w:tc>
          <w:tcPr>
            <w:tcW w:type="dxa" w:w="1656"/>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Balanced accuracy</w:t>
            </w:r>
          </w:p>
        </w:tc>
        <w:tc>
          <w:tcPr>
            <w:tcW w:type="dxa" w:w="233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Cal, 62: vs DANN</w:t>
            </w:r>
          </w:p>
        </w:tc>
        <w:tc>
          <w:tcPr>
            <w:tcW w:type="dxa" w:w="194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1.8</w:t>
            </w:r>
          </w:p>
        </w:tc>
        <w:tc>
          <w:tcPr>
            <w:tcW w:type="dxa" w:w="1461"/>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0.007</w:t>
            </w:r>
          </w:p>
        </w:tc>
        <w:tc>
          <w:tcPr>
            <w:tcW w:type="dxa" w:w="2341"/>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Same direction as accuracy</w:t>
            </w:r>
          </w:p>
        </w:tc>
      </w:tr>
      <w:tr>
        <w:trPr>
          <w:cantSplit/>
        </w:trPr>
        <w:tc>
          <w:tcPr>
            <w:tcW w:type="dxa" w:w="1656"/>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Balanced accuracy</w:t>
            </w:r>
          </w:p>
        </w:tc>
        <w:tc>
          <w:tcPr>
            <w:tcW w:type="dxa" w:w="233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Cal, 6: vs DANN</w:t>
            </w:r>
          </w:p>
        </w:tc>
        <w:tc>
          <w:tcPr>
            <w:tcW w:type="dxa" w:w="194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2.9</w:t>
            </w:r>
          </w:p>
        </w:tc>
        <w:tc>
          <w:tcPr>
            <w:tcW w:type="dxa" w:w="1461"/>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0.022</w:t>
            </w:r>
          </w:p>
        </w:tc>
        <w:tc>
          <w:tcPr>
            <w:tcW w:type="dxa" w:w="2341"/>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Same direction as accuracy</w:t>
            </w:r>
          </w:p>
        </w:tc>
      </w:tr>
      <w:tr>
        <w:trPr>
          <w:cantSplit/>
        </w:trPr>
        <w:tc>
          <w:tcPr>
            <w:tcW w:type="dxa" w:w="1656"/>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Equivalence (TOST)</w:t>
            </w:r>
          </w:p>
        </w:tc>
        <w:tc>
          <w:tcPr>
            <w:tcW w:type="dxa" w:w="233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ZS, 62: vs two-layer perceptron</w:t>
            </w:r>
          </w:p>
        </w:tc>
        <w:tc>
          <w:tcPr>
            <w:tcW w:type="dxa" w:w="194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0.8 (90% CI −0.4 to 2.1)</w:t>
            </w:r>
          </w:p>
        </w:tc>
        <w:tc>
          <w:tcPr>
            <w:tcW w:type="dxa" w:w="1461"/>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0.004 (±3); 0.06 (±2)</w:t>
            </w:r>
          </w:p>
        </w:tc>
        <w:tc>
          <w:tcPr>
            <w:tcW w:type="dxa" w:w="2341"/>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Equivalent within ±3 points</w:t>
            </w:r>
          </w:p>
        </w:tc>
      </w:tr>
      <w:tr>
        <w:trPr>
          <w:cantSplit/>
        </w:trPr>
        <w:tc>
          <w:tcPr>
            <w:tcW w:type="dxa" w:w="1656"/>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Equivalence (TOST)</w:t>
            </w:r>
          </w:p>
        </w:tc>
        <w:tc>
          <w:tcPr>
            <w:tcW w:type="dxa" w:w="233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ZS, 6: vs two-layer perceptron</w:t>
            </w:r>
          </w:p>
        </w:tc>
        <w:tc>
          <w:tcPr>
            <w:tcW w:type="dxa" w:w="194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0.5 (90% CI −1.1 to 2.1)</w:t>
            </w:r>
          </w:p>
        </w:tc>
        <w:tc>
          <w:tcPr>
            <w:tcW w:type="dxa" w:w="1461"/>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0.009 (±3); 0.06 (±2)</w:t>
            </w:r>
          </w:p>
        </w:tc>
        <w:tc>
          <w:tcPr>
            <w:tcW w:type="dxa" w:w="2341"/>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Equivalent within ±3 points</w:t>
            </w:r>
          </w:p>
        </w:tc>
      </w:tr>
      <w:tr>
        <w:trPr>
          <w:cantSplit/>
        </w:trPr>
        <w:tc>
          <w:tcPr>
            <w:tcW w:type="dxa" w:w="1656"/>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Bootstrap P(best)</w:t>
            </w:r>
          </w:p>
        </w:tc>
        <w:tc>
          <w:tcPr>
            <w:tcW w:type="dxa" w:w="233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Cal, 62 / Cal, 6</w:t>
            </w:r>
          </w:p>
        </w:tc>
        <w:tc>
          <w:tcPr>
            <w:tcW w:type="dxa" w:w="194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&gt;0.999 / 0.63</w:t>
            </w:r>
          </w:p>
        </w:tc>
        <w:tc>
          <w:tcPr>
            <w:tcW w:type="dxa" w:w="1461"/>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w:t>
            </w:r>
          </w:p>
        </w:tc>
        <w:tc>
          <w:tcPr>
            <w:tcW w:type="dxa" w:w="2341"/>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Uncertain leader with six electrodes</w:t>
            </w:r>
          </w:p>
        </w:tc>
      </w:tr>
      <w:tr>
        <w:trPr>
          <w:cantSplit/>
        </w:trPr>
        <w:tc>
          <w:tcPr>
            <w:tcW w:type="dxa" w:w="1656"/>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Bootstrap P(best)</w:t>
            </w:r>
          </w:p>
        </w:tc>
        <w:tc>
          <w:tcPr>
            <w:tcW w:type="dxa" w:w="233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ZS, 62 / ZS, 6</w:t>
            </w:r>
          </w:p>
        </w:tc>
        <w:tc>
          <w:tcPr>
            <w:tcW w:type="dxa" w:w="194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0.72 / 0.01</w:t>
            </w:r>
          </w:p>
        </w:tc>
        <w:tc>
          <w:tcPr>
            <w:tcW w:type="dxa" w:w="1461"/>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w:t>
            </w:r>
          </w:p>
        </w:tc>
        <w:tc>
          <w:tcPr>
            <w:tcW w:type="dxa" w:w="2341"/>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SimCLR most likely best zero-shot with six</w:t>
            </w:r>
          </w:p>
        </w:tc>
      </w:tr>
    </w:tbl>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Table 12</w:t>
      </w:r>
      <w:r>
        <w:rPr>
          <w:rFonts w:ascii="Times New Roman" w:cs="Times New Roman" w:eastAsia="Times New Roman" w:hAnsi="Times New Roman"/>
          <w:sz w:val="19"/>
          <w:szCs w:val="19"/>
        </w:rPr>
        <w:t xml:space="preserve">. Sensitivity analyses. Differences are CLISA-EWU minus comparator in percentage points of accuracy unless stated otherwise; Cal = calibrated; ZS = zero-shot.</w:t>
      </w:r>
    </w:p>
    <w:p>
      <w:pPr>
        <w:spacing w:after="0" w:line="252"/>
        <w:ind w:left="1700" w:firstLine="240"/>
        <w:jc w:val="both"/>
      </w:pPr>
      <w:r>
        <w:rPr>
          <w:rFonts w:ascii="Times New Roman" w:cs="Times New Roman" w:eastAsia="Times New Roman" w:hAnsi="Times New Roman"/>
          <w:sz w:val="20"/>
          <w:szCs w:val="20"/>
        </w:rPr>
        <w:t xml:space="preserve">In the jackknife, the calibrated advantage of CLISA-EWU with 62 electrodes ranged from 1.4 to 1.9 points over DANN and from 1.9 to 2.4 points over PseudoLabel across the 15 leave-one-out subsets, and unadjusted Wilcoxon p values remained below 0.05 in every subset; with six electrodes, the difference from BYOL ranged from 0.0 to 1.4 points and was never significant (p ≥ 0.39). Retention ranged narrowly from 90.7% to 92.3%, so no single participant drove the electrode-reduction result. CLISA-EWU had the highest calibrated mean accuracy with 62 electrodes for each of the three seeds and with six electrodes for two of three seeds (BYOL ranked first with seed 7), and its advantage over DANN varied between seeds (0.8–2.5 points with 62 electrodes). Using balanced accuracy instead of accuracy gave the same pattern for CLISA-EWU versus DANN (calibrated: +1.8 points with 62 electrodes, p = 0.007, and +2.9 points with six, p = 0.022).</w:t>
      </w:r>
    </w:p>
    <w:p>
      <w:pPr>
        <w:spacing w:after="0" w:line="252"/>
        <w:ind w:left="1700" w:firstLine="240"/>
        <w:jc w:val="both"/>
      </w:pPr>
      <w:r>
        <w:rPr>
          <w:rFonts w:ascii="Times New Roman" w:cs="Times New Roman" w:eastAsia="Times New Roman" w:hAnsi="Times New Roman"/>
          <w:sz w:val="20"/>
          <w:szCs w:val="20"/>
        </w:rPr>
        <w:t xml:space="preserve">The equivalence analysis supported the first hypothesis. The 90% confidence interval for the zero-shot difference between CLISA-EWU and the two-layer perceptron was −0.4 to 2.1 points with 62 electrodes, and the two models were statistically equivalent within a margin of ±3 points (TOST p = 0.004; six electrodes, p = 0.009) but not within ±2 points (p = 0.06). In the bootstrap, the probability that CLISA-EWU was the best calibrated model was above 99.9% with 62 electrodes but only 63% with six electrodes, where BYOL (26%) and PseudoLabel (9%) were credible alternatives; zero-shot, CLISA-EWU had a 72% probability of being best with 62 electrodes, whereas with six electrodes SimCLR (70%) and BYOL (27%) were the most likely best models. Finally, the calibration gain of CLISA-EWU exceeded 10 points for 13 of 15 participants with 62 electrodes and for all 15 with six electrodes (ranges 2.8–39.4 and 13.9–35.4 points).</w:t>
      </w:r>
    </w:p>
    <w:p>
      <w:pPr>
        <w:pStyle w:val="Heading2"/>
        <w:keepNext/>
        <w:spacing w:after="40" w:before="220"/>
        <w:ind w:left="1700"/>
      </w:pPr>
      <w:r>
        <w:rPr>
          <w:rFonts w:ascii="Arial" w:cs="Arial" w:eastAsia="Arial" w:hAnsi="Arial"/>
          <w:b/>
          <w:bCs/>
          <w:color w:val="000000"/>
          <w:sz w:val="21"/>
          <w:szCs w:val="21"/>
        </w:rPr>
        <w:t xml:space="preserve">4.14 Principal findings</w:t>
      </w:r>
    </w:p>
    <w:p>
      <w:pPr>
        <w:spacing w:after="0" w:line="252"/>
        <w:ind w:left="1700" w:firstLine="0"/>
        <w:jc w:val="both"/>
      </w:pPr>
      <w:r>
        <w:rPr>
          <w:rFonts w:ascii="Times New Roman" w:cs="Times New Roman" w:eastAsia="Times New Roman" w:hAnsi="Times New Roman"/>
          <w:sz w:val="20"/>
          <w:szCs w:val="20"/>
        </w:rPr>
        <w:t xml:space="preserve">This study provides a controlled, participant-level comparison of 26 models for cross-participant EEG emotion recognition. Three principal findings emerged, each supporting one of the hypotheses. First, without any data from the new user, four-class accuracy was modest for every model, and the best deep model was statistically equivalent to a two-layer perceptron within ±3 percentage points. Second, about 80 s of labelled calibration data raised accuracy by roughly 20 points, but only for models trained with contrastive, adversarial or pseudo-label objectives; supervised networks barely changed. Third, a six-electrode frontal–temporal montage retained about 91% of calibrated full-montage accuracy, and participants who were decoded well with 62 electrodes were also decoded well with six. These findings were stable across mixed-effects, jackknife, seed-wise, balanced-accuracy and equivalence analyses.</w:t>
      </w:r>
    </w:p>
    <w:p>
      <w:pPr>
        <w:pStyle w:val="Heading2"/>
        <w:keepNext/>
        <w:spacing w:after="40" w:before="220"/>
        <w:ind w:left="1700"/>
      </w:pPr>
      <w:r>
        <w:rPr>
          <w:rFonts w:ascii="Arial" w:cs="Arial" w:eastAsia="Arial" w:hAnsi="Arial"/>
          <w:b/>
          <w:bCs/>
          <w:color w:val="000000"/>
          <w:sz w:val="21"/>
          <w:szCs w:val="21"/>
        </w:rPr>
        <w:t xml:space="preserve">4.15 Comparison with previous studies</w:t>
      </w:r>
    </w:p>
    <w:p>
      <w:pPr>
        <w:spacing w:after="0" w:line="252"/>
        <w:ind w:left="1700" w:firstLine="0"/>
        <w:jc w:val="both"/>
      </w:pPr>
      <w:r>
        <w:rPr>
          <w:rFonts w:ascii="Times New Roman" w:cs="Times New Roman" w:eastAsia="Times New Roman" w:hAnsi="Times New Roman"/>
          <w:sz w:val="20"/>
          <w:szCs w:val="20"/>
        </w:rPr>
        <w:t xml:space="preserve">Our calibrated accuracies (0.678 with 62 electrodes) fall within the range reported for cross-participant SEED-IV studies, whereas our zero-shot accuracies (0.485) fall below it (Table 1). Many of the higher published values were obtained with domain-adaptation methods that use unlabelled or labelled data from the test participant</w:t>
      </w:r>
      <w:r>
        <w:rPr>
          <w:rFonts w:ascii="Times New Roman" w:cs="Times New Roman" w:eastAsia="Times New Roman" w:hAnsi="Times New Roman"/>
          <w:color w:val="1F4E9A"/>
          <w:sz w:val="20"/>
          <w:szCs w:val="20"/>
          <w:vertAlign w:val="superscript"/>
        </w:rPr>
        <w:t xml:space="preserve">7,8,11,44</w:t>
      </w:r>
      <w:r>
        <w:rPr>
          <w:rFonts w:ascii="Times New Roman" w:cs="Times New Roman" w:eastAsia="Times New Roman" w:hAnsi="Times New Roman"/>
          <w:sz w:val="20"/>
          <w:szCs w:val="20"/>
        </w:rPr>
        <w:t xml:space="preserve">, which is consistent with our observation that target data, rather than architecture, accounts for most of the measurable gain. Our findings also agree with the brain–computer-interface literature, in which a short per-user calibration is standard and transfer learning mainly serves to shorten it</w:t>
      </w:r>
      <w:r>
        <w:rPr>
          <w:rFonts w:ascii="Times New Roman" w:cs="Times New Roman" w:eastAsia="Times New Roman" w:hAnsi="Times New Roman"/>
          <w:color w:val="1F4E9A"/>
          <w:sz w:val="20"/>
          <w:szCs w:val="20"/>
          <w:vertAlign w:val="superscript"/>
        </w:rPr>
        <w:t xml:space="preserve">26,27,29</w:t>
      </w:r>
      <w:r>
        <w:rPr>
          <w:rFonts w:ascii="Times New Roman" w:cs="Times New Roman" w:eastAsia="Times New Roman" w:hAnsi="Times New Roman"/>
          <w:sz w:val="20"/>
          <w:szCs w:val="20"/>
        </w:rPr>
        <w:t xml:space="preserve">. The original CLISA reported strong cross-participant performance using inter-participant alignment of time-locked responses</w:t>
      </w:r>
      <w:r>
        <w:rPr>
          <w:rFonts w:ascii="Times New Roman" w:cs="Times New Roman" w:eastAsia="Times New Roman" w:hAnsi="Times New Roman"/>
          <w:color w:val="1F4E9A"/>
          <w:sz w:val="20"/>
          <w:szCs w:val="20"/>
          <w:vertAlign w:val="superscript"/>
        </w:rPr>
        <w:t xml:space="preserve">5</w:t>
      </w:r>
      <w:r>
        <w:rPr>
          <w:rFonts w:ascii="Times New Roman" w:cs="Times New Roman" w:eastAsia="Times New Roman" w:hAnsi="Times New Roman"/>
          <w:sz w:val="20"/>
          <w:szCs w:val="20"/>
        </w:rPr>
        <w:t xml:space="preserve">; our two-stage model used single-window augmentations instead, and its zero-shot equivalence with a perceptron suggests that this form of contrastive pretraining alone does not produce participant-invariant representations.</w:t>
      </w:r>
    </w:p>
    <w:p>
      <w:pPr>
        <w:spacing w:after="0" w:line="252"/>
        <w:ind w:left="1700" w:firstLine="240"/>
        <w:jc w:val="both"/>
      </w:pPr>
      <w:r>
        <w:rPr>
          <w:rFonts w:ascii="Times New Roman" w:cs="Times New Roman" w:eastAsia="Times New Roman" w:hAnsi="Times New Roman"/>
          <w:sz w:val="20"/>
          <w:szCs w:val="20"/>
        </w:rPr>
        <w:t xml:space="preserve">The electrode-reduction results extend the subject-dependent findings of Zheng and Lu, who showed that small lateral temporal subsets retained most of the information in SEED</w:t>
      </w:r>
      <w:r>
        <w:rPr>
          <w:rFonts w:ascii="Times New Roman" w:cs="Times New Roman" w:eastAsia="Times New Roman" w:hAnsi="Times New Roman"/>
          <w:color w:val="1F4E9A"/>
          <w:sz w:val="20"/>
          <w:szCs w:val="20"/>
          <w:vertAlign w:val="superscript"/>
        </w:rPr>
        <w:t xml:space="preserve">3</w:t>
      </w:r>
      <w:r>
        <w:rPr>
          <w:rFonts w:ascii="Times New Roman" w:cs="Times New Roman" w:eastAsia="Times New Roman" w:hAnsi="Times New Roman"/>
          <w:sz w:val="20"/>
          <w:szCs w:val="20"/>
        </w:rPr>
        <w:t xml:space="preserve">, to the cross-participant setting. The attribution results, which placed the most informative electrodes for fear over parieto-occipital cortex, are consistent with reports that emotion-related activity is not confined to frontal sites</w:t>
      </w:r>
      <w:r>
        <w:rPr>
          <w:rFonts w:ascii="Times New Roman" w:cs="Times New Roman" w:eastAsia="Times New Roman" w:hAnsi="Times New Roman"/>
          <w:color w:val="1F4E9A"/>
          <w:sz w:val="20"/>
          <w:szCs w:val="20"/>
          <w:vertAlign w:val="superscript"/>
        </w:rPr>
        <w:t xml:space="preserve">22,23</w:t>
      </w:r>
      <w:r>
        <w:rPr>
          <w:rFonts w:ascii="Times New Roman" w:cs="Times New Roman" w:eastAsia="Times New Roman" w:hAnsi="Times New Roman"/>
          <w:sz w:val="20"/>
          <w:szCs w:val="20"/>
        </w:rPr>
        <w:t xml:space="preserve">, and they explain why fear recall dropped most when the montage was reduced.</w:t>
      </w:r>
    </w:p>
    <w:p>
      <w:pPr>
        <w:spacing w:after="0" w:line="252"/>
        <w:ind w:left="1700" w:firstLine="240"/>
        <w:jc w:val="both"/>
      </w:pPr>
      <w:r>
        <w:rPr>
          <w:rFonts w:ascii="Times New Roman" w:cs="Times New Roman" w:eastAsia="Times New Roman" w:hAnsi="Times New Roman"/>
          <w:sz w:val="20"/>
          <w:szCs w:val="20"/>
        </w:rPr>
        <w:t xml:space="preserve">The calibrated mean of CLISA-EWU (67.8%) lies within the range of published cross-participant SEED-IV results (Table 1), and the zero-shot mean (48.5%) lies below it. Because the published values differ in their use of target-participant data and in reporting unit, they cannot be ranked against the present results; a fair comparison requires re-evaluating published architectures under both protocols used here.</w:t>
      </w:r>
    </w:p>
    <w:p>
      <w:pPr>
        <w:pStyle w:val="Heading2"/>
        <w:keepNext/>
        <w:spacing w:after="40" w:before="220"/>
        <w:ind w:left="1700"/>
      </w:pPr>
      <w:r>
        <w:rPr>
          <w:rFonts w:ascii="Arial" w:cs="Arial" w:eastAsia="Arial" w:hAnsi="Arial"/>
          <w:b/>
          <w:bCs/>
          <w:color w:val="000000"/>
          <w:sz w:val="21"/>
          <w:szCs w:val="21"/>
        </w:rPr>
        <w:t xml:space="preserve">4.16 Possible mechanisms</w:t>
      </w:r>
    </w:p>
    <w:p>
      <w:pPr>
        <w:spacing w:after="0" w:line="252"/>
        <w:ind w:left="1700" w:firstLine="0"/>
        <w:jc w:val="both"/>
      </w:pPr>
      <w:r>
        <w:rPr>
          <w:rFonts w:ascii="Times New Roman" w:cs="Times New Roman" w:eastAsia="Times New Roman" w:hAnsi="Times New Roman"/>
          <w:sz w:val="20"/>
          <w:szCs w:val="20"/>
        </w:rPr>
        <w:t xml:space="preserve">Why calibration helped some models much more than others is not established by this study, but three mechanisms are plausible. First, calibration updates batch-normalisation statistics with data from the new participant, which is itself an effective form of domain adaptation</w:t>
      </w:r>
      <w:r>
        <w:rPr>
          <w:rFonts w:ascii="Times New Roman" w:cs="Times New Roman" w:eastAsia="Times New Roman" w:hAnsi="Times New Roman"/>
          <w:color w:val="1F4E9A"/>
          <w:sz w:val="20"/>
          <w:szCs w:val="20"/>
          <w:vertAlign w:val="superscript"/>
        </w:rPr>
        <w:t xml:space="preserve">45</w:t>
      </w:r>
      <w:r>
        <w:rPr>
          <w:rFonts w:ascii="Times New Roman" w:cs="Times New Roman" w:eastAsia="Times New Roman" w:hAnsi="Times New Roman"/>
          <w:sz w:val="20"/>
          <w:szCs w:val="20"/>
        </w:rPr>
        <w:t xml:space="preserve">; all deep models had batch normalisation, so this alone cannot explain the difference. Second, the supervised networks reached near-perfect validation scores on windows from the training participants, suggesting sharp, overconfident decision boundaries that ten epochs at a small learning rate could not move, whereas contrastive and adversarial objectives produce smoother representations that a few labelled samples can re-align. Third, the pseudo-label and adversarial objectives explicitly reduce reliance on participant-specific features, which may leave more class information available for rapid re-weighting. Distinguishing these mechanisms requires the calibration ablation and the trial-held-out protocol described in the future work.</w:t>
      </w:r>
    </w:p>
    <w:p>
      <w:pPr>
        <w:pStyle w:val="Heading2"/>
        <w:keepNext/>
        <w:spacing w:after="40" w:before="220"/>
        <w:ind w:left="1700"/>
      </w:pPr>
      <w:r>
        <w:rPr>
          <w:rFonts w:ascii="Arial" w:cs="Arial" w:eastAsia="Arial" w:hAnsi="Arial"/>
          <w:b/>
          <w:bCs/>
          <w:color w:val="000000"/>
          <w:sz w:val="21"/>
          <w:szCs w:val="21"/>
        </w:rPr>
        <w:t xml:space="preserve">4.17 Strengths and limitations</w:t>
      </w:r>
    </w:p>
    <w:p>
      <w:pPr>
        <w:spacing w:after="0" w:line="252"/>
        <w:ind w:left="1700" w:firstLine="0"/>
        <w:jc w:val="both"/>
      </w:pPr>
      <w:r>
        <w:rPr>
          <w:rFonts w:ascii="Times New Roman" w:cs="Times New Roman" w:eastAsia="Times New Roman" w:hAnsi="Times New Roman"/>
          <w:sz w:val="20"/>
          <w:szCs w:val="20"/>
        </w:rPr>
        <w:t xml:space="preserve">The study has several strengths. All 26 models were evaluated under an identical protocol with the same splits, seeds and features, removing the protocol differences that confound comparisons between published studies. Every result was summarised at the participant level, the unit of generalisation, with bootstrap confidence intervals, paired non-parametric tests with multiplicity correction, effect sizes, rank-based omnibus tests and six sensitivity analyses, including an equivalence test that allows a positive conclusion of no meaningful difference. The evaluation reported both zero-shot and calibrated performance, a broad set of complementary metrics, variance decomposition and class-level behaviour. Errors found during the analysis, including a mislabelled metric and an invalid statistical test in the earlier thesis draft, were corrected and documented, and all per-fold outputs and analysis scripts are openly available.</w:t>
      </w:r>
    </w:p>
    <w:p>
      <w:pPr>
        <w:spacing w:after="0" w:line="252"/>
        <w:ind w:left="1700" w:firstLine="240"/>
        <w:jc w:val="both"/>
      </w:pPr>
      <w:r>
        <w:rPr>
          <w:rFonts w:ascii="Times New Roman" w:cs="Times New Roman" w:eastAsia="Times New Roman" w:hAnsi="Times New Roman"/>
          <w:sz w:val="20"/>
          <w:szCs w:val="20"/>
        </w:rPr>
        <w:t xml:space="preserve">This study has limitations. The cohort was small (15 participants), healthy and drawn from one laboratory, and emotions were elicited with film clips under controlled conditions; generalisation to other populations, naturalistic settings and clinical groups is unknown</w:t>
      </w:r>
      <w:r>
        <w:rPr>
          <w:rFonts w:ascii="Times New Roman" w:cs="Times New Roman" w:eastAsia="Times New Roman" w:hAnsi="Times New Roman"/>
          <w:color w:val="1F4E9A"/>
          <w:sz w:val="20"/>
          <w:szCs w:val="20"/>
          <w:vertAlign w:val="superscript"/>
        </w:rPr>
        <w:t xml:space="preserve">3,24,25</w:t>
      </w:r>
      <w:r>
        <w:rPr>
          <w:rFonts w:ascii="Times New Roman" w:cs="Times New Roman" w:eastAsia="Times New Roman" w:hAnsi="Times New Roman"/>
          <w:sz w:val="20"/>
          <w:szCs w:val="20"/>
        </w:rPr>
        <w:t xml:space="preserve">. The six-electrode montage was simulated by selecting channels from a laboratory cap rather than recorded with a wearable device. Calibration windows were sampled across trials, so calibration and test windows could share a trial, which may have inflated calibrated accuracy</w:t>
      </w:r>
      <w:r>
        <w:rPr>
          <w:rFonts w:ascii="Times New Roman" w:cs="Times New Roman" w:eastAsia="Times New Roman" w:hAnsi="Times New Roman"/>
          <w:color w:val="1F4E9A"/>
          <w:sz w:val="20"/>
          <w:szCs w:val="20"/>
          <w:vertAlign w:val="superscript"/>
        </w:rPr>
        <w:t xml:space="preserve">18</w:t>
      </w:r>
      <w:r>
        <w:rPr>
          <w:rFonts w:ascii="Times New Roman" w:cs="Times New Roman" w:eastAsia="Times New Roman" w:hAnsi="Times New Roman"/>
          <w:sz w:val="20"/>
          <w:szCs w:val="20"/>
        </w:rPr>
        <w:t xml:space="preserve">. Labels were assigned per film clip rather than per moment. We used precomputed features, so preprocessing choices could not be varied, and hyperparameters were not tuned separately for each model. Finally, the contrastive model contrasted augmented views of single windows rather than aligning participants explicitly, so its gains should not be attributed to inter-participant alignment.</w:t>
      </w:r>
    </w:p>
    <w:p>
      <w:pPr>
        <w:spacing w:after="0" w:line="252"/>
        <w:ind w:left="1700" w:firstLine="240"/>
        <w:jc w:val="both"/>
      </w:pPr>
      <w:r>
        <w:rPr>
          <w:rFonts w:ascii="Times New Roman" w:cs="Times New Roman" w:eastAsia="Times New Roman" w:hAnsi="Times New Roman"/>
          <w:sz w:val="20"/>
          <w:szCs w:val="20"/>
        </w:rPr>
        <w:t xml:space="preserve">The sample of 15 participants also limits statistical power: differences smaller than about 1.5 percentage points with 62 electrodes and 3.3 points with six electrodes between the leading models could not be resolved reliably, so non-significant comparisons among them are inconclusive. Finally, the confusion-matrix metrics could be computed only for the two models whose run logs stored confusion matrices.</w:t>
      </w:r>
    </w:p>
    <w:p>
      <w:pPr>
        <w:pStyle w:val="Heading2"/>
        <w:keepNext/>
        <w:spacing w:after="40" w:before="220"/>
        <w:ind w:left="1700"/>
      </w:pPr>
      <w:r>
        <w:rPr>
          <w:rFonts w:ascii="Arial" w:cs="Arial" w:eastAsia="Arial" w:hAnsi="Arial"/>
          <w:b/>
          <w:bCs/>
          <w:color w:val="000000"/>
          <w:sz w:val="21"/>
          <w:szCs w:val="21"/>
        </w:rPr>
        <w:t xml:space="preserve">4.18 Implications for research and practice</w:t>
      </w:r>
    </w:p>
    <w:p>
      <w:pPr>
        <w:spacing w:after="0" w:line="252"/>
        <w:ind w:left="1700" w:firstLine="0"/>
        <w:jc w:val="both"/>
      </w:pPr>
      <w:r>
        <w:rPr>
          <w:rFonts w:ascii="Times New Roman" w:cs="Times New Roman" w:eastAsia="Times New Roman" w:hAnsi="Times New Roman"/>
          <w:sz w:val="20"/>
          <w:szCs w:val="20"/>
        </w:rPr>
        <w:t xml:space="preserve">These findings change how cross-participant results should be read. Much of the published progress on SEED-IV has been attributed to architectural innovation, yet our results suggest that the protocol, and specifically whether and how target-participant data are used, may explain as much variance as the architecture. Under calibration, the ordering of model families inverted: supervised networks that matched self-supervised models zero-shot fell far behind them. Comparisons that mix zero-shot, transductive and calibrated results, or that compare a best fold with another study's mean, are therefore uninterpretable. We recommend that cross-participant EEG studies report zero-shot and calibrated results separately, specify the number and selection of calibration samples, keep calibration and test trials disjoint, and summarise results at the participant level with confidence intervals</w:t>
      </w:r>
      <w:r>
        <w:rPr>
          <w:rFonts w:ascii="Times New Roman" w:cs="Times New Roman" w:eastAsia="Times New Roman" w:hAnsi="Times New Roman"/>
          <w:color w:val="1F4E9A"/>
          <w:sz w:val="20"/>
          <w:szCs w:val="20"/>
          <w:vertAlign w:val="superscript"/>
        </w:rPr>
        <w:t xml:space="preserve">17,54</w:t>
      </w:r>
      <w:r>
        <w:rPr>
          <w:rFonts w:ascii="Times New Roman" w:cs="Times New Roman" w:eastAsia="Times New Roman" w:hAnsi="Times New Roman"/>
          <w:sz w:val="20"/>
          <w:szCs w:val="20"/>
        </w:rPr>
        <w:t xml:space="preserve">.</w:t>
      </w:r>
    </w:p>
    <w:p>
      <w:pPr>
        <w:spacing w:after="0" w:line="252"/>
        <w:ind w:left="1700" w:firstLine="240"/>
        <w:jc w:val="both"/>
      </w:pPr>
      <w:r>
        <w:rPr>
          <w:rFonts w:ascii="Times New Roman" w:cs="Times New Roman" w:eastAsia="Times New Roman" w:hAnsi="Times New Roman"/>
          <w:sz w:val="20"/>
          <w:szCs w:val="20"/>
        </w:rPr>
        <w:t xml:space="preserve">For research, the results indicate that cross-participant EEG emotion recognition should be reported with five elements: zero-shot and calibrated results reported separately; the number, selection and timing of calibration samples; calibration and test data drawn from disjoint trials; participant-level summaries with confidence intervals and paired tests; and per-fold outputs made available. Without these, differences between published methods cannot be attributed to the methods themselves</w:t>
      </w:r>
      <w:r>
        <w:rPr>
          <w:rFonts w:ascii="Times New Roman" w:cs="Times New Roman" w:eastAsia="Times New Roman" w:hAnsi="Times New Roman"/>
          <w:color w:val="1F4E9A"/>
          <w:sz w:val="20"/>
          <w:szCs w:val="20"/>
          <w:vertAlign w:val="superscript"/>
        </w:rPr>
        <w:t xml:space="preserve">17,54,55</w:t>
      </w:r>
      <w:r>
        <w:rPr>
          <w:rFonts w:ascii="Times New Roman" w:cs="Times New Roman" w:eastAsia="Times New Roman" w:hAnsi="Times New Roman"/>
          <w:sz w:val="20"/>
          <w:szCs w:val="20"/>
        </w:rPr>
        <w:t xml:space="preserve">.</w:t>
      </w:r>
    </w:p>
    <w:p>
      <w:pPr>
        <w:spacing w:after="0" w:line="252"/>
        <w:ind w:left="1700" w:firstLine="240"/>
        <w:jc w:val="both"/>
      </w:pPr>
      <w:r>
        <w:rPr>
          <w:rFonts w:ascii="Times New Roman" w:cs="Times New Roman" w:eastAsia="Times New Roman" w:hAnsi="Times New Roman"/>
          <w:sz w:val="20"/>
          <w:szCs w:val="20"/>
        </w:rPr>
        <w:t xml:space="preserve">For practice, a short calibration session is acceptable in most consumer and research workflows, and a headband carrying frontal and temporal electrodes appears to retain most of the decodable signal under calibration. Because the seed-dependent choice of calibration windows accounted for up to 9% of the variance in accuracy, averaging over several calibration draws or selecting calibration trials systematically would make deployed systems more stable. Nevertheless, the absolute calibrated accuracy (about 62% for four classes with six electrodes) and the large between-participant spread mean that individual predictions remain unreliable, and the system is not suitable for clinical decision-making.</w:t>
      </w:r>
    </w:p>
    <w:p>
      <w:pPr>
        <w:pStyle w:val="Heading1"/>
        <w:keepNext/>
        <w:spacing w:after="40" w:before="300"/>
        <w:ind w:left="1700"/>
      </w:pPr>
      <w:r>
        <w:rPr>
          <w:rFonts w:ascii="Arial" w:cs="Arial" w:eastAsia="Arial" w:hAnsi="Arial"/>
          <w:b/>
          <w:bCs/>
          <w:color w:val="000000"/>
          <w:sz w:val="26"/>
          <w:szCs w:val="26"/>
        </w:rPr>
        <w:t xml:space="preserve">5 Conclusion and Future Work</w:t>
      </w:r>
    </w:p>
    <w:p>
      <w:pPr>
        <w:spacing w:after="0" w:line="252"/>
        <w:ind w:left="1700" w:firstLine="0"/>
        <w:jc w:val="both"/>
      </w:pPr>
      <w:r>
        <w:rPr>
          <w:rFonts w:ascii="Times New Roman" w:cs="Times New Roman" w:eastAsia="Times New Roman" w:hAnsi="Times New Roman"/>
          <w:sz w:val="20"/>
          <w:szCs w:val="20"/>
        </w:rPr>
        <w:t xml:space="preserve">In this benchmark of 26 models under one leave-one-participant-out protocol, three findings stand out. First, decoding four emotions in an unseen participant without any of their data was modest for every model, and the deep architectures, including the contrastive model of primary interest, did not clearly outperform a two-layer perceptron. Second, about 80 s of labelled calibration data raised accuracy by roughly 20 percentage points, but only for models trained with contrastive, domain-adversarial or pseudo-label objectives. Third, a six-electrode frontal–temporal montage retained about nine-tenths of calibrated full-montage performance. In a controlled participant-independent benchmark, brief labelled calibration rather than architecture accounted for most of the measurable gain in EEG emotion recognition, and a six-electrode wearable-compatible montage retained about 91% of calibrated performance. Rigorous separation of zero-shot and calibrated evaluation, external validation and real wearable recordings are the next steps towards dependable EEG-based affect sensing.</w:t>
      </w:r>
    </w:p>
    <w:p>
      <w:pPr>
        <w:spacing w:after="0" w:line="252"/>
        <w:ind w:left="1700" w:firstLine="240"/>
        <w:jc w:val="both"/>
      </w:pPr>
      <w:r>
        <w:rPr>
          <w:rFonts w:ascii="Times New Roman" w:cs="Times New Roman" w:eastAsia="Times New Roman" w:hAnsi="Times New Roman"/>
          <w:sz w:val="20"/>
          <w:szCs w:val="20"/>
        </w:rPr>
        <w:t xml:space="preserve">Future work will address the limitations identified above:</w:t>
      </w:r>
    </w:p>
    <w:p>
      <w:pPr>
        <w:pStyle w:val="ListParagraph"/>
        <w:numPr>
          <w:ilvl w:val="0"/>
          <w:numId w:val="3"/>
        </w:numPr>
        <w:spacing w:after="40" w:before="40" w:line="252"/>
        <w:jc w:val="both"/>
      </w:pPr>
      <w:r>
        <w:rPr>
          <w:rFonts w:ascii="Times New Roman" w:cs="Times New Roman" w:eastAsia="Times New Roman" w:hAnsi="Times New Roman"/>
          <w:sz w:val="20"/>
          <w:szCs w:val="20"/>
        </w:rPr>
        <w:t xml:space="preserve">External validation on SEED, SEED-V and FACED, and training on SEED-IV with testing on these datasets without retraining</w:t>
      </w:r>
      <w:r>
        <w:rPr>
          <w:rFonts w:ascii="Times New Roman" w:cs="Times New Roman" w:eastAsia="Times New Roman" w:hAnsi="Times New Roman"/>
          <w:color w:val="1F4E9A"/>
          <w:sz w:val="20"/>
          <w:szCs w:val="20"/>
          <w:vertAlign w:val="superscript"/>
        </w:rPr>
        <w:t xml:space="preserve">3,24,25</w:t>
      </w:r>
      <w:r>
        <w:rPr>
          <w:rFonts w:ascii="Times New Roman" w:cs="Times New Roman" w:eastAsia="Times New Roman" w:hAnsi="Times New Roman"/>
          <w:sz w:val="20"/>
          <w:szCs w:val="20"/>
        </w:rPr>
        <w:t xml:space="preserve">.</w:t>
      </w:r>
    </w:p>
    <w:p>
      <w:pPr>
        <w:pStyle w:val="ListParagraph"/>
        <w:numPr>
          <w:ilvl w:val="0"/>
          <w:numId w:val="3"/>
        </w:numPr>
        <w:spacing w:after="40" w:before="40" w:line="252"/>
        <w:jc w:val="both"/>
      </w:pPr>
      <w:r>
        <w:rPr>
          <w:rFonts w:ascii="Times New Roman" w:cs="Times New Roman" w:eastAsia="Times New Roman" w:hAnsi="Times New Roman"/>
          <w:sz w:val="20"/>
          <w:szCs w:val="20"/>
        </w:rPr>
        <w:t xml:space="preserve">A trial-held-out calibration protocol (calibrate on session 1, test on sessions 2–3) and a calibration-budget curve of 5–200 windows to remove the trial-overlap optimism of the present calibration.</w:t>
      </w:r>
    </w:p>
    <w:p>
      <w:pPr>
        <w:pStyle w:val="ListParagraph"/>
        <w:numPr>
          <w:ilvl w:val="0"/>
          <w:numId w:val="3"/>
        </w:numPr>
        <w:spacing w:after="40" w:before="40" w:line="252"/>
        <w:jc w:val="both"/>
      </w:pPr>
      <w:r>
        <w:rPr>
          <w:rFonts w:ascii="Times New Roman" w:cs="Times New Roman" w:eastAsia="Times New Roman" w:hAnsi="Times New Roman"/>
          <w:sz w:val="20"/>
          <w:szCs w:val="20"/>
        </w:rPr>
        <w:t xml:space="preserve">An ablation that calibrates only batch-normalisation statistics, only the classifier, or all parameters, to identify the mechanism behind the objective-dependent calibration gain.</w:t>
      </w:r>
    </w:p>
    <w:p>
      <w:pPr>
        <w:pStyle w:val="ListParagraph"/>
        <w:numPr>
          <w:ilvl w:val="0"/>
          <w:numId w:val="3"/>
        </w:numPr>
        <w:spacing w:after="40" w:before="40" w:line="252"/>
        <w:jc w:val="both"/>
      </w:pPr>
      <w:r>
        <w:rPr>
          <w:rFonts w:ascii="Times New Roman" w:cs="Times New Roman" w:eastAsia="Times New Roman" w:hAnsi="Times New Roman"/>
          <w:sz w:val="20"/>
          <w:szCs w:val="20"/>
        </w:rPr>
        <w:t xml:space="preserve">A true inter-participant contrastive objective with stimulus-aligned positives from different participants, to test whether zero-shot accuracy can be improved.</w:t>
      </w:r>
    </w:p>
    <w:p>
      <w:pPr>
        <w:pStyle w:val="ListParagraph"/>
        <w:numPr>
          <w:ilvl w:val="0"/>
          <w:numId w:val="3"/>
        </w:numPr>
        <w:spacing w:after="40" w:before="40" w:line="252"/>
        <w:jc w:val="both"/>
      </w:pPr>
      <w:r>
        <w:rPr>
          <w:rFonts w:ascii="Times New Roman" w:cs="Times New Roman" w:eastAsia="Times New Roman" w:hAnsi="Times New Roman"/>
          <w:sz w:val="20"/>
          <w:szCs w:val="20"/>
        </w:rPr>
        <w:t xml:space="preserve">A seven- or eight-electrode montage that adds a parieto-occipital site, motivated by the attribution results for fear.</w:t>
      </w:r>
    </w:p>
    <w:p>
      <w:pPr>
        <w:pStyle w:val="ListParagraph"/>
        <w:numPr>
          <w:ilvl w:val="0"/>
          <w:numId w:val="3"/>
        </w:numPr>
        <w:spacing w:after="40" w:before="40" w:line="252"/>
        <w:jc w:val="both"/>
      </w:pPr>
      <w:r>
        <w:rPr>
          <w:rFonts w:ascii="Times New Roman" w:cs="Times New Roman" w:eastAsia="Times New Roman" w:hAnsi="Times New Roman"/>
          <w:sz w:val="20"/>
          <w:szCs w:val="20"/>
        </w:rPr>
        <w:t xml:space="preserve">Recording a new cohort with a dry-electrode wearable headband and real-time deployment of the NeuroSync interface, followed by studies in clinically relevant populations.</w:t>
      </w:r>
    </w:p>
    <w:p>
      <w:pPr>
        <w:pStyle w:val="Heading1"/>
        <w:keepNext/>
        <w:spacing w:after="40" w:before="300"/>
        <w:ind w:left="1700"/>
      </w:pPr>
      <w:r>
        <w:rPr>
          <w:rFonts w:ascii="Arial" w:cs="Arial" w:eastAsia="Arial" w:hAnsi="Arial"/>
          <w:b/>
          <w:bCs/>
          <w:color w:val="000000"/>
          <w:sz w:val="26"/>
          <w:szCs w:val="26"/>
        </w:rPr>
        <w:t xml:space="preserve">Data availability</w:t>
      </w:r>
    </w:p>
    <w:p>
      <w:pPr>
        <w:spacing w:after="0" w:line="252"/>
        <w:ind w:left="1700" w:firstLine="0"/>
        <w:jc w:val="both"/>
      </w:pPr>
      <w:r>
        <w:rPr>
          <w:rFonts w:ascii="Times New Roman" w:cs="Times New Roman" w:eastAsia="Times New Roman" w:hAnsi="Times New Roman"/>
          <w:sz w:val="20"/>
          <w:szCs w:val="20"/>
        </w:rPr>
        <w:t xml:space="preserve">The SEED-IV dataset is available from its providers under their licence at https://bcmi.sjtu.edu.cn/home/seed/. Data splits, per-fold predictions, confusion matrices and result tables are available at https://github.com/saifkhancse/clisa-ewu-brain-informatics </w:t>
      </w:r>
      <w:r>
        <w:rPr>
          <w:rFonts w:ascii="Times New Roman" w:cs="Times New Roman" w:eastAsia="Times New Roman" w:hAnsi="Times New Roman"/>
          <w:sz w:val="20"/>
          <w:szCs w:val="20"/>
          <w:highlight w:val="yellow"/>
          <w:highlightCs w:val="yellow"/>
        </w:rPr>
        <w:t xml:space="preserve">[archive a tagged release on Zenodo and cite its DOI]</w:t>
      </w:r>
      <w:r>
        <w:rPr>
          <w:rFonts w:ascii="Times New Roman" w:cs="Times New Roman" w:eastAsia="Times New Roman" w:hAnsi="Times New Roman"/>
          <w:sz w:val="20"/>
          <w:szCs w:val="20"/>
        </w:rPr>
        <w:t xml:space="preserve">.</w:t>
      </w:r>
    </w:p>
    <w:p>
      <w:pPr>
        <w:pStyle w:val="Heading1"/>
        <w:keepNext/>
        <w:spacing w:after="40" w:before="300"/>
        <w:ind w:left="1700"/>
      </w:pPr>
      <w:r>
        <w:rPr>
          <w:rFonts w:ascii="Arial" w:cs="Arial" w:eastAsia="Arial" w:hAnsi="Arial"/>
          <w:b/>
          <w:bCs/>
          <w:color w:val="000000"/>
          <w:sz w:val="26"/>
          <w:szCs w:val="26"/>
        </w:rPr>
        <w:t xml:space="preserve">Code availability</w:t>
      </w:r>
    </w:p>
    <w:p>
      <w:pPr>
        <w:spacing w:after="0" w:line="252"/>
        <w:ind w:left="1700" w:firstLine="0"/>
        <w:jc w:val="both"/>
      </w:pPr>
      <w:r>
        <w:rPr>
          <w:rFonts w:ascii="Times New Roman" w:cs="Times New Roman" w:eastAsia="Times New Roman" w:hAnsi="Times New Roman"/>
          <w:sz w:val="20"/>
          <w:szCs w:val="20"/>
        </w:rPr>
        <w:t xml:space="preserve">Model, training, evaluation and analysis code, including the scripts that regenerate every statistic and figure in this paper, is available at https://github.com/saifkhancse/clisa-ewu-brain-informatics.</w:t>
      </w:r>
    </w:p>
    <w:p>
      <w:pPr>
        <w:pStyle w:val="Heading1"/>
        <w:keepNext/>
        <w:spacing w:after="40" w:before="300"/>
        <w:ind w:left="1700"/>
      </w:pPr>
      <w:r>
        <w:rPr>
          <w:rFonts w:ascii="Arial" w:cs="Arial" w:eastAsia="Arial" w:hAnsi="Arial"/>
          <w:b/>
          <w:bCs/>
          <w:color w:val="000000"/>
          <w:sz w:val="26"/>
          <w:szCs w:val="26"/>
        </w:rPr>
        <w:t xml:space="preserve">References</w:t>
      </w:r>
    </w:p>
    <w:p>
      <w:pPr>
        <w:pStyle w:val="ListParagraph"/>
        <w:numPr>
          <w:ilvl w:val="0"/>
          <w:numId w:val="4"/>
        </w:numPr>
        <w:spacing w:after="20" w:line="230"/>
        <w:jc w:val="left"/>
      </w:pPr>
      <w:r>
        <w:rPr>
          <w:rFonts w:ascii="Times New Roman" w:cs="Times New Roman" w:eastAsia="Times New Roman" w:hAnsi="Times New Roman"/>
          <w:sz w:val="17"/>
          <w:szCs w:val="17"/>
        </w:rPr>
        <w:t xml:space="preserve">Russell, J. A. A circumplex model of affect. J. Pers. Soc. Psychol. 39, 1161–1178 (1980).</w:t>
      </w:r>
    </w:p>
    <w:p>
      <w:pPr>
        <w:pStyle w:val="ListParagraph"/>
        <w:numPr>
          <w:ilvl w:val="0"/>
          <w:numId w:val="4"/>
        </w:numPr>
        <w:spacing w:after="20" w:line="230"/>
        <w:jc w:val="left"/>
      </w:pPr>
      <w:r>
        <w:rPr>
          <w:rFonts w:ascii="Times New Roman" w:cs="Times New Roman" w:eastAsia="Times New Roman" w:hAnsi="Times New Roman"/>
          <w:sz w:val="17"/>
          <w:szCs w:val="17"/>
        </w:rPr>
        <w:t xml:space="preserve">Zheng, W.-L., Liu, W., Lu, Y., Lu, B.-L. &amp; Cichocki, A. EmotionMeter: a multimodal framework for recognizing human emotions. IEEE Trans. Cybern. 49, 1110–1122 (2019).</w:t>
      </w:r>
    </w:p>
    <w:p>
      <w:pPr>
        <w:pStyle w:val="ListParagraph"/>
        <w:numPr>
          <w:ilvl w:val="0"/>
          <w:numId w:val="4"/>
        </w:numPr>
        <w:spacing w:after="20" w:line="230"/>
        <w:jc w:val="left"/>
      </w:pPr>
      <w:r>
        <w:rPr>
          <w:rFonts w:ascii="Times New Roman" w:cs="Times New Roman" w:eastAsia="Times New Roman" w:hAnsi="Times New Roman"/>
          <w:sz w:val="17"/>
          <w:szCs w:val="17"/>
        </w:rPr>
        <w:t xml:space="preserve">Zheng, W.-L. &amp; Lu, B.-L. Investigating critical frequency bands and channels for EEG-based emotion recognition with deep neural networks. IEEE Trans. Auton. Ment. Dev. 7, 162–175 (2015).</w:t>
      </w:r>
    </w:p>
    <w:p>
      <w:pPr>
        <w:pStyle w:val="ListParagraph"/>
        <w:numPr>
          <w:ilvl w:val="0"/>
          <w:numId w:val="4"/>
        </w:numPr>
        <w:spacing w:after="20" w:line="230"/>
        <w:jc w:val="left"/>
      </w:pPr>
      <w:r>
        <w:rPr>
          <w:rFonts w:ascii="Times New Roman" w:cs="Times New Roman" w:eastAsia="Times New Roman" w:hAnsi="Times New Roman"/>
          <w:sz w:val="17"/>
          <w:szCs w:val="17"/>
        </w:rPr>
        <w:t xml:space="preserve">Koelstra, S. et al. DEAP: a database for emotion analysis using physiological signals. IEEE Trans. Affect. Comput. 3, 18–31 (2012).</w:t>
      </w:r>
    </w:p>
    <w:p>
      <w:pPr>
        <w:pStyle w:val="ListParagraph"/>
        <w:numPr>
          <w:ilvl w:val="0"/>
          <w:numId w:val="4"/>
        </w:numPr>
        <w:spacing w:after="20" w:line="230"/>
        <w:jc w:val="left"/>
      </w:pPr>
      <w:r>
        <w:rPr>
          <w:rFonts w:ascii="Times New Roman" w:cs="Times New Roman" w:eastAsia="Times New Roman" w:hAnsi="Times New Roman"/>
          <w:sz w:val="17"/>
          <w:szCs w:val="17"/>
        </w:rPr>
        <w:t xml:space="preserve">Shen, X., Liu, X., Hu, X., Zhang, D. &amp; Song, S. Contrastive learning of subject-invariant EEG representations for cross-subject emotion recognition. IEEE Trans. Affect. Comput. https://doi.org/10.1109/TAFFC.2022.3164516 (2022). </w:t>
      </w:r>
      <w:r>
        <w:rPr>
          <w:rFonts w:ascii="Times New Roman" w:cs="Times New Roman" w:eastAsia="Times New Roman" w:hAnsi="Times New Roman"/>
          <w:sz w:val="17"/>
          <w:szCs w:val="17"/>
          <w:highlight w:val="yellow"/>
          <w:highlightCs w:val="yellow"/>
        </w:rPr>
        <w:t xml:space="preserve">[verify author list]</w:t>
      </w:r>
    </w:p>
    <w:p>
      <w:pPr>
        <w:pStyle w:val="ListParagraph"/>
        <w:numPr>
          <w:ilvl w:val="0"/>
          <w:numId w:val="4"/>
        </w:numPr>
        <w:spacing w:after="20" w:line="230"/>
        <w:jc w:val="left"/>
      </w:pPr>
      <w:r>
        <w:rPr>
          <w:rFonts w:ascii="Times New Roman" w:cs="Times New Roman" w:eastAsia="Times New Roman" w:hAnsi="Times New Roman"/>
          <w:sz w:val="17"/>
          <w:szCs w:val="17"/>
        </w:rPr>
        <w:t xml:space="preserve">Ganin, Y. et al. Domain-adversarial training of neural networks. J. Mach. Learn. Res. 17, 1–35 (2016).</w:t>
      </w:r>
    </w:p>
    <w:p>
      <w:pPr>
        <w:pStyle w:val="ListParagraph"/>
        <w:numPr>
          <w:ilvl w:val="0"/>
          <w:numId w:val="4"/>
        </w:numPr>
        <w:spacing w:after="20" w:line="230"/>
        <w:jc w:val="left"/>
      </w:pPr>
      <w:r>
        <w:rPr>
          <w:rFonts w:ascii="Times New Roman" w:cs="Times New Roman" w:eastAsia="Times New Roman" w:hAnsi="Times New Roman"/>
          <w:sz w:val="17"/>
          <w:szCs w:val="17"/>
        </w:rPr>
        <w:t xml:space="preserve">Li, H., Jin, Y.-M., Zheng, W.-L. &amp; Lu, B.-L. Cross-subject emotion recognition using deep adaptation networks. In Neural Information Processing (ICONIP 2018) 403–413 (Springer, 2018).</w:t>
      </w:r>
    </w:p>
    <w:p>
      <w:pPr>
        <w:pStyle w:val="ListParagraph"/>
        <w:numPr>
          <w:ilvl w:val="0"/>
          <w:numId w:val="4"/>
        </w:numPr>
        <w:spacing w:after="20" w:line="230"/>
        <w:jc w:val="left"/>
      </w:pPr>
      <w:r>
        <w:rPr>
          <w:rFonts w:ascii="Times New Roman" w:cs="Times New Roman" w:eastAsia="Times New Roman" w:hAnsi="Times New Roman"/>
          <w:sz w:val="17"/>
          <w:szCs w:val="17"/>
        </w:rPr>
        <w:t xml:space="preserve">Li, Y., Zheng, W., Cui, Z., Zhang, T. &amp; Zong, Y. A novel neural network model based on cerebral hemispheric asymmetry for EEG emotion recognition. In Proc. IJCAI 1561–1567 (2018).</w:t>
      </w:r>
    </w:p>
    <w:p>
      <w:pPr>
        <w:pStyle w:val="ListParagraph"/>
        <w:numPr>
          <w:ilvl w:val="0"/>
          <w:numId w:val="4"/>
        </w:numPr>
        <w:spacing w:after="20" w:line="230"/>
        <w:jc w:val="left"/>
      </w:pPr>
      <w:r>
        <w:rPr>
          <w:rFonts w:ascii="Times New Roman" w:cs="Times New Roman" w:eastAsia="Times New Roman" w:hAnsi="Times New Roman"/>
          <w:sz w:val="17"/>
          <w:szCs w:val="17"/>
        </w:rPr>
        <w:t xml:space="preserve">Li, Y. et al. A novel bi-hemispheric discrepancy model for EEG emotion recognition. IEEE Trans. Cogn. Dev. Syst. 13, 354–367 (2021).</w:t>
      </w:r>
    </w:p>
    <w:p>
      <w:pPr>
        <w:pStyle w:val="ListParagraph"/>
        <w:numPr>
          <w:ilvl w:val="0"/>
          <w:numId w:val="4"/>
        </w:numPr>
        <w:spacing w:after="20" w:line="230"/>
        <w:jc w:val="left"/>
      </w:pPr>
      <w:r>
        <w:rPr>
          <w:rFonts w:ascii="Times New Roman" w:cs="Times New Roman" w:eastAsia="Times New Roman" w:hAnsi="Times New Roman"/>
          <w:sz w:val="17"/>
          <w:szCs w:val="17"/>
        </w:rPr>
        <w:t xml:space="preserve">Song, T., Zheng, W., Song, P. &amp; Cui, Z. EEG emotion recognition using dynamical graph convolutional neural networks. IEEE Trans. Affect. Comput. 11, 532–541 (2020).</w:t>
      </w:r>
    </w:p>
    <w:p>
      <w:pPr>
        <w:pStyle w:val="ListParagraph"/>
        <w:numPr>
          <w:ilvl w:val="0"/>
          <w:numId w:val="4"/>
        </w:numPr>
        <w:spacing w:after="20" w:line="230"/>
        <w:jc w:val="left"/>
      </w:pPr>
      <w:r>
        <w:rPr>
          <w:rFonts w:ascii="Times New Roman" w:cs="Times New Roman" w:eastAsia="Times New Roman" w:hAnsi="Times New Roman"/>
          <w:sz w:val="17"/>
          <w:szCs w:val="17"/>
        </w:rPr>
        <w:t xml:space="preserve">Zhong, P., Wang, D. &amp; Miao, C. EEG-based emotion recognition using regularized graph neural networks. IEEE Trans. Affect. Comput. 13, 1290–1301 (2022).</w:t>
      </w:r>
    </w:p>
    <w:p>
      <w:pPr>
        <w:pStyle w:val="ListParagraph"/>
        <w:numPr>
          <w:ilvl w:val="0"/>
          <w:numId w:val="4"/>
        </w:numPr>
        <w:spacing w:after="20" w:line="230"/>
        <w:jc w:val="left"/>
      </w:pPr>
      <w:r>
        <w:rPr>
          <w:rFonts w:ascii="Times New Roman" w:cs="Times New Roman" w:eastAsia="Times New Roman" w:hAnsi="Times New Roman"/>
          <w:sz w:val="17"/>
          <w:szCs w:val="17"/>
        </w:rPr>
        <w:t xml:space="preserve">Li, J., Li, S., Pan, J. &amp; Wang, F. Cross-subject EEG emotion recognition with self-organized graph neural network. Front. Neurosci. 15, 611653 (2021).</w:t>
      </w:r>
    </w:p>
    <w:p>
      <w:pPr>
        <w:pStyle w:val="ListParagraph"/>
        <w:numPr>
          <w:ilvl w:val="0"/>
          <w:numId w:val="4"/>
        </w:numPr>
        <w:spacing w:after="20" w:line="230"/>
        <w:jc w:val="left"/>
      </w:pPr>
      <w:r>
        <w:rPr>
          <w:rFonts w:ascii="Times New Roman" w:cs="Times New Roman" w:eastAsia="Times New Roman" w:hAnsi="Times New Roman"/>
          <w:sz w:val="17"/>
          <w:szCs w:val="17"/>
        </w:rPr>
        <w:t xml:space="preserve">Zhang, J. et al. Subject-independent emotion recognition based on EEG frequency band features and self-adaptive graph construction. Brain Sci. 14, 271 (2024).</w:t>
      </w:r>
    </w:p>
    <w:p>
      <w:pPr>
        <w:pStyle w:val="ListParagraph"/>
        <w:numPr>
          <w:ilvl w:val="0"/>
          <w:numId w:val="4"/>
        </w:numPr>
        <w:spacing w:after="20" w:line="230"/>
        <w:jc w:val="left"/>
      </w:pPr>
      <w:r>
        <w:rPr>
          <w:rFonts w:ascii="Times New Roman" w:cs="Times New Roman" w:eastAsia="Times New Roman" w:hAnsi="Times New Roman"/>
          <w:sz w:val="17"/>
          <w:szCs w:val="17"/>
        </w:rPr>
        <w:t xml:space="preserve">Zhang, S., Chu, C., Zhang, X. &amp; Zhang, X. EEG emotion recognition using AttGraph: a multi-dimensional attention-based dynamic graph convolutional network. Brain Sci. 15, 615 (2025).</w:t>
      </w:r>
    </w:p>
    <w:p>
      <w:pPr>
        <w:pStyle w:val="ListParagraph"/>
        <w:numPr>
          <w:ilvl w:val="0"/>
          <w:numId w:val="4"/>
        </w:numPr>
        <w:spacing w:after="20" w:line="230"/>
        <w:jc w:val="left"/>
      </w:pPr>
      <w:r>
        <w:rPr>
          <w:rFonts w:ascii="Times New Roman" w:cs="Times New Roman" w:eastAsia="Times New Roman" w:hAnsi="Times New Roman"/>
          <w:sz w:val="17"/>
          <w:szCs w:val="17"/>
        </w:rPr>
        <w:t xml:space="preserve">Ahuja, C. &amp; Sethia, D. SS-EMERGE: self-supervised enhancement for multidimension emotion recognition using GNNs for EEG. Sci. Rep. 15, 14254 (2025).</w:t>
      </w:r>
    </w:p>
    <w:p>
      <w:pPr>
        <w:pStyle w:val="ListParagraph"/>
        <w:numPr>
          <w:ilvl w:val="0"/>
          <w:numId w:val="4"/>
        </w:numPr>
        <w:spacing w:after="20" w:line="230"/>
        <w:jc w:val="left"/>
      </w:pPr>
      <w:r>
        <w:rPr>
          <w:rFonts w:ascii="Times New Roman" w:cs="Times New Roman" w:eastAsia="Times New Roman" w:hAnsi="Times New Roman"/>
          <w:sz w:val="17"/>
          <w:szCs w:val="17"/>
        </w:rPr>
        <w:t xml:space="preserve">Saeb, S., Lonini, L., Jayaraman, A., Mohr, D. C. &amp; Kording, K. P. The need to approximate the use-case in clinical machine learning. GigaScience 6, 1–9 (2017).</w:t>
      </w:r>
    </w:p>
    <w:p>
      <w:pPr>
        <w:pStyle w:val="ListParagraph"/>
        <w:numPr>
          <w:ilvl w:val="0"/>
          <w:numId w:val="4"/>
        </w:numPr>
        <w:spacing w:after="20" w:line="230"/>
        <w:jc w:val="left"/>
      </w:pPr>
      <w:r>
        <w:rPr>
          <w:rFonts w:ascii="Times New Roman" w:cs="Times New Roman" w:eastAsia="Times New Roman" w:hAnsi="Times New Roman"/>
          <w:sz w:val="17"/>
          <w:szCs w:val="17"/>
        </w:rPr>
        <w:t xml:space="preserve">Kapoor, S. &amp; Narayanan, A. Leakage and the reproducibility crisis in machine-learning-based science. Patterns 4, 100804 (2023).</w:t>
      </w:r>
    </w:p>
    <w:p>
      <w:pPr>
        <w:pStyle w:val="ListParagraph"/>
        <w:numPr>
          <w:ilvl w:val="0"/>
          <w:numId w:val="4"/>
        </w:numPr>
        <w:spacing w:after="20" w:line="230"/>
        <w:jc w:val="left"/>
      </w:pPr>
      <w:r>
        <w:rPr>
          <w:rFonts w:ascii="Times New Roman" w:cs="Times New Roman" w:eastAsia="Times New Roman" w:hAnsi="Times New Roman"/>
          <w:sz w:val="17"/>
          <w:szCs w:val="17"/>
        </w:rPr>
        <w:t xml:space="preserve">Li, R. et al. The perils and pitfalls of block design for EEG classification experiments. IEEE Trans. Pattern Anal. Mach. Intell. 43, 316–333 (2021).</w:t>
      </w:r>
    </w:p>
    <w:p>
      <w:pPr>
        <w:pStyle w:val="ListParagraph"/>
        <w:numPr>
          <w:ilvl w:val="0"/>
          <w:numId w:val="4"/>
        </w:numPr>
        <w:spacing w:after="20" w:line="230"/>
        <w:jc w:val="left"/>
      </w:pPr>
      <w:r>
        <w:rPr>
          <w:rFonts w:ascii="Times New Roman" w:cs="Times New Roman" w:eastAsia="Times New Roman" w:hAnsi="Times New Roman"/>
          <w:sz w:val="17"/>
          <w:szCs w:val="17"/>
        </w:rPr>
        <w:t xml:space="preserve">Katsigiannis, S. &amp; Ramzan, N. DREAMER: a database for emotion recognition through EEG and ECG signals from wireless low-cost off-the-shelf devices. IEEE J. Biomed. Health Inform. 22, 98–107 (2018).</w:t>
      </w:r>
    </w:p>
    <w:p>
      <w:pPr>
        <w:pStyle w:val="ListParagraph"/>
        <w:numPr>
          <w:ilvl w:val="0"/>
          <w:numId w:val="4"/>
        </w:numPr>
        <w:spacing w:after="20" w:line="230"/>
        <w:jc w:val="left"/>
      </w:pPr>
      <w:r>
        <w:rPr>
          <w:rFonts w:ascii="Times New Roman" w:cs="Times New Roman" w:eastAsia="Times New Roman" w:hAnsi="Times New Roman"/>
          <w:sz w:val="17"/>
          <w:szCs w:val="17"/>
        </w:rPr>
        <w:t xml:space="preserve">Davidson, R. J. Anterior cerebral asymmetry and the nature of emotion. Brain Cogn. 20, 125–151 (1992).</w:t>
      </w:r>
    </w:p>
    <w:p>
      <w:pPr>
        <w:pStyle w:val="ListParagraph"/>
        <w:numPr>
          <w:ilvl w:val="0"/>
          <w:numId w:val="4"/>
        </w:numPr>
        <w:spacing w:after="20" w:line="230"/>
        <w:jc w:val="left"/>
      </w:pPr>
      <w:r>
        <w:rPr>
          <w:rFonts w:ascii="Times New Roman" w:cs="Times New Roman" w:eastAsia="Times New Roman" w:hAnsi="Times New Roman"/>
          <w:sz w:val="17"/>
          <w:szCs w:val="17"/>
        </w:rPr>
        <w:t xml:space="preserve">Coan, J. A. &amp; Allen, J. J. B. Frontal EEG asymmetry as a moderator and mediator of emotion. Biol. Psychol. 67, 7–49 (2004).</w:t>
      </w:r>
    </w:p>
    <w:p>
      <w:pPr>
        <w:pStyle w:val="ListParagraph"/>
        <w:numPr>
          <w:ilvl w:val="0"/>
          <w:numId w:val="4"/>
        </w:numPr>
        <w:spacing w:after="20" w:line="230"/>
        <w:jc w:val="left"/>
      </w:pPr>
      <w:r>
        <w:rPr>
          <w:rFonts w:ascii="Times New Roman" w:cs="Times New Roman" w:eastAsia="Times New Roman" w:hAnsi="Times New Roman"/>
          <w:sz w:val="17"/>
          <w:szCs w:val="17"/>
        </w:rPr>
        <w:t xml:space="preserve">Alarcão, S. M. &amp; Fonseca, M. J. Emotions recognition using EEG signals: a survey. IEEE Trans. Affect. Comput. 10, 374–393 (2019).</w:t>
      </w:r>
    </w:p>
    <w:p>
      <w:pPr>
        <w:pStyle w:val="ListParagraph"/>
        <w:numPr>
          <w:ilvl w:val="0"/>
          <w:numId w:val="4"/>
        </w:numPr>
        <w:spacing w:after="20" w:line="230"/>
        <w:jc w:val="left"/>
      </w:pPr>
      <w:r>
        <w:rPr>
          <w:rFonts w:ascii="Times New Roman" w:cs="Times New Roman" w:eastAsia="Times New Roman" w:hAnsi="Times New Roman"/>
          <w:sz w:val="17"/>
          <w:szCs w:val="17"/>
        </w:rPr>
        <w:t xml:space="preserve">Jenke, R., Peer, A. &amp; Buss, M. Feature extraction and selection for emotion recognition from EEG. IEEE Trans. Affect. Comput. 5, 327–339 (2014).</w:t>
      </w:r>
    </w:p>
    <w:p>
      <w:pPr>
        <w:pStyle w:val="ListParagraph"/>
        <w:numPr>
          <w:ilvl w:val="0"/>
          <w:numId w:val="4"/>
        </w:numPr>
        <w:spacing w:after="20" w:line="230"/>
        <w:jc w:val="left"/>
      </w:pPr>
      <w:r>
        <w:rPr>
          <w:rFonts w:ascii="Times New Roman" w:cs="Times New Roman" w:eastAsia="Times New Roman" w:hAnsi="Times New Roman"/>
          <w:sz w:val="17"/>
          <w:szCs w:val="17"/>
        </w:rPr>
        <w:t xml:space="preserve">Liu, W., Qiu, J.-L., Zheng, W.-L. &amp; Lu, B.-L. Comparing recognition performance and robustness of multimodal deep learning models for multimodal emotion recognition. IEEE Trans. Cogn. Dev. Syst. 14, 715–729 (2022).</w:t>
      </w:r>
    </w:p>
    <w:p>
      <w:pPr>
        <w:pStyle w:val="ListParagraph"/>
        <w:numPr>
          <w:ilvl w:val="0"/>
          <w:numId w:val="4"/>
        </w:numPr>
        <w:spacing w:after="20" w:line="230"/>
        <w:jc w:val="left"/>
      </w:pPr>
      <w:r>
        <w:rPr>
          <w:rFonts w:ascii="Times New Roman" w:cs="Times New Roman" w:eastAsia="Times New Roman" w:hAnsi="Times New Roman"/>
          <w:sz w:val="17"/>
          <w:szCs w:val="17"/>
        </w:rPr>
        <w:t xml:space="preserve">Chen, J. et al. A large finer-grained affective computing EEG dataset. Sci. Data 10, 740 (2023).</w:t>
      </w:r>
    </w:p>
    <w:p>
      <w:pPr>
        <w:pStyle w:val="ListParagraph"/>
        <w:numPr>
          <w:ilvl w:val="0"/>
          <w:numId w:val="4"/>
        </w:numPr>
        <w:spacing w:after="20" w:line="230"/>
        <w:jc w:val="left"/>
      </w:pPr>
      <w:r>
        <w:rPr>
          <w:rFonts w:ascii="Times New Roman" w:cs="Times New Roman" w:eastAsia="Times New Roman" w:hAnsi="Times New Roman"/>
          <w:sz w:val="17"/>
          <w:szCs w:val="17"/>
        </w:rPr>
        <w:t xml:space="preserve">Jayaram, V., Alamgir, M., Altun, Y., Schölkopf, B. &amp; Grosse-Wentrup, M. Transfer learning in brain–computer interfaces. IEEE Comput. Intell. Mag. 11, 20–31 (2016).</w:t>
      </w:r>
    </w:p>
    <w:p>
      <w:pPr>
        <w:pStyle w:val="ListParagraph"/>
        <w:numPr>
          <w:ilvl w:val="0"/>
          <w:numId w:val="4"/>
        </w:numPr>
        <w:spacing w:after="20" w:line="230"/>
        <w:jc w:val="left"/>
      </w:pPr>
      <w:r>
        <w:rPr>
          <w:rFonts w:ascii="Times New Roman" w:cs="Times New Roman" w:eastAsia="Times New Roman" w:hAnsi="Times New Roman"/>
          <w:sz w:val="17"/>
          <w:szCs w:val="17"/>
        </w:rPr>
        <w:t xml:space="preserve">Wu, D., Xu, Y. &amp; Lu, B.-L. Transfer learning for EEG-based brain–computer interfaces: a review of progress made since 2016. IEEE Trans. Cogn. Dev. Syst. 14, 4–19 (2022).</w:t>
      </w:r>
    </w:p>
    <w:p>
      <w:pPr>
        <w:pStyle w:val="ListParagraph"/>
        <w:numPr>
          <w:ilvl w:val="0"/>
          <w:numId w:val="4"/>
        </w:numPr>
        <w:spacing w:after="20" w:line="230"/>
        <w:jc w:val="left"/>
      </w:pPr>
      <w:r>
        <w:rPr>
          <w:rFonts w:ascii="Times New Roman" w:cs="Times New Roman" w:eastAsia="Times New Roman" w:hAnsi="Times New Roman"/>
          <w:sz w:val="17"/>
          <w:szCs w:val="17"/>
        </w:rPr>
        <w:t xml:space="preserve">Duan, R.-N., Zhu, J.-Y. &amp; Lu, B.-L. Differential entropy feature for EEG-based emotion classification. In Proc. 6th Int. IEEE/EMBS Conf. Neural Eng. 81–84 (2013).</w:t>
      </w:r>
    </w:p>
    <w:p>
      <w:pPr>
        <w:pStyle w:val="ListParagraph"/>
        <w:numPr>
          <w:ilvl w:val="0"/>
          <w:numId w:val="4"/>
        </w:numPr>
        <w:spacing w:after="20" w:line="230"/>
        <w:jc w:val="left"/>
      </w:pPr>
      <w:r>
        <w:rPr>
          <w:rFonts w:ascii="Times New Roman" w:cs="Times New Roman" w:eastAsia="Times New Roman" w:hAnsi="Times New Roman"/>
          <w:sz w:val="17"/>
          <w:szCs w:val="17"/>
        </w:rPr>
        <w:t xml:space="preserve">Lotte, F. et al. A review of classification algorithms for EEG-based brain–computer interfaces: a 10 year update. J. Neural Eng. 15, 031005 (2018).</w:t>
      </w:r>
    </w:p>
    <w:p>
      <w:pPr>
        <w:pStyle w:val="ListParagraph"/>
        <w:numPr>
          <w:ilvl w:val="0"/>
          <w:numId w:val="4"/>
        </w:numPr>
        <w:spacing w:after="20" w:line="230"/>
        <w:jc w:val="left"/>
      </w:pPr>
      <w:r>
        <w:rPr>
          <w:rFonts w:ascii="Times New Roman" w:cs="Times New Roman" w:eastAsia="Times New Roman" w:hAnsi="Times New Roman"/>
          <w:sz w:val="17"/>
          <w:szCs w:val="17"/>
        </w:rPr>
        <w:t xml:space="preserve">Chen, T. &amp; Guestrin, C. XGBoost: a scalable tree boosting system. In Proc. 22nd ACM SIGKDD 785–794 (2016).</w:t>
      </w:r>
    </w:p>
    <w:p>
      <w:pPr>
        <w:pStyle w:val="ListParagraph"/>
        <w:numPr>
          <w:ilvl w:val="0"/>
          <w:numId w:val="4"/>
        </w:numPr>
        <w:spacing w:after="20" w:line="230"/>
        <w:jc w:val="left"/>
      </w:pPr>
      <w:r>
        <w:rPr>
          <w:rFonts w:ascii="Times New Roman" w:cs="Times New Roman" w:eastAsia="Times New Roman" w:hAnsi="Times New Roman"/>
          <w:sz w:val="17"/>
          <w:szCs w:val="17"/>
        </w:rPr>
        <w:t xml:space="preserve">Craik, A., He, Y. &amp; Contreras-Vidal, J. L. Deep learning for electroencephalogram (EEG) classification tasks: a review. J. Neural Eng. 16, 031001 (2019).</w:t>
      </w:r>
    </w:p>
    <w:p>
      <w:pPr>
        <w:pStyle w:val="ListParagraph"/>
        <w:numPr>
          <w:ilvl w:val="0"/>
          <w:numId w:val="4"/>
        </w:numPr>
        <w:spacing w:after="20" w:line="230"/>
        <w:jc w:val="left"/>
      </w:pPr>
      <w:r>
        <w:rPr>
          <w:rFonts w:ascii="Times New Roman" w:cs="Times New Roman" w:eastAsia="Times New Roman" w:hAnsi="Times New Roman"/>
          <w:sz w:val="17"/>
          <w:szCs w:val="17"/>
        </w:rPr>
        <w:t xml:space="preserve">Roy, Y. et al. Deep learning-based electroencephalography analysis: a systematic review. J. Neural Eng. 16, 051001 (2019).</w:t>
      </w:r>
    </w:p>
    <w:p>
      <w:pPr>
        <w:pStyle w:val="ListParagraph"/>
        <w:numPr>
          <w:ilvl w:val="0"/>
          <w:numId w:val="4"/>
        </w:numPr>
        <w:spacing w:after="20" w:line="230"/>
        <w:jc w:val="left"/>
      </w:pPr>
      <w:r>
        <w:rPr>
          <w:rFonts w:ascii="Times New Roman" w:cs="Times New Roman" w:eastAsia="Times New Roman" w:hAnsi="Times New Roman"/>
          <w:sz w:val="17"/>
          <w:szCs w:val="17"/>
        </w:rPr>
        <w:t xml:space="preserve">Schirrmeister, R. T. et al. Deep learning with convolutional neural networks for EEG decoding and visualization. Hum. Brain Mapp. 38, 5391–5420 (2017).</w:t>
      </w:r>
    </w:p>
    <w:p>
      <w:pPr>
        <w:pStyle w:val="ListParagraph"/>
        <w:numPr>
          <w:ilvl w:val="0"/>
          <w:numId w:val="4"/>
        </w:numPr>
        <w:spacing w:after="20" w:line="230"/>
        <w:jc w:val="left"/>
      </w:pPr>
      <w:r>
        <w:rPr>
          <w:rFonts w:ascii="Times New Roman" w:cs="Times New Roman" w:eastAsia="Times New Roman" w:hAnsi="Times New Roman"/>
          <w:sz w:val="17"/>
          <w:szCs w:val="17"/>
        </w:rPr>
        <w:t xml:space="preserve">Lawhern, V. J. et al. EEGNet: a compact convolutional neural network for EEG-based brain–computer interfaces. J. Neural Eng. 15, 056013 (2018).</w:t>
      </w:r>
    </w:p>
    <w:p>
      <w:pPr>
        <w:pStyle w:val="ListParagraph"/>
        <w:numPr>
          <w:ilvl w:val="0"/>
          <w:numId w:val="4"/>
        </w:numPr>
        <w:spacing w:after="20" w:line="230"/>
        <w:jc w:val="left"/>
      </w:pPr>
      <w:r>
        <w:rPr>
          <w:rFonts w:ascii="Times New Roman" w:cs="Times New Roman" w:eastAsia="Times New Roman" w:hAnsi="Times New Roman"/>
          <w:sz w:val="17"/>
          <w:szCs w:val="17"/>
        </w:rPr>
        <w:t xml:space="preserve">Song, Y., Zheng, Q., Liu, B. &amp; Gao, X. EEG Conformer: convolutional transformer for EEG decoding and visualization. IEEE Trans. Neural Syst. Rehabil. Eng. 31, 710–719 (2023).</w:t>
      </w:r>
    </w:p>
    <w:p>
      <w:pPr>
        <w:pStyle w:val="ListParagraph"/>
        <w:numPr>
          <w:ilvl w:val="0"/>
          <w:numId w:val="4"/>
        </w:numPr>
        <w:spacing w:after="20" w:line="230"/>
        <w:jc w:val="left"/>
      </w:pPr>
      <w:r>
        <w:rPr>
          <w:rFonts w:ascii="Times New Roman" w:cs="Times New Roman" w:eastAsia="Times New Roman" w:hAnsi="Times New Roman"/>
          <w:sz w:val="17"/>
          <w:szCs w:val="17"/>
        </w:rPr>
        <w:t xml:space="preserve">Vaswani, A. et al. Attention is all you need. Adv. Neural Inf. Process. Syst. 30 (2017).</w:t>
      </w:r>
    </w:p>
    <w:p>
      <w:pPr>
        <w:pStyle w:val="ListParagraph"/>
        <w:numPr>
          <w:ilvl w:val="0"/>
          <w:numId w:val="4"/>
        </w:numPr>
        <w:spacing w:after="20" w:line="230"/>
        <w:jc w:val="left"/>
      </w:pPr>
      <w:r>
        <w:rPr>
          <w:rFonts w:ascii="Times New Roman" w:cs="Times New Roman" w:eastAsia="Times New Roman" w:hAnsi="Times New Roman"/>
          <w:sz w:val="17"/>
          <w:szCs w:val="17"/>
        </w:rPr>
        <w:t xml:space="preserve">Li, Y. et al. From regional to global brain: a novel hierarchical spatial-temporal neural network model for EEG emotion recognition. IEEE Trans. Affect. Comput. 13, 568–578 (2022).</w:t>
      </w:r>
    </w:p>
    <w:p>
      <w:pPr>
        <w:pStyle w:val="ListParagraph"/>
        <w:numPr>
          <w:ilvl w:val="0"/>
          <w:numId w:val="4"/>
        </w:numPr>
        <w:spacing w:after="20" w:line="230"/>
        <w:jc w:val="left"/>
      </w:pPr>
      <w:r>
        <w:rPr>
          <w:rFonts w:ascii="Times New Roman" w:cs="Times New Roman" w:eastAsia="Times New Roman" w:hAnsi="Times New Roman"/>
          <w:sz w:val="17"/>
          <w:szCs w:val="17"/>
        </w:rPr>
        <w:t xml:space="preserve">Pan, S. J., Tsang, I. W., Kwok, J. T. &amp; Yang, Q. Domain adaptation via transfer component analysis. IEEE Trans. Neural Netw. 22, 199–210 (2011).</w:t>
      </w:r>
    </w:p>
    <w:p>
      <w:pPr>
        <w:pStyle w:val="ListParagraph"/>
        <w:numPr>
          <w:ilvl w:val="0"/>
          <w:numId w:val="4"/>
        </w:numPr>
        <w:spacing w:after="20" w:line="230"/>
        <w:jc w:val="left"/>
      </w:pPr>
      <w:r>
        <w:rPr>
          <w:rFonts w:ascii="Times New Roman" w:cs="Times New Roman" w:eastAsia="Times New Roman" w:hAnsi="Times New Roman"/>
          <w:sz w:val="17"/>
          <w:szCs w:val="17"/>
        </w:rPr>
        <w:t xml:space="preserve">Zheng, W.-L. &amp; Lu, B.-L. Personalizing EEG-based affective models with transfer learning. In Proc. 25th Int. Joint Conf. Artif. Intell. 2732–2738 (2016).</w:t>
      </w:r>
    </w:p>
    <w:p>
      <w:pPr>
        <w:pStyle w:val="ListParagraph"/>
        <w:numPr>
          <w:ilvl w:val="0"/>
          <w:numId w:val="4"/>
        </w:numPr>
        <w:spacing w:after="20" w:line="230"/>
        <w:jc w:val="left"/>
      </w:pPr>
      <w:r>
        <w:rPr>
          <w:rFonts w:ascii="Times New Roman" w:cs="Times New Roman" w:eastAsia="Times New Roman" w:hAnsi="Times New Roman"/>
          <w:sz w:val="17"/>
          <w:szCs w:val="17"/>
        </w:rPr>
        <w:t xml:space="preserve">Zanini, P., Congedo, M., Jutten, C., Said, S. &amp; Berthoumieu, Y. Transfer learning: a Riemannian geometry framework with applications to brain–computer interfaces. IEEE Trans. Biomed. Eng. 65, 1107–1116 (2018).</w:t>
      </w:r>
    </w:p>
    <w:p>
      <w:pPr>
        <w:pStyle w:val="ListParagraph"/>
        <w:numPr>
          <w:ilvl w:val="0"/>
          <w:numId w:val="4"/>
        </w:numPr>
        <w:spacing w:after="20" w:line="230"/>
        <w:jc w:val="left"/>
      </w:pPr>
      <w:r>
        <w:rPr>
          <w:rFonts w:ascii="Times New Roman" w:cs="Times New Roman" w:eastAsia="Times New Roman" w:hAnsi="Times New Roman"/>
          <w:sz w:val="17"/>
          <w:szCs w:val="17"/>
        </w:rPr>
        <w:t xml:space="preserve">He, H. &amp; Wu, D. Transfer learning for brain–computer interfaces: a Euclidean space data alignment approach. IEEE Trans. Biomed. Eng. 67, 399–410 (2020).</w:t>
      </w:r>
    </w:p>
    <w:p>
      <w:pPr>
        <w:pStyle w:val="ListParagraph"/>
        <w:numPr>
          <w:ilvl w:val="0"/>
          <w:numId w:val="4"/>
        </w:numPr>
        <w:spacing w:after="20" w:line="230"/>
        <w:jc w:val="left"/>
      </w:pPr>
      <w:r>
        <w:rPr>
          <w:rFonts w:ascii="Times New Roman" w:cs="Times New Roman" w:eastAsia="Times New Roman" w:hAnsi="Times New Roman"/>
          <w:sz w:val="17"/>
          <w:szCs w:val="17"/>
        </w:rPr>
        <w:t xml:space="preserve">Long, M., Cao, Y., Wang, J. &amp; Jordan, M. I. Learning transferable features with deep adaptation networks. In Proc. 32nd Int. Conf. Mach. Learn. 97–105 (2015).</w:t>
      </w:r>
    </w:p>
    <w:p>
      <w:pPr>
        <w:pStyle w:val="ListParagraph"/>
        <w:numPr>
          <w:ilvl w:val="0"/>
          <w:numId w:val="4"/>
        </w:numPr>
        <w:spacing w:after="20" w:line="230"/>
        <w:jc w:val="left"/>
      </w:pPr>
      <w:r>
        <w:rPr>
          <w:rFonts w:ascii="Times New Roman" w:cs="Times New Roman" w:eastAsia="Times New Roman" w:hAnsi="Times New Roman"/>
          <w:sz w:val="17"/>
          <w:szCs w:val="17"/>
        </w:rPr>
        <w:t xml:space="preserve">Li, J., Qiu, S., Shen, Y.-Y., Liu, C.-L. &amp; He, H. Multisource transfer learning for cross-subject EEG emotion recognition. IEEE Trans. Cybern. 50, 3281–3293 (2020).</w:t>
      </w:r>
    </w:p>
    <w:p>
      <w:pPr>
        <w:pStyle w:val="ListParagraph"/>
        <w:numPr>
          <w:ilvl w:val="0"/>
          <w:numId w:val="4"/>
        </w:numPr>
        <w:spacing w:after="20" w:line="230"/>
        <w:jc w:val="left"/>
      </w:pPr>
      <w:r>
        <w:rPr>
          <w:rFonts w:ascii="Times New Roman" w:cs="Times New Roman" w:eastAsia="Times New Roman" w:hAnsi="Times New Roman"/>
          <w:sz w:val="17"/>
          <w:szCs w:val="17"/>
        </w:rPr>
        <w:t xml:space="preserve">Zhao, L.-M., Yan, X. &amp; Lu, B.-L. Plug-and-play domain adaptation for cross-subject EEG-based emotion recognition. In Proc. AAAI Conf. Artif. Intell. 35, 863–870 (2021).</w:t>
      </w:r>
    </w:p>
    <w:p>
      <w:pPr>
        <w:pStyle w:val="ListParagraph"/>
        <w:numPr>
          <w:ilvl w:val="0"/>
          <w:numId w:val="4"/>
        </w:numPr>
        <w:spacing w:after="20" w:line="230"/>
        <w:jc w:val="left"/>
      </w:pPr>
      <w:r>
        <w:rPr>
          <w:rFonts w:ascii="Times New Roman" w:cs="Times New Roman" w:eastAsia="Times New Roman" w:hAnsi="Times New Roman"/>
          <w:sz w:val="17"/>
          <w:szCs w:val="17"/>
        </w:rPr>
        <w:t xml:space="preserve">Li, Y., Wang, N., Shi, J., Hou, X. &amp; Liu, J. Adaptive batch normalization for practical domain adaptation. Pattern Recognit. 80, 109–117 (2018).</w:t>
      </w:r>
    </w:p>
    <w:p>
      <w:pPr>
        <w:pStyle w:val="ListParagraph"/>
        <w:numPr>
          <w:ilvl w:val="0"/>
          <w:numId w:val="4"/>
        </w:numPr>
        <w:spacing w:after="20" w:line="230"/>
        <w:jc w:val="left"/>
      </w:pPr>
      <w:r>
        <w:rPr>
          <w:rFonts w:ascii="Times New Roman" w:cs="Times New Roman" w:eastAsia="Times New Roman" w:hAnsi="Times New Roman"/>
          <w:sz w:val="17"/>
          <w:szCs w:val="17"/>
        </w:rPr>
        <w:t xml:space="preserve">Chen, T., Kornblith, S., Norouzi, M. &amp; Hinton, G. A simple framework for contrastive learning of visual representations. In Proc. ICML 1597–1607 (2020).</w:t>
      </w:r>
    </w:p>
    <w:p>
      <w:pPr>
        <w:pStyle w:val="ListParagraph"/>
        <w:numPr>
          <w:ilvl w:val="0"/>
          <w:numId w:val="4"/>
        </w:numPr>
        <w:spacing w:after="20" w:line="230"/>
        <w:jc w:val="left"/>
      </w:pPr>
      <w:r>
        <w:rPr>
          <w:rFonts w:ascii="Times New Roman" w:cs="Times New Roman" w:eastAsia="Times New Roman" w:hAnsi="Times New Roman"/>
          <w:sz w:val="17"/>
          <w:szCs w:val="17"/>
        </w:rPr>
        <w:t xml:space="preserve">Grill, J.-B. et al. Bootstrap your own latent: a new approach to self-supervised learning. Adv. Neural Inf. Process. Syst. 33, 21271–21284 (2020).</w:t>
      </w:r>
    </w:p>
    <w:p>
      <w:pPr>
        <w:pStyle w:val="ListParagraph"/>
        <w:numPr>
          <w:ilvl w:val="0"/>
          <w:numId w:val="4"/>
        </w:numPr>
        <w:spacing w:after="20" w:line="230"/>
        <w:jc w:val="left"/>
      </w:pPr>
      <w:r>
        <w:rPr>
          <w:rFonts w:ascii="Times New Roman" w:cs="Times New Roman" w:eastAsia="Times New Roman" w:hAnsi="Times New Roman"/>
          <w:sz w:val="17"/>
          <w:szCs w:val="17"/>
        </w:rPr>
        <w:t xml:space="preserve">Mohsenvand, M. N., Izadi, M. R. &amp; Maes, P. Contrastive representation learning for electroencephalogram classification. In Proc. Machine Learning for Health, PMLR 136, 238–253 (2020).</w:t>
      </w:r>
    </w:p>
    <w:p>
      <w:pPr>
        <w:pStyle w:val="ListParagraph"/>
        <w:numPr>
          <w:ilvl w:val="0"/>
          <w:numId w:val="4"/>
        </w:numPr>
        <w:spacing w:after="20" w:line="230"/>
        <w:jc w:val="left"/>
      </w:pPr>
      <w:r>
        <w:rPr>
          <w:rFonts w:ascii="Times New Roman" w:cs="Times New Roman" w:eastAsia="Times New Roman" w:hAnsi="Times New Roman"/>
          <w:sz w:val="17"/>
          <w:szCs w:val="17"/>
        </w:rPr>
        <w:t xml:space="preserve">Banville, H., Chehab, O., Hyvärinen, A., Engemann, D.-A. &amp; Gramfort, A. Uncovering the structure of clinical EEG signals with self-supervised learning. J. Neural Eng. 18, 046020 (2021).</w:t>
      </w:r>
    </w:p>
    <w:p>
      <w:pPr>
        <w:pStyle w:val="ListParagraph"/>
        <w:numPr>
          <w:ilvl w:val="0"/>
          <w:numId w:val="4"/>
        </w:numPr>
        <w:spacing w:after="20" w:line="230"/>
        <w:jc w:val="left"/>
      </w:pPr>
      <w:r>
        <w:rPr>
          <w:rFonts w:ascii="Times New Roman" w:cs="Times New Roman" w:eastAsia="Times New Roman" w:hAnsi="Times New Roman"/>
          <w:sz w:val="17"/>
          <w:szCs w:val="17"/>
        </w:rPr>
        <w:t xml:space="preserve">Kostas, D., Aroca-Ouellette, S. &amp; Rudzicz, F. BENDR: using transformers and a contrastive self-supervised learning task to learn from massive amounts of EEG data. Front. Hum. Neurosci. 15, 653659 (2021).</w:t>
      </w:r>
    </w:p>
    <w:p>
      <w:pPr>
        <w:pStyle w:val="ListParagraph"/>
        <w:numPr>
          <w:ilvl w:val="0"/>
          <w:numId w:val="4"/>
        </w:numPr>
        <w:spacing w:after="20" w:line="230"/>
        <w:jc w:val="left"/>
      </w:pPr>
      <w:r>
        <w:rPr>
          <w:rFonts w:ascii="Times New Roman" w:cs="Times New Roman" w:eastAsia="Times New Roman" w:hAnsi="Times New Roman"/>
          <w:sz w:val="17"/>
          <w:szCs w:val="17"/>
        </w:rPr>
        <w:t xml:space="preserve">Lee, D.-H. Pseudo-label: the simple and efficient semi-supervised learning method for deep neural networks. In ICML Workshop on Challenges in Representation Learning (2013).</w:t>
      </w:r>
    </w:p>
    <w:p>
      <w:pPr>
        <w:pStyle w:val="ListParagraph"/>
        <w:numPr>
          <w:ilvl w:val="0"/>
          <w:numId w:val="4"/>
        </w:numPr>
        <w:spacing w:after="20" w:line="230"/>
        <w:jc w:val="left"/>
      </w:pPr>
      <w:r>
        <w:rPr>
          <w:rFonts w:ascii="Times New Roman" w:cs="Times New Roman" w:eastAsia="Times New Roman" w:hAnsi="Times New Roman"/>
          <w:sz w:val="17"/>
          <w:szCs w:val="17"/>
        </w:rPr>
        <w:t xml:space="preserve">Berthelot, D. et al. MixMatch: a holistic approach to semi-supervised learning. Adv. Neural Inf. Process. Syst. 32 (2019).</w:t>
      </w:r>
    </w:p>
    <w:p>
      <w:pPr>
        <w:pStyle w:val="ListParagraph"/>
        <w:numPr>
          <w:ilvl w:val="0"/>
          <w:numId w:val="4"/>
        </w:numPr>
        <w:spacing w:after="20" w:line="230"/>
        <w:jc w:val="left"/>
      </w:pPr>
      <w:r>
        <w:rPr>
          <w:rFonts w:ascii="Times New Roman" w:cs="Times New Roman" w:eastAsia="Times New Roman" w:hAnsi="Times New Roman"/>
          <w:sz w:val="17"/>
          <w:szCs w:val="17"/>
        </w:rPr>
        <w:t xml:space="preserve">Hinton, G., Vinyals, O. &amp; Dean, J. Distilling the knowledge in a neural network. Preprint at https://arxiv.org/abs/1503.02531 (2015).</w:t>
      </w:r>
    </w:p>
    <w:p>
      <w:pPr>
        <w:pStyle w:val="ListParagraph"/>
        <w:numPr>
          <w:ilvl w:val="0"/>
          <w:numId w:val="4"/>
        </w:numPr>
        <w:spacing w:after="20" w:line="230"/>
        <w:jc w:val="left"/>
      </w:pPr>
      <w:r>
        <w:rPr>
          <w:rFonts w:ascii="Times New Roman" w:cs="Times New Roman" w:eastAsia="Times New Roman" w:hAnsi="Times New Roman"/>
          <w:sz w:val="17"/>
          <w:szCs w:val="17"/>
        </w:rPr>
        <w:t xml:space="preserve">Collins, G. S. et al. TRIPOD+AI statement: updated guidance for reporting clinical prediction models that use regression or machine learning methods. BMJ 385, e078378 (2024).</w:t>
      </w:r>
    </w:p>
    <w:p>
      <w:pPr>
        <w:pStyle w:val="ListParagraph"/>
        <w:numPr>
          <w:ilvl w:val="0"/>
          <w:numId w:val="4"/>
        </w:numPr>
        <w:spacing w:after="20" w:line="230"/>
        <w:jc w:val="left"/>
      </w:pPr>
      <w:r>
        <w:rPr>
          <w:rFonts w:ascii="Times New Roman" w:cs="Times New Roman" w:eastAsia="Times New Roman" w:hAnsi="Times New Roman"/>
          <w:sz w:val="17"/>
          <w:szCs w:val="17"/>
        </w:rPr>
        <w:t xml:space="preserve">Demšar, J. Statistical comparisons of classifiers over multiple data sets. J. Mach. Learn. Res. 7, 1–30 (2006).</w:t>
      </w:r>
    </w:p>
    <w:p>
      <w:pPr>
        <w:pStyle w:val="ListParagraph"/>
        <w:numPr>
          <w:ilvl w:val="0"/>
          <w:numId w:val="4"/>
        </w:numPr>
        <w:spacing w:after="20" w:line="230"/>
        <w:jc w:val="left"/>
      </w:pPr>
      <w:r>
        <w:rPr>
          <w:rFonts w:ascii="Times New Roman" w:cs="Times New Roman" w:eastAsia="Times New Roman" w:hAnsi="Times New Roman"/>
          <w:sz w:val="17"/>
          <w:szCs w:val="17"/>
        </w:rPr>
        <w:t xml:space="preserve">Krigolson, O. E., Williams, C. C., Norton, A., Hassall, C. D. &amp; Colino, F. L. Choosing MUSE: validation of a low-cost, portable EEG system for ERP research. Front. Neurosci. 11, 109 (2017).</w:t>
      </w:r>
    </w:p>
    <w:p>
      <w:pPr>
        <w:pStyle w:val="ListParagraph"/>
        <w:numPr>
          <w:ilvl w:val="0"/>
          <w:numId w:val="4"/>
        </w:numPr>
        <w:spacing w:after="20" w:line="230"/>
        <w:jc w:val="left"/>
      </w:pPr>
      <w:r>
        <w:rPr>
          <w:rFonts w:ascii="Times New Roman" w:cs="Times New Roman" w:eastAsia="Times New Roman" w:hAnsi="Times New Roman"/>
          <w:sz w:val="17"/>
          <w:szCs w:val="17"/>
        </w:rPr>
        <w:t xml:space="preserve">Casson, A. J. Wearable EEG and beyond. Biomed. Eng. Lett. 9, 53–71 (2019).</w:t>
      </w:r>
    </w:p>
    <w:p>
      <w:pPr>
        <w:pStyle w:val="ListParagraph"/>
        <w:numPr>
          <w:ilvl w:val="0"/>
          <w:numId w:val="4"/>
        </w:numPr>
        <w:spacing w:after="20" w:line="230"/>
        <w:jc w:val="left"/>
      </w:pPr>
      <w:r>
        <w:rPr>
          <w:rFonts w:ascii="Times New Roman" w:cs="Times New Roman" w:eastAsia="Times New Roman" w:hAnsi="Times New Roman"/>
          <w:sz w:val="17"/>
          <w:szCs w:val="17"/>
        </w:rPr>
        <w:t xml:space="preserve">Brodersen, K. H., Ong, C. S., Stephan, K. E. &amp; Buhmann, J. M. The balanced accuracy and its posterior distribution. In Proc. 20th Int. Conf. Pattern Recognit. 3121–3124 (2010).</w:t>
      </w:r>
    </w:p>
    <w:p>
      <w:pPr>
        <w:pStyle w:val="ListParagraph"/>
        <w:numPr>
          <w:ilvl w:val="0"/>
          <w:numId w:val="4"/>
        </w:numPr>
        <w:spacing w:after="20" w:line="230"/>
        <w:jc w:val="left"/>
      </w:pPr>
      <w:r>
        <w:rPr>
          <w:rFonts w:ascii="Times New Roman" w:cs="Times New Roman" w:eastAsia="Times New Roman" w:hAnsi="Times New Roman"/>
          <w:sz w:val="17"/>
          <w:szCs w:val="17"/>
        </w:rPr>
        <w:t xml:space="preserve">Cohen, J. A coefficient of agreement for nominal scales. Educ. Psychol. Meas. 20, 37–46 (1960).</w:t>
      </w:r>
    </w:p>
    <w:p>
      <w:pPr>
        <w:pStyle w:val="ListParagraph"/>
        <w:numPr>
          <w:ilvl w:val="0"/>
          <w:numId w:val="4"/>
        </w:numPr>
        <w:spacing w:after="20" w:line="230"/>
        <w:jc w:val="left"/>
      </w:pPr>
      <w:r>
        <w:rPr>
          <w:rFonts w:ascii="Times New Roman" w:cs="Times New Roman" w:eastAsia="Times New Roman" w:hAnsi="Times New Roman"/>
          <w:sz w:val="17"/>
          <w:szCs w:val="17"/>
        </w:rPr>
        <w:t xml:space="preserve">Gorodkin, J. Comparing two K-category assignments by a K-category correlation coefficient. Comput. Biol. Chem. 28, 367–374 (2004).</w:t>
      </w:r>
    </w:p>
    <w:p>
      <w:pPr>
        <w:pStyle w:val="ListParagraph"/>
        <w:numPr>
          <w:ilvl w:val="0"/>
          <w:numId w:val="4"/>
        </w:numPr>
        <w:spacing w:after="20" w:line="230"/>
        <w:jc w:val="left"/>
      </w:pPr>
      <w:r>
        <w:rPr>
          <w:rFonts w:ascii="Times New Roman" w:cs="Times New Roman" w:eastAsia="Times New Roman" w:hAnsi="Times New Roman"/>
          <w:sz w:val="17"/>
          <w:szCs w:val="17"/>
        </w:rPr>
        <w:t xml:space="preserve">Chicco, D. &amp; Jurman, G. The advantages of the Matthews correlation coefficient (MCC) over F1 score and accuracy in binary classification evaluation. BMC Genomics 21, 6 (2020).</w:t>
      </w:r>
    </w:p>
    <w:p>
      <w:pPr>
        <w:pStyle w:val="ListParagraph"/>
        <w:numPr>
          <w:ilvl w:val="0"/>
          <w:numId w:val="4"/>
        </w:numPr>
        <w:spacing w:after="20" w:line="230"/>
        <w:jc w:val="left"/>
      </w:pPr>
      <w:r>
        <w:rPr>
          <w:rFonts w:ascii="Times New Roman" w:cs="Times New Roman" w:eastAsia="Times New Roman" w:hAnsi="Times New Roman"/>
          <w:sz w:val="17"/>
          <w:szCs w:val="17"/>
        </w:rPr>
        <w:t xml:space="preserve">Kubat, M. &amp; Matwin, S. Addressing the curse of imbalanced training sets: one-sided selection. In Proc. 14th Int. Conf. Mach. Learn. 179–186 (1997).</w:t>
      </w:r>
    </w:p>
    <w:p>
      <w:pPr>
        <w:pStyle w:val="ListParagraph"/>
        <w:numPr>
          <w:ilvl w:val="0"/>
          <w:numId w:val="4"/>
        </w:numPr>
        <w:spacing w:after="20" w:line="230"/>
        <w:jc w:val="left"/>
      </w:pPr>
      <w:r>
        <w:rPr>
          <w:rFonts w:ascii="Times New Roman" w:cs="Times New Roman" w:eastAsia="Times New Roman" w:hAnsi="Times New Roman"/>
          <w:sz w:val="17"/>
          <w:szCs w:val="17"/>
        </w:rPr>
        <w:t xml:space="preserve">Wolpaw, J. R., Birbaumer, N., McFarland, D. J., Pfurtscheller, G. &amp; Vaughan, T. M. Brain–computer interfaces for communication and control. Clin. Neurophysiol. 113, 767–791 (2002).</w:t>
      </w:r>
    </w:p>
    <w:p>
      <w:pPr>
        <w:pStyle w:val="ListParagraph"/>
        <w:numPr>
          <w:ilvl w:val="0"/>
          <w:numId w:val="4"/>
        </w:numPr>
        <w:spacing w:after="20" w:line="230"/>
        <w:jc w:val="left"/>
      </w:pPr>
      <w:r>
        <w:rPr>
          <w:rFonts w:ascii="Times New Roman" w:cs="Times New Roman" w:eastAsia="Times New Roman" w:hAnsi="Times New Roman"/>
          <w:sz w:val="17"/>
          <w:szCs w:val="17"/>
        </w:rPr>
        <w:t xml:space="preserve">Friedman, M. The use of ranks to avoid the assumption of normality implicit in the analysis of variance. J. Am. Stat. Assoc. 32, 675–701 (1937).</w:t>
      </w:r>
    </w:p>
    <w:p>
      <w:pPr>
        <w:pStyle w:val="ListParagraph"/>
        <w:numPr>
          <w:ilvl w:val="0"/>
          <w:numId w:val="4"/>
        </w:numPr>
        <w:spacing w:after="20" w:line="230"/>
        <w:jc w:val="left"/>
      </w:pPr>
      <w:r>
        <w:rPr>
          <w:rFonts w:ascii="Times New Roman" w:cs="Times New Roman" w:eastAsia="Times New Roman" w:hAnsi="Times New Roman"/>
          <w:sz w:val="17"/>
          <w:szCs w:val="17"/>
        </w:rPr>
        <w:t xml:space="preserve">Wilcoxon, F. Individual comparisons by ranking methods. Biom. Bull. 1, 80–83 (1945).</w:t>
      </w:r>
    </w:p>
    <w:p>
      <w:pPr>
        <w:pStyle w:val="ListParagraph"/>
        <w:numPr>
          <w:ilvl w:val="0"/>
          <w:numId w:val="4"/>
        </w:numPr>
        <w:spacing w:after="20" w:line="230"/>
        <w:jc w:val="left"/>
      </w:pPr>
      <w:r>
        <w:rPr>
          <w:rFonts w:ascii="Times New Roman" w:cs="Times New Roman" w:eastAsia="Times New Roman" w:hAnsi="Times New Roman"/>
          <w:sz w:val="17"/>
          <w:szCs w:val="17"/>
        </w:rPr>
        <w:t xml:space="preserve">Holm, S. A simple sequentially rejective multiple test procedure. Scand. J. Stat. 6, 65–70 (1979).</w:t>
      </w:r>
    </w:p>
    <w:p>
      <w:pPr>
        <w:pStyle w:val="ListParagraph"/>
        <w:numPr>
          <w:ilvl w:val="0"/>
          <w:numId w:val="4"/>
        </w:numPr>
        <w:spacing w:after="20" w:line="230"/>
        <w:jc w:val="left"/>
      </w:pPr>
      <w:r>
        <w:rPr>
          <w:rFonts w:ascii="Times New Roman" w:cs="Times New Roman" w:eastAsia="Times New Roman" w:hAnsi="Times New Roman"/>
          <w:sz w:val="17"/>
          <w:szCs w:val="17"/>
        </w:rPr>
        <w:t xml:space="preserve">Lakens, D. Calculating and reporting effect sizes to facilitate cumulative science: a practical primer for t-tests and ANOVAs. Front. Psychol. 4, 863 (2013).</w:t>
      </w:r>
    </w:p>
    <w:p>
      <w:pPr>
        <w:pStyle w:val="ListParagraph"/>
        <w:numPr>
          <w:ilvl w:val="0"/>
          <w:numId w:val="4"/>
        </w:numPr>
        <w:spacing w:after="20" w:line="230"/>
        <w:jc w:val="left"/>
      </w:pPr>
      <w:r>
        <w:rPr>
          <w:rFonts w:ascii="Times New Roman" w:cs="Times New Roman" w:eastAsia="Times New Roman" w:hAnsi="Times New Roman"/>
          <w:sz w:val="17"/>
          <w:szCs w:val="17"/>
        </w:rPr>
        <w:t xml:space="preserve">Kerby, D. S. The simple difference formula: an approach to teaching nonparametric correlation. Compr. Psychol. 3, 11.IT.3.1 (2014).</w:t>
      </w:r>
    </w:p>
    <w:p>
      <w:pPr>
        <w:pStyle w:val="ListParagraph"/>
        <w:numPr>
          <w:ilvl w:val="0"/>
          <w:numId w:val="4"/>
        </w:numPr>
        <w:spacing w:after="20" w:line="230"/>
        <w:jc w:val="left"/>
      </w:pPr>
      <w:r>
        <w:rPr>
          <w:rFonts w:ascii="Times New Roman" w:cs="Times New Roman" w:eastAsia="Times New Roman" w:hAnsi="Times New Roman"/>
          <w:sz w:val="17"/>
          <w:szCs w:val="17"/>
        </w:rPr>
        <w:t xml:space="preserve">Shrout, P. E. &amp; Fleiss, J. L. Intraclass correlations: uses in assessing rater reliability. Psychol. Bull. 86, 420–428 (1979).</w:t>
      </w:r>
    </w:p>
    <w:p>
      <w:pPr>
        <w:pStyle w:val="ListParagraph"/>
        <w:numPr>
          <w:ilvl w:val="0"/>
          <w:numId w:val="4"/>
        </w:numPr>
        <w:spacing w:after="20" w:line="230"/>
        <w:jc w:val="left"/>
      </w:pPr>
      <w:r>
        <w:rPr>
          <w:rFonts w:ascii="Times New Roman" w:cs="Times New Roman" w:eastAsia="Times New Roman" w:hAnsi="Times New Roman"/>
          <w:sz w:val="17"/>
          <w:szCs w:val="17"/>
        </w:rPr>
        <w:t xml:space="preserve">Laird, N. M. &amp; Ware, J. H. Random-effects models for longitudinal data. Biometrics 38, 963–974 (1982).</w:t>
      </w:r>
    </w:p>
    <w:p>
      <w:pPr>
        <w:pStyle w:val="ListParagraph"/>
        <w:numPr>
          <w:ilvl w:val="0"/>
          <w:numId w:val="4"/>
        </w:numPr>
        <w:spacing w:after="20" w:line="230"/>
        <w:jc w:val="left"/>
      </w:pPr>
      <w:r>
        <w:rPr>
          <w:rFonts w:ascii="Times New Roman" w:cs="Times New Roman" w:eastAsia="Times New Roman" w:hAnsi="Times New Roman"/>
          <w:sz w:val="17"/>
          <w:szCs w:val="17"/>
        </w:rPr>
        <w:t xml:space="preserve">Efron, B. &amp; Tibshirani, R. J. An Introduction to the Bootstrap (Chapman &amp; Hall, 1993).</w:t>
      </w:r>
    </w:p>
    <w:p>
      <w:pPr>
        <w:pStyle w:val="ListParagraph"/>
        <w:numPr>
          <w:ilvl w:val="0"/>
          <w:numId w:val="4"/>
        </w:numPr>
        <w:spacing w:after="20" w:line="230"/>
        <w:jc w:val="left"/>
      </w:pPr>
      <w:r>
        <w:rPr>
          <w:rFonts w:ascii="Times New Roman" w:cs="Times New Roman" w:eastAsia="Times New Roman" w:hAnsi="Times New Roman"/>
          <w:sz w:val="17"/>
          <w:szCs w:val="17"/>
        </w:rPr>
        <w:t xml:space="preserve">Schuirmann, D. J. A comparison of the two one-sided tests procedure and the power approach for assessing the equivalence of average bioavailability. J. Pharmacokinet. Biopharm. 15, 657–680 (1987).</w:t>
      </w:r>
    </w:p>
    <w:p>
      <w:pPr>
        <w:pStyle w:val="ListParagraph"/>
        <w:numPr>
          <w:ilvl w:val="0"/>
          <w:numId w:val="4"/>
        </w:numPr>
        <w:spacing w:after="20" w:line="230"/>
        <w:jc w:val="left"/>
      </w:pPr>
      <w:r>
        <w:rPr>
          <w:rFonts w:ascii="Times New Roman" w:cs="Times New Roman" w:eastAsia="Times New Roman" w:hAnsi="Times New Roman"/>
          <w:sz w:val="17"/>
          <w:szCs w:val="17"/>
        </w:rPr>
        <w:t xml:space="preserve">van der Maaten, L. &amp; Hinton, G. Visualizing data using t-SNE. J. Mach. Learn. Res. 9, 2579–2605 (2008).</w:t>
      </w:r>
    </w:p>
    <w:p>
      <w:pPr>
        <w:pStyle w:val="ListParagraph"/>
        <w:numPr>
          <w:ilvl w:val="0"/>
          <w:numId w:val="4"/>
        </w:numPr>
        <w:spacing w:after="20" w:line="230"/>
        <w:jc w:val="left"/>
      </w:pPr>
      <w:r>
        <w:rPr>
          <w:rFonts w:ascii="Times New Roman" w:cs="Times New Roman" w:eastAsia="Times New Roman" w:hAnsi="Times New Roman"/>
          <w:sz w:val="17"/>
          <w:szCs w:val="17"/>
        </w:rPr>
        <w:t xml:space="preserve">Rousseeuw, P. J. Silhouettes: a graphical aid to the interpretation and validation of cluster analysis. J. Comput. Appl. Math. 20, 53–65 (1987).</w:t>
      </w:r>
    </w:p>
    <w:p>
      <w:pPr>
        <w:pStyle w:val="ListParagraph"/>
        <w:numPr>
          <w:ilvl w:val="0"/>
          <w:numId w:val="4"/>
        </w:numPr>
        <w:spacing w:after="20" w:line="230"/>
        <w:jc w:val="left"/>
      </w:pPr>
      <w:r>
        <w:rPr>
          <w:rFonts w:ascii="Times New Roman" w:cs="Times New Roman" w:eastAsia="Times New Roman" w:hAnsi="Times New Roman"/>
          <w:sz w:val="17"/>
          <w:szCs w:val="17"/>
        </w:rPr>
        <w:t xml:space="preserve">Davies, D. L. &amp; Bouldin, D. W. A cluster separation measure. IEEE Trans. Pattern Anal. Mach. Intell. 1, 224–227 (1979).</w:t>
      </w:r>
    </w:p>
    <w:p>
      <w:pPr>
        <w:pStyle w:val="ListParagraph"/>
        <w:numPr>
          <w:ilvl w:val="0"/>
          <w:numId w:val="4"/>
        </w:numPr>
        <w:spacing w:after="20" w:line="230"/>
        <w:jc w:val="left"/>
      </w:pPr>
      <w:r>
        <w:rPr>
          <w:rFonts w:ascii="Times New Roman" w:cs="Times New Roman" w:eastAsia="Times New Roman" w:hAnsi="Times New Roman"/>
          <w:sz w:val="17"/>
          <w:szCs w:val="17"/>
        </w:rPr>
        <w:t xml:space="preserve">Caliński, T. &amp; Harabasz, J. A dendrite method for cluster analysis. Commun. Stat. 3, 1–27 (1974).</w:t>
      </w:r>
    </w:p>
    <w:p>
      <w:pPr>
        <w:pStyle w:val="ListParagraph"/>
        <w:numPr>
          <w:ilvl w:val="0"/>
          <w:numId w:val="4"/>
        </w:numPr>
        <w:spacing w:after="20" w:line="230"/>
        <w:jc w:val="left"/>
      </w:pPr>
      <w:r>
        <w:rPr>
          <w:rFonts w:ascii="Times New Roman" w:cs="Times New Roman" w:eastAsia="Times New Roman" w:hAnsi="Times New Roman"/>
          <w:sz w:val="17"/>
          <w:szCs w:val="17"/>
        </w:rPr>
        <w:t xml:space="preserve">Lundberg, S. M. &amp; Lee, S.-I. A unified approach to interpreting model predictions. Adv. Neural Inf. Process. Syst. 30 (2017).</w:t>
      </w:r>
    </w:p>
    <w:p>
      <w:pPr>
        <w:pStyle w:val="ListParagraph"/>
        <w:numPr>
          <w:ilvl w:val="0"/>
          <w:numId w:val="4"/>
        </w:numPr>
        <w:spacing w:after="20" w:line="230"/>
        <w:jc w:val="left"/>
      </w:pPr>
      <w:r>
        <w:rPr>
          <w:rFonts w:ascii="Times New Roman" w:cs="Times New Roman" w:eastAsia="Times New Roman" w:hAnsi="Times New Roman"/>
          <w:sz w:val="17"/>
          <w:szCs w:val="17"/>
        </w:rPr>
        <w:t xml:space="preserve">Landis, J. R. &amp; Koch, G. G. The measurement of observer agreement for categorical data. Biometrics 33, 159–174 (1977).</w:t>
      </w:r>
    </w:p>
    <w:p>
      <w:pPr>
        <w:pStyle w:val="Heading1"/>
        <w:keepNext/>
        <w:spacing w:after="40" w:before="300"/>
        <w:ind w:left="1700"/>
      </w:pPr>
      <w:r>
        <w:rPr>
          <w:rFonts w:ascii="Arial" w:cs="Arial" w:eastAsia="Arial" w:hAnsi="Arial"/>
          <w:b/>
          <w:bCs/>
          <w:color w:val="000000"/>
          <w:sz w:val="26"/>
          <w:szCs w:val="26"/>
        </w:rPr>
        <w:t xml:space="preserve">Acknowledgements</w:t>
      </w:r>
    </w:p>
    <w:p>
      <w:pPr>
        <w:spacing w:after="0" w:line="252"/>
        <w:ind w:left="1700" w:firstLine="0"/>
        <w:jc w:val="both"/>
      </w:pPr>
      <w:r>
        <w:rPr>
          <w:rFonts w:ascii="Times New Roman" w:cs="Times New Roman" w:eastAsia="Times New Roman" w:hAnsi="Times New Roman"/>
          <w:sz w:val="20"/>
          <w:szCs w:val="20"/>
        </w:rPr>
        <w:t xml:space="preserve">The authors thank the providers of the SEED-IV dataset and the Department of Computer Science and Engineering, East West University, for their support. All figures were created by the authors; schematic illustrations (Figs. 1 and 4) were drawn manually and all plots were generated with Python.</w:t>
      </w:r>
    </w:p>
    <w:p>
      <w:pPr>
        <w:pStyle w:val="Heading1"/>
        <w:keepNext/>
        <w:spacing w:after="40" w:before="300"/>
        <w:ind w:left="1700"/>
      </w:pPr>
      <w:r>
        <w:rPr>
          <w:rFonts w:ascii="Arial" w:cs="Arial" w:eastAsia="Arial" w:hAnsi="Arial"/>
          <w:b/>
          <w:bCs/>
          <w:color w:val="000000"/>
          <w:sz w:val="26"/>
          <w:szCs w:val="26"/>
        </w:rPr>
        <w:t xml:space="preserve">Author contributions</w:t>
      </w:r>
    </w:p>
    <w:p>
      <w:pPr>
        <w:spacing w:after="0" w:line="252"/>
        <w:ind w:left="1700" w:firstLine="0"/>
        <w:jc w:val="both"/>
      </w:pPr>
      <w:r>
        <w:rPr>
          <w:rFonts w:ascii="Times New Roman" w:cs="Times New Roman" w:eastAsia="Times New Roman" w:hAnsi="Times New Roman"/>
          <w:sz w:val="20"/>
          <w:szCs w:val="20"/>
        </w:rPr>
        <w:t xml:space="preserve">S.K.: conceptualization, methodology, software, experiments, formal analysis, visualization and writing of the original draft. O.B.Q.: experiments, analysis and manuscript preparation. K.M.F.A.B.: implementation, evaluation and documentation. R.R.: experiments, reporting and software integration (NeuroSync). A.W.R.: supervision, review and editing. All authors reviewed and approved the final manuscript.</w:t>
      </w:r>
    </w:p>
    <w:p>
      <w:pPr>
        <w:pStyle w:val="Heading1"/>
        <w:keepNext/>
        <w:spacing w:after="40" w:before="300"/>
        <w:ind w:left="1700"/>
      </w:pPr>
      <w:r>
        <w:rPr>
          <w:rFonts w:ascii="Arial" w:cs="Arial" w:eastAsia="Arial" w:hAnsi="Arial"/>
          <w:b/>
          <w:bCs/>
          <w:color w:val="000000"/>
          <w:sz w:val="26"/>
          <w:szCs w:val="26"/>
        </w:rPr>
        <w:t xml:space="preserve">Funding</w:t>
      </w:r>
    </w:p>
    <w:p>
      <w:pPr>
        <w:spacing w:after="0" w:line="252"/>
        <w:ind w:left="1700" w:firstLine="0"/>
        <w:jc w:val="both"/>
      </w:pPr>
      <w:r>
        <w:rPr>
          <w:rFonts w:ascii="Times New Roman" w:cs="Times New Roman" w:eastAsia="Times New Roman" w:hAnsi="Times New Roman"/>
          <w:sz w:val="20"/>
          <w:szCs w:val="20"/>
        </w:rPr>
        <w:t xml:space="preserve">No external funding was received for this study </w:t>
      </w:r>
      <w:r>
        <w:rPr>
          <w:rFonts w:ascii="Times New Roman" w:cs="Times New Roman" w:eastAsia="Times New Roman" w:hAnsi="Times New Roman"/>
          <w:sz w:val="20"/>
          <w:szCs w:val="20"/>
          <w:highlight w:val="yellow"/>
          <w:highlightCs w:val="yellow"/>
        </w:rPr>
        <w:t xml:space="preserve">[confirm]</w:t>
      </w:r>
      <w:r>
        <w:rPr>
          <w:rFonts w:ascii="Times New Roman" w:cs="Times New Roman" w:eastAsia="Times New Roman" w:hAnsi="Times New Roman"/>
          <w:sz w:val="20"/>
          <w:szCs w:val="20"/>
        </w:rPr>
        <w:t xml:space="preserve">.</w:t>
      </w:r>
    </w:p>
    <w:p>
      <w:pPr>
        <w:pStyle w:val="Heading1"/>
        <w:keepNext/>
        <w:spacing w:after="40" w:before="300"/>
        <w:ind w:left="1700"/>
      </w:pPr>
      <w:r>
        <w:rPr>
          <w:rFonts w:ascii="Arial" w:cs="Arial" w:eastAsia="Arial" w:hAnsi="Arial"/>
          <w:b/>
          <w:bCs/>
          <w:color w:val="000000"/>
          <w:sz w:val="26"/>
          <w:szCs w:val="26"/>
        </w:rPr>
        <w:t xml:space="preserve">Declarations</w:t>
      </w:r>
    </w:p>
    <w:p>
      <w:pPr>
        <w:pStyle w:val="Heading2"/>
        <w:keepNext/>
        <w:spacing w:after="40" w:before="220"/>
        <w:ind w:left="1700"/>
      </w:pPr>
      <w:r>
        <w:rPr>
          <w:rFonts w:ascii="Arial" w:cs="Arial" w:eastAsia="Arial" w:hAnsi="Arial"/>
          <w:b/>
          <w:bCs/>
          <w:color w:val="000000"/>
          <w:sz w:val="21"/>
          <w:szCs w:val="21"/>
        </w:rPr>
        <w:t xml:space="preserve">Competing interests</w:t>
      </w:r>
    </w:p>
    <w:p>
      <w:pPr>
        <w:spacing w:after="0" w:line="252"/>
        <w:ind w:left="1700" w:firstLine="0"/>
        <w:jc w:val="both"/>
      </w:pPr>
      <w:r>
        <w:rPr>
          <w:rFonts w:ascii="Times New Roman" w:cs="Times New Roman" w:eastAsia="Times New Roman" w:hAnsi="Times New Roman"/>
          <w:sz w:val="20"/>
          <w:szCs w:val="20"/>
        </w:rPr>
        <w:t xml:space="preserve">The authors declare no competing interests.</w:t>
      </w:r>
    </w:p>
    <w:p>
      <w:pPr>
        <w:pStyle w:val="Heading2"/>
        <w:keepNext/>
        <w:spacing w:after="40" w:before="220"/>
        <w:ind w:left="1700"/>
      </w:pPr>
      <w:r>
        <w:rPr>
          <w:rFonts w:ascii="Arial" w:cs="Arial" w:eastAsia="Arial" w:hAnsi="Arial"/>
          <w:b/>
          <w:bCs/>
          <w:color w:val="000000"/>
          <w:sz w:val="21"/>
          <w:szCs w:val="21"/>
        </w:rPr>
        <w:t xml:space="preserve">Additional information</w:t>
      </w:r>
    </w:p>
    <w:p>
      <w:pPr>
        <w:spacing w:after="0" w:line="252"/>
        <w:ind w:left="1700"/>
      </w:pPr>
      <w:r>
        <w:rPr>
          <w:rFonts w:ascii="Times New Roman" w:cs="Times New Roman" w:eastAsia="Times New Roman" w:hAnsi="Times New Roman"/>
          <w:b/>
          <w:bCs/>
          <w:sz w:val="20"/>
          <w:szCs w:val="20"/>
        </w:rPr>
        <w:t xml:space="preserve">Correspondence</w:t>
      </w:r>
      <w:r>
        <w:rPr>
          <w:rFonts w:ascii="Times New Roman" w:cs="Times New Roman" w:eastAsia="Times New Roman" w:hAnsi="Times New Roman"/>
          <w:sz w:val="20"/>
          <w:szCs w:val="20"/>
        </w:rPr>
        <w:t xml:space="preserve"> and requests for materials should be addressed to S.K.</w:t>
      </w:r>
    </w:p>
    <w:sectPr>
      <w:footerReference w:type="default" r:id="rId7"/>
      <w:footerReference w:type="first" r:id="rId8"/>
      <w:pgSz w:w="11906" w:h="16838" w:orient="portrait"/>
      <w:pgMar w:top="1100" w:right="860" w:bottom="1100" w:left="1300" w:header="708" w:footer="50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4" w:space="4"/>
      </w:pBdr>
      <w:jc w:val="right"/>
    </w:pPr>
    <w:r>
      <w:rPr>
        <w:rFonts w:ascii="Arial" w:cs="Arial" w:eastAsia="Arial" w:hAnsi="Arial"/>
        <w:color w:val="808080"/>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4" w:space="4"/>
      </w:pBdr>
      <w:spacing w:after="0"/>
      <w:ind w:left="1700"/>
    </w:pPr>
    <w:r>
      <w:rPr>
        <w:rFonts w:ascii="Times New Roman" w:cs="Times New Roman" w:eastAsia="Times New Roman" w:hAnsi="Times New Roman"/>
        <w:sz w:val="17"/>
        <w:szCs w:val="17"/>
      </w:rPr>
      <w:t xml:space="preserve">Department of Computer Science and Engineering, East West University, Dhaka 1212, Bangladesh. </w:t>
    </w:r>
  </w:p>
  <w:p>
    <w:pPr>
      <w:spacing w:after="120"/>
      <w:ind w:left="1700"/>
    </w:pPr>
    <w:r>
      <w:rPr>
        <w:rFonts w:ascii="Times New Roman" w:cs="Times New Roman" w:eastAsia="Times New Roman" w:hAnsi="Times New Roman"/>
        <w:sz w:val="17"/>
        <w:szCs w:val="17"/>
      </w:rPr>
      <w:t xml:space="preserve">✉email: saifkhantdm@gmail.com</w:t>
    </w:r>
  </w:p>
  <w:p>
    <w:pPr>
      <w:jc w:val="right"/>
    </w:pPr>
    <w:r>
      <w:rPr>
        <w:rFonts w:ascii="Arial" w:cs="Arial" w:eastAsia="Arial" w:hAnsi="Arial"/>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200" w:hanging="300"/>
      </w:pPr>
    </w:lvl>
  </w:abstractNum>
  <w:abstractNum w:abstractNumId="3" w15:restartNumberingAfterBreak="0">
    <w:multiLevelType w:val="hybridMultilevel"/>
    <w:lvl w:ilvl="0" w15:tentative="1">
      <w:start w:val="1"/>
      <w:numFmt w:val="decimal"/>
      <w:lvlText w:val="%1."/>
      <w:lvlJc w:val="left"/>
      <w:pPr>
        <w:ind w:left="2200" w:hanging="300"/>
      </w:pPr>
    </w:lvl>
  </w:abstractNum>
  <w:abstractNum w:abstractNumId="4" w15:restartNumberingAfterBreak="0">
    <w:multiLevelType w:val="hybridMultilevel"/>
    <w:lvl w:ilvl="0" w15:tentative="1">
      <w:start w:val="1"/>
      <w:numFmt w:val="decimal"/>
      <w:lvlText w:val="%1."/>
      <w:lvlJc w:val="right"/>
      <w:pPr>
        <w:ind w:left="2060" w:hanging="360"/>
      </w:pPr>
      <w:rPr>
        <w:rFonts w:ascii="Times New Roman" w:cs="Times New Roman" w:eastAsia="Times New Roman" w:hAnsi="Times New Roman"/>
        <w:sz w:val="17"/>
        <w:szCs w:val="17"/>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91ae6b4fa13e4f46ec5cfabbe67226bc5194c608.png"/><Relationship Id="rId10" Type="http://schemas.openxmlformats.org/officeDocument/2006/relationships/image" Target="media/b9caee8e68a2b73aa5fe03b4458459cbe7169cee.png"/><Relationship Id="rId11" Type="http://schemas.openxmlformats.org/officeDocument/2006/relationships/image" Target="media/214635537958346dc2781bead2fbf9680d3eca4b.png"/><Relationship Id="rId12" Type="http://schemas.openxmlformats.org/officeDocument/2006/relationships/image" Target="media/3acc800267f2805b726c12fda5a8f233ca994004.png"/><Relationship Id="rId13" Type="http://schemas.openxmlformats.org/officeDocument/2006/relationships/image" Target="media/0bb325efd00a6a18a1b39113735b66b3bc4c2f06.png"/><Relationship Id="rId14" Type="http://schemas.openxmlformats.org/officeDocument/2006/relationships/image" Target="media/8198ff0176d880b92b699cd92ae6009e41d5158b.png"/><Relationship Id="rId15" Type="http://schemas.openxmlformats.org/officeDocument/2006/relationships/image" Target="media/f36b4619027ced6ec1e4a20f05f15836582e860e.png"/><Relationship Id="rId16" Type="http://schemas.openxmlformats.org/officeDocument/2006/relationships/image" Target="media/b9bd33ed1f29b16d6f55f1ddb0218a638c0cf6a8.png"/><Relationship Id="rId17" Type="http://schemas.openxmlformats.org/officeDocument/2006/relationships/image" Target="media/c7e15c2066f7b4c362e01fe5e80585e7d6ec11b5.png"/><Relationship Id="rId18" Type="http://schemas.openxmlformats.org/officeDocument/2006/relationships/image" Target="media/fdf4138e6e6c909cb6060e73deea6b6a365fe52c.png"/><Relationship Id="rId19" Type="http://schemas.openxmlformats.org/officeDocument/2006/relationships/image" Target="media/9929b2031fdad4dfae6944cd9fa9573419ce0493.png"/><Relationship Id="rId20" Type="http://schemas.openxmlformats.org/officeDocument/2006/relationships/image" Target="media/269efe484a5dd6c3506392b97e4222cd0252a830.png"/><Relationship Id="rId21" Type="http://schemas.openxmlformats.org/officeDocument/2006/relationships/image" Target="media/ac530a0baecab4a273da73ce58ccd3e2241d1fb1.png"/><Relationship Id="rId22" Type="http://schemas.openxmlformats.org/officeDocument/2006/relationships/image" Target="media/e0707d2d42d8437433975f7547bb3d1ec8351eb6.png"/><Relationship Id="rId23" Type="http://schemas.openxmlformats.org/officeDocument/2006/relationships/image" Target="media/df76edb96743844b8f8233aea88cc79ecb2685c1.png"/><Relationship Id="rId24" Type="http://schemas.openxmlformats.org/officeDocument/2006/relationships/image" Target="media/84f0e6220fd8b75190e41d163e5adbc42b560d69.png"/><Relationship Id="rId25" Type="http://schemas.openxmlformats.org/officeDocument/2006/relationships/image" Target="media/b7a6fbc3c637440d8a87cf0f8f92b0a3139dbc54.png"/><Relationship Id="rId26" Type="http://schemas.openxmlformats.org/officeDocument/2006/relationships/image" Target="media/f8cd4bb07e9410afc943586393d3445aefb29642.png"/><Relationship Id="rId27" Type="http://schemas.openxmlformats.org/officeDocument/2006/relationships/image" Target="media/572f9a86fe18e7a78b43d4a0780cf3f06dada682.png"/><Relationship Id="rId28" Type="http://schemas.openxmlformats.org/officeDocument/2006/relationships/image" Target="media/f0c86b462ff03a479d9318d9d8566cb1aa7f69c3.png"/><Relationship Id="rId29" Type="http://schemas.openxmlformats.org/officeDocument/2006/relationships/image" Target="media/50c422bf03bba6eb31dae7713a013e449b517087.png"/><Relationship Id="rId30" Type="http://schemas.openxmlformats.org/officeDocument/2006/relationships/image" Target="media/c2bf2a7601a2d0a8c4665b974db8e59d854574c8.png"/><Relationship Id="rId31" Type="http://schemas.openxmlformats.org/officeDocument/2006/relationships/image" Target="media/e03b50470a313b05de873871c7ef639be2539928.png"/><Relationship Id="rId32" Type="http://schemas.openxmlformats.org/officeDocument/2006/relationships/image" Target="media/15094777cf509f3a3f12426e30cbd5259199985f.png"/><Relationship Id="rId33" Type="http://schemas.openxmlformats.org/officeDocument/2006/relationships/image" Target="media/6c053f8108f0dfdc86f4798f4aefc476772179dc.png"/><Relationship Id="rId34" Type="http://schemas.openxmlformats.org/officeDocument/2006/relationships/image" Target="media/f2575f97774f119ca360212a91cbd027e590e4b1.png"/><Relationship Id="rId35" Type="http://schemas.openxmlformats.org/officeDocument/2006/relationships/image" Target="media/3cdab014cf38c8490a691843f277d8ffddf0958f.png"/><Relationship Id="rId36" Type="http://schemas.openxmlformats.org/officeDocument/2006/relationships/image" Target="media/1a1893fbb22911237f545231db78ee698f84d8d2.png"/><Relationship Id="rId37" Type="http://schemas.openxmlformats.org/officeDocument/2006/relationships/image" Target="media/3f780924445ba12f6d7e472a2a71e671e11afe0c.png"/><Relationship Id="rId38" Type="http://schemas.openxmlformats.org/officeDocument/2006/relationships/image" Target="media/5fce12c3cd647dc4bcc2ea7ffc5734e4703084dd.png"/><Relationship Id="rId39" Type="http://schemas.openxmlformats.org/officeDocument/2006/relationships/image" Target="media/234730feaceb77a937b33ec9a125829f0b5ec0d7.png"/><Relationship Id="rId40" Type="http://schemas.openxmlformats.org/officeDocument/2006/relationships/image" Target="media/e100be7f979338b95e734c63b3493c59c906d165.png"/><Relationship Id="rId41" Type="http://schemas.openxmlformats.org/officeDocument/2006/relationships/image" Target="media/ca2b23d20dbda095d20879fb9656a6534ca757e5.png"/><Relationship Id="rId42" Type="http://schemas.openxmlformats.org/officeDocument/2006/relationships/image" Target="media/1d0fa16b0275beb6bbb4945efe84230c328fd7c2.png"/><Relationship Id="rId43" Type="http://schemas.openxmlformats.org/officeDocument/2006/relationships/image" Target="media/20b38ba379564bb1c109cf8ff58ea7d4a08134fb.png"/><Relationship Id="rId44" Type="http://schemas.openxmlformats.org/officeDocument/2006/relationships/image" Target="media/a4e6844d78b0c339913ea664594c0e6111290d54.png"/><Relationship Id="rId45" Type="http://schemas.openxmlformats.org/officeDocument/2006/relationships/image" Target="media/e30de95927ab00637c115c156114cf47d11591f8.png"/><Relationship Id="rId46" Type="http://schemas.openxmlformats.org/officeDocument/2006/relationships/image" Target="media/2e4cb16486e6eb7009e4015d49186ba6f31a2d12.png"/><Relationship Id="rId47" Type="http://schemas.openxmlformats.org/officeDocument/2006/relationships/image" Target="media/abe21e8fab2ed98eec99d8ab166b03c16b11e530.png"/><Relationship Id="rId48" Type="http://schemas.openxmlformats.org/officeDocument/2006/relationships/image" Target="media/a254136901e401f13a6b6825cd6915b9c892b333.png"/><Relationship Id="rId49" Type="http://schemas.openxmlformats.org/officeDocument/2006/relationships/image" Target="media/71f4fc081665d3b6d1b1aa0cda97f5cc771bc491.png"/><Relationship Id="rId50" Type="http://schemas.openxmlformats.org/officeDocument/2006/relationships/image" Target="media/85fe1a42ebf47dea17247082b580f08c6299f0de.png"/><Relationship Id="rId5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2026-10-18T09:16:30.798Z</dcterms:created>
  <dcterms:modified xsi:type="dcterms:W3CDTF">2026-10-18T09:16:30.807Z</dcterms:modified>
</cp:coreProperties>
</file>

<file path=docProps/custom.xml><?xml version="1.0" encoding="utf-8"?>
<Properties xmlns="http://schemas.openxmlformats.org/officeDocument/2006/custom-properties" xmlns:vt="http://schemas.openxmlformats.org/officeDocument/2006/docPropsVTypes"/>
</file>