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w:t>
      </w:r>
    </w:p>
    <w:p>
      <w:pPr>
        <w:jc w:val="both"/>
      </w:pPr>
      <w:r>
        <w:rPr>
          <w:i/>
        </w:rPr>
        <w:t>Manuscript: Predicting Cross-Country Unemployment Rates from Macro-Socioeconomic and Structural Indicators: An Interpretable Stacking Ensemble Approach Using Cross-Sectional Data (formerly: Forecasting Cross-Country Unemployment Rates: A Stacking Ensemble Approach Using Time Series for Macro-Socioeconomic and Structural Indicators)</w:t>
      </w:r>
    </w:p>
    <w:p>
      <w:pPr>
        <w:jc w:val="both"/>
      </w:pPr>
      <w:r>
        <w:rPr>
          <w:i w:val="0"/>
        </w:rPr>
        <w:t xml:space="preserve">We thank the reviewers for their careful reading and constructive comments, which have substantially improved the manuscript. We have addressed every comment. All revised or newly added text in the revised manuscript is shown in </w:t>
      </w:r>
      <w:r>
        <w:rPr>
          <w:color w:val="0070C0"/>
        </w:rPr>
        <w:t>blue</w:t>
      </w:r>
      <w:r>
        <w:t>. Our point-by-point responses follow.</w:t>
      </w:r>
    </w:p>
    <w:p>
      <w:pPr>
        <w:pStyle w:val="Heading1"/>
      </w:pPr>
      <w:r>
        <w:rPr>
          <w:rFonts w:ascii="Times New Roman" w:hAnsi="Times New Roman"/>
        </w:rPr>
        <w:t>Comment 1: The manuscript needs professional English editing.</w:t>
      </w:r>
    </w:p>
    <w:p>
      <w:pPr>
        <w:jc w:val="both"/>
      </w:pPr>
      <w:r>
        <w:rPr>
          <w:b/>
        </w:rPr>
        <w:t xml:space="preserve">Response: </w:t>
      </w:r>
      <w:r>
        <w:rPr>
          <w:i w:val="0"/>
        </w:rPr>
        <w:t>We agree. The entire manuscript has been carefully revised for language, grammar, clarity, and consistency of terminology (e.g., “prediction” instead of “forecasting”, consistent use of “percentage points (pp)”, consistent model names). Ungrammatical or unclear passages in the Abstract, Introduction, Literature Review, Methodology, Results, Discussion, and Conclusion have been rewritten, and several stray text fragments left from earlier drafts have been removed.</w:t>
      </w:r>
    </w:p>
    <w:p>
      <w:pPr>
        <w:pStyle w:val="Heading1"/>
      </w:pPr>
      <w:r>
        <w:rPr>
          <w:rFonts w:ascii="Times New Roman" w:hAnsi="Times New Roman"/>
        </w:rPr>
        <w:t>Comment 2: The study is presented as time-series forecasting, but the dataset appears to be cross-sectional (single-year data).</w:t>
      </w:r>
    </w:p>
    <w:p>
      <w:pPr>
        <w:jc w:val="both"/>
      </w:pPr>
      <w:r>
        <w:rPr>
          <w:b/>
        </w:rPr>
        <w:t xml:space="preserve">Response: </w:t>
      </w:r>
      <w:r>
        <w:rPr>
          <w:i w:val="0"/>
        </w:rPr>
        <w:t>We fully agree with the reviewer. The Global Country Information Dataset 2023 contains one observation per country for approximately 2023, so the study is a cross-sectional prediction study and not a time-series forecasting study. We have revised the manuscript accordingly:</w:t>
      </w:r>
    </w:p>
    <w:p>
      <w:pPr>
        <w:pStyle w:val="ListBullet"/>
      </w:pPr>
      <w:r>
        <w:rPr>
          <w:b/>
        </w:rPr>
        <w:t xml:space="preserve">Title: </w:t>
      </w:r>
      <w:r>
        <w:t>changed to “Predicting Cross-Country Unemployment Rates from Macro-Socioeconomic and Structural Indicators: An Interpretable Stacking Ensemble Approach Using Cross-Sectional Data”.</w:t>
      </w:r>
    </w:p>
    <w:p>
      <w:pPr>
        <w:pStyle w:val="ListBullet"/>
      </w:pPr>
      <w:r>
        <w:rPr>
          <w:b/>
        </w:rPr>
        <w:t xml:space="preserve">Abstract and keywords: </w:t>
      </w:r>
      <w:r>
        <w:t>now state explicitly that the data are cross-sectional and that the task is out-of-sample cross-country prediction rather than time-series forecasting.</w:t>
      </w:r>
    </w:p>
    <w:p>
      <w:pPr>
        <w:pStyle w:val="ListBullet"/>
      </w:pPr>
      <w:r>
        <w:rPr>
          <w:b/>
        </w:rPr>
        <w:t xml:space="preserve">Introduction: </w:t>
      </w:r>
      <w:r>
        <w:t>a new paragraph, “Scope and terminology”, defines the prediction task and explains what the study does and does not do.</w:t>
      </w:r>
    </w:p>
    <w:p>
      <w:pPr>
        <w:pStyle w:val="ListBullet"/>
      </w:pPr>
      <w:r>
        <w:rPr>
          <w:b/>
        </w:rPr>
        <w:t xml:space="preserve">Section 3.1 (Data Collection): </w:t>
      </w:r>
      <w:r>
        <w:t>states that each country appears once and that the analysis captures contemporaneous cross-country associations rather than temporal dynamics.</w:t>
      </w:r>
    </w:p>
    <w:p>
      <w:pPr>
        <w:pStyle w:val="ListBullet"/>
      </w:pPr>
      <w:r>
        <w:rPr>
          <w:b/>
        </w:rPr>
        <w:t xml:space="preserve">Section 3.4.3: </w:t>
      </w:r>
      <w:r>
        <w:t>explains why time-series validation schemes (e.g., rolling-origin evaluation) are not applicable and how generalization to unseen countries is evaluated instead.</w:t>
      </w:r>
    </w:p>
    <w:p>
      <w:pPr>
        <w:pStyle w:val="ListBullet"/>
      </w:pPr>
      <w:r>
        <w:rPr>
          <w:b/>
        </w:rPr>
        <w:t xml:space="preserve">Discussion, Limitations, and Future Work: </w:t>
      </w:r>
      <w:r>
        <w:t>the lack of temporal dynamics is listed as the first limitation, and extending the framework to panel data for genuine forecasting is proposed as future work.</w:t>
      </w:r>
    </w:p>
    <w:p>
      <w:pPr>
        <w:pStyle w:val="ListBullet"/>
      </w:pPr>
      <w:r>
        <w:rPr>
          <w:b/>
        </w:rPr>
        <w:t xml:space="preserve">Throughout: </w:t>
      </w:r>
      <w:r>
        <w:t>“forecasting” has been replaced by “prediction/estimation” where the cross-sectional task is meant, and references to “time series” and “unemployment trends” were removed where they did not apply.</w:t>
      </w:r>
    </w:p>
    <w:p>
      <w:pPr>
        <w:pStyle w:val="Heading1"/>
      </w:pPr>
      <w:r>
        <w:rPr>
          <w:rFonts w:ascii="Times New Roman" w:hAnsi="Times New Roman"/>
        </w:rPr>
        <w:t>Comment 3: The methodology, especially the cross-validation process, needs to be explained more clearly.</w:t>
      </w:r>
    </w:p>
    <w:p>
      <w:pPr>
        <w:jc w:val="both"/>
      </w:pPr>
      <w:r>
        <w:rPr>
          <w:b/>
        </w:rPr>
        <w:t xml:space="preserve">Response: </w:t>
      </w:r>
      <w:r>
        <w:rPr>
          <w:i w:val="0"/>
        </w:rPr>
        <w:t>We have substantially expanded and clarified the description of the methodology:</w:t>
      </w:r>
    </w:p>
    <w:p>
      <w:pPr>
        <w:pStyle w:val="ListBullet"/>
      </w:pPr>
      <w:r>
        <w:rPr>
          <w:b/>
        </w:rPr>
        <w:t xml:space="preserve">New Section 3.4.3 (Cross-Validation Design): </w:t>
      </w:r>
      <w:r>
        <w:t>describes the nested cross-validation design: an outer five-fold cross-validation stratified by region × income group for performance estimation, and inner five-fold cross-validation for hyperparameter tuning and for generating out-of-fold base-learner predictions for the Ridge meta-learner. It states that all metrics are computed from pooled out-of-fold predictions, and that the regional, income-group, and calibration results are obtained by grouping these same predictions.</w:t>
      </w:r>
    </w:p>
    <w:p>
      <w:pPr>
        <w:pStyle w:val="ListBullet"/>
      </w:pPr>
      <w:r>
        <w:rPr>
          <w:b/>
        </w:rPr>
        <w:t xml:space="preserve">Leakage prevention: </w:t>
      </w:r>
      <w:r>
        <w:t>Sections 3.3 and 3.4.3 now state that imputation, winsorization limits, and scaling are fitted on the training folds only and then applied to the held-out fold.</w:t>
      </w:r>
    </w:p>
    <w:p>
      <w:pPr>
        <w:pStyle w:val="ListBullet"/>
      </w:pPr>
      <w:r>
        <w:rPr>
          <w:b/>
        </w:rPr>
        <w:t xml:space="preserve">Algorithm 1: </w:t>
      </w:r>
      <w:r>
        <w:t>rewritten. The previous version contained steps that do not apply to tree-based models (epochs, batch size, data augmentation, learning-rate schedules, and early stopping). The new algorithm describes the actual nested procedure step by step.</w:t>
      </w:r>
    </w:p>
    <w:p>
      <w:pPr>
        <w:pStyle w:val="ListBullet"/>
      </w:pPr>
      <w:r>
        <w:rPr>
          <w:b/>
        </w:rPr>
        <w:t xml:space="preserve">Stacking model (Section 3.4, item 7): </w:t>
      </w:r>
      <w:r>
        <w:t>now explains why out-of-fold predictions are used as meta-features.</w:t>
      </w:r>
    </w:p>
    <w:p>
      <w:pPr>
        <w:pStyle w:val="ListBullet"/>
      </w:pPr>
      <w:r>
        <w:rPr>
          <w:b/>
        </w:rPr>
        <w:t xml:space="preserve">Section 3.4.2: </w:t>
      </w:r>
      <w:r>
        <w:t>reports the final hyperparameters, the Ridge penalty values compared, and the passthrough option.</w:t>
      </w:r>
    </w:p>
    <w:p>
      <w:pPr>
        <w:pStyle w:val="ListBullet"/>
      </w:pPr>
      <w:r>
        <w:rPr>
          <w:b/>
        </w:rPr>
        <w:t xml:space="preserve">Metrics (Section 3.4.1): </w:t>
      </w:r>
      <w:r>
        <w:t>MAE, which is reported in several tables, is now defined, and the classification metrics (accuracy and AUC) previously mentioned for this regression task were removed.</w:t>
      </w:r>
    </w:p>
    <w:p>
      <w:pPr>
        <w:pStyle w:val="ListBullet"/>
      </w:pPr>
      <w:r>
        <w:rPr>
          <w:b/>
        </w:rPr>
        <w:t xml:space="preserve">Figure 1: </w:t>
      </w:r>
      <w:r>
        <w:t>the text now explains that the 80%/20% split in the figure corresponds to the training/test partition within each cross-validation fold.</w:t>
      </w:r>
    </w:p>
    <w:p>
      <w:pPr>
        <w:pStyle w:val="Heading1"/>
      </w:pPr>
      <w:r>
        <w:rPr>
          <w:rFonts w:ascii="Times New Roman" w:hAnsi="Times New Roman"/>
        </w:rPr>
        <w:t>Comment 4: There are inconsistencies between the figures, tables, and the text.</w:t>
      </w:r>
    </w:p>
    <w:p>
      <w:pPr>
        <w:jc w:val="both"/>
      </w:pPr>
      <w:r>
        <w:rPr>
          <w:b/>
        </w:rPr>
        <w:t xml:space="preserve">Response: </w:t>
      </w:r>
      <w:r>
        <w:rPr>
          <w:i w:val="0"/>
        </w:rPr>
        <w:t>We thank the reviewer for identifying these. We checked every table and figure against the text and corrected the following:</w:t>
      </w:r>
    </w:p>
    <w:p>
      <w:pPr>
        <w:pStyle w:val="ListBullet"/>
      </w:pPr>
      <w:r>
        <w:t>Sample size: the text stated 195 countries, while Tables 5 and 7 sum to 166. The text now explains that 195 countries are in the dataset and that the 166 with an observed unemployment rate form the modelling sample.</w:t>
      </w:r>
    </w:p>
    <w:p>
      <w:pPr>
        <w:pStyle w:val="ListBullet"/>
      </w:pPr>
      <w:r>
        <w:t>Table 1 / Section 3.2: the text said “six sectors” while Table 1 lists eight categories; corrected.</w:t>
      </w:r>
    </w:p>
    <w:p>
      <w:pPr>
        <w:pStyle w:val="ListBullet"/>
      </w:pPr>
      <w:r>
        <w:t>Table 8 text: it previously described X2 (600 trees) as the best XGBoost configuration, whereas Table 8 shows X3 (800 trees, RMSE = 1.24 pp) as best, and X3 is the configuration used in the stacking model. Corrected.</w:t>
      </w:r>
    </w:p>
    <w:p>
      <w:pPr>
        <w:pStyle w:val="ListBullet"/>
      </w:pPr>
      <w:r>
        <w:t>Table 3 and Figure 7 text: “LightGB” corrected to “LightGBM”; the text previously stated that LightGBM was the second-best model in Figure 7, contradicting the figure and Table 3. Corrected (Stacking &gt; XGBoost &gt; CatBoost &gt; LightGBM).</w:t>
      </w:r>
    </w:p>
    <w:p>
      <w:pPr>
        <w:pStyle w:val="ListBullet"/>
      </w:pPr>
      <w:r>
        <w:t>Table 4 text: corrupted values (e.g., “33%1,55”) replaced with the correct values from Table 4.</w:t>
      </w:r>
    </w:p>
    <w:p>
      <w:pPr>
        <w:pStyle w:val="ListBullet"/>
      </w:pPr>
      <w:r>
        <w:t>Table 6 text: corrupted values (e.g., “High-income0.0 RMSE0.0 MAE82.10%”) replaced with the correct values from Table 6.</w:t>
      </w:r>
    </w:p>
    <w:p>
      <w:pPr>
        <w:pStyle w:val="ListBullet"/>
      </w:pPr>
      <w:r>
        <w:t>Table 7 text: the sign convention of the difference column is now stated.</w:t>
      </w:r>
    </w:p>
    <w:p>
      <w:pPr>
        <w:pStyle w:val="ListBullet"/>
      </w:pPr>
      <w:r>
        <w:t>Discussion: a stray sentence reporting “0.91 R² in the United States” (not supported by any result) was removed.</w:t>
      </w:r>
    </w:p>
    <w:p>
      <w:pPr>
        <w:pStyle w:val="ListBullet"/>
      </w:pPr>
      <w:r>
        <w:t>Conclusion: references to non-existent “Figs. 10”, to “10% of experimental value”, and to a comparison with ARIMA (which was not performed in this study) were removed and replaced with statements that are supported by the results.</w:t>
      </w:r>
    </w:p>
    <w:p>
      <w:pPr>
        <w:pStyle w:val="ListBullet"/>
      </w:pPr>
      <w:r>
        <w:t>Figure 3 text: the colour scale (not the bubble size) represents life expectancy, and the fitted slope is weak; the description now matches the figure.</w:t>
      </w:r>
    </w:p>
    <w:p>
      <w:pPr>
        <w:pStyle w:val="ListBullet"/>
      </w:pPr>
      <w:r>
        <w:t>Figure 4 text: the map shows country locations with selected labels; the incorrect description of bubble sizes was removed.</w:t>
      </w:r>
    </w:p>
    <w:p>
      <w:pPr>
        <w:pStyle w:val="ListBullet"/>
      </w:pPr>
      <w:r>
        <w:t>Figure 8 text: rewritten to describe what the figure shows.</w:t>
      </w:r>
    </w:p>
    <w:p>
      <w:pPr>
        <w:pStyle w:val="ListBullet"/>
      </w:pPr>
      <w:r>
        <w:t>Table 12: the claim that the model surpasses previous models “by 0.06–0.26 pp RMSE” was removed, because the studies use different targets, data, and metrics; Table 12 is now presented as a qualitative comparison, and the “Comparison” column no longer contains implied numerical values.</w:t>
      </w:r>
    </w:p>
    <w:p>
      <w:pPr>
        <w:pStyle w:val="ListBullet"/>
      </w:pPr>
      <w:r>
        <w:t>Literature review: citation numbers from Ramírez et al. onward were shifted by one relative to the reference list; corrected. Descriptions of several cited works were corrected to match the referenced papers (e.g., Adewale et al. concerns GDP prediction; Chen &amp; Guestrin introduce XGBoost; Lundberg &amp; Lee introduce SHAP; Gupta et al. use about 150 years of U.K. data).</w:t>
      </w:r>
    </w:p>
    <w:p>
      <w:pPr>
        <w:pStyle w:val="ListBullet"/>
      </w:pPr>
      <w:r>
        <w:t>Citation [45], which does not exist in the reference list, was removed; an un-bracketed citation (“15”) was corrected.</w:t>
      </w:r>
    </w:p>
    <w:p>
      <w:pPr>
        <w:pStyle w:val="ListBullet"/>
      </w:pPr>
      <w:r>
        <w:t>Section numbering: “1. Conclusion and Future Work” corrected to Section 5; “Performance Matrices” corrected to “Performance Metrics”; the duplicated paper-organization paragraph in the Introduction was merged into one.</w:t>
      </w:r>
    </w:p>
    <w:p>
      <w:pPr>
        <w:pStyle w:val="Heading1"/>
      </w:pPr>
      <w:r>
        <w:rPr>
          <w:rFonts w:ascii="Times New Roman" w:hAnsi="Times New Roman"/>
        </w:rPr>
        <w:t>Comment 5: Some conclusions are too strong, because the results show associations rather than causal relationships.</w:t>
      </w:r>
    </w:p>
    <w:p>
      <w:pPr>
        <w:jc w:val="both"/>
      </w:pPr>
      <w:r>
        <w:rPr>
          <w:b/>
        </w:rPr>
        <w:t xml:space="preserve">Response: </w:t>
      </w:r>
      <w:r>
        <w:rPr>
          <w:i w:val="0"/>
        </w:rPr>
        <w:t>We agree. The manuscript now consistently describes the findings as associations:</w:t>
      </w:r>
    </w:p>
    <w:p>
      <w:pPr>
        <w:pStyle w:val="ListBullet"/>
      </w:pPr>
      <w:r>
        <w:t>The Abstract, Introduction, Results, Discussion, and Conclusion state explicitly that SHAP and partial dependence results describe how the model uses the features and indicate associations, not causal effects.</w:t>
      </w:r>
    </w:p>
    <w:p>
      <w:pPr>
        <w:pStyle w:val="ListBullet"/>
      </w:pPr>
      <w:r>
        <w:t>Causal wording (e.g., “drivers that cause”, “reduce unemployment risk”, “determinants”, “key risks for unemployment”, “unemployment can never increase”) was replaced by associative wording (e.g., “are associated with lower predicted unemployment”).</w:t>
      </w:r>
    </w:p>
    <w:p>
      <w:pPr>
        <w:pStyle w:val="ListBullet"/>
      </w:pPr>
      <w:r>
        <w:t>The Discussion now explains why causal interpretation is not possible (cross-sectional data, correlated predictors that proxy for overall development, possible omitted variables) and which designs would be needed (panel fixed effects, instrumental variables, quasi-experimental designs).</w:t>
      </w:r>
    </w:p>
    <w:p>
      <w:pPr>
        <w:pStyle w:val="ListBullet"/>
      </w:pPr>
      <w:r>
        <w:t>Policy statements were moderated: the results now identify where further causal investigation is warranted rather than prescribing interventions.</w:t>
      </w:r>
    </w:p>
    <w:p>
      <w:pPr>
        <w:pStyle w:val="ListBullet"/>
      </w:pPr>
      <w:r>
        <w:t>Claims about model superiority were moderated: the gain over XGBoost (RMSE 1.18 vs. 1.24 pp) is described as modest, and the small sample size (166 countries) is acknowledged as a limitation.</w:t>
      </w:r>
    </w:p>
    <w:p>
      <w:pPr>
        <w:pStyle w:val="Heading1"/>
      </w:pPr>
      <w:r>
        <w:rPr>
          <w:rFonts w:ascii="Times New Roman" w:hAnsi="Times New Roman"/>
        </w:rPr>
        <w:t>Additional improvements</w:t>
      </w:r>
    </w:p>
    <w:p>
      <w:pPr>
        <w:pStyle w:val="ListBullet"/>
      </w:pPr>
      <w:r>
        <w:t>The relevance of the study for Saudi Arabia and the GCC (Saudi Vision 2030, public-sector employment, expatriate labor) is now discussed in the Introduction, Discussion, and Future Work.</w:t>
      </w:r>
    </w:p>
    <w:p>
      <w:pPr>
        <w:pStyle w:val="ListBullet"/>
      </w:pPr>
      <w:r>
        <w:t>A new limitation on cross-country differences in how unemployment is measured was added.</w:t>
      </w:r>
    </w:p>
    <w:p>
      <w:pPr>
        <w:pStyle w:val="ListBullet"/>
      </w:pPr>
      <w:r>
        <w:t>Future work now includes causal inference methods and uncertainty quantification.</w:t>
      </w:r>
    </w:p>
    <w:p>
      <w:r>
        <w:br w:type="page"/>
      </w:r>
    </w:p>
    <w:p>
      <w:pPr>
        <w:pStyle w:val="Title"/>
      </w:pPr>
      <w:r>
        <w:t>Author Checklist: Required Before Submission (Not for the Journal)</w:t>
      </w:r>
    </w:p>
    <w:p>
      <w:pPr>
        <w:jc w:val="both"/>
      </w:pPr>
      <w:r>
        <w:rPr>
          <w:i/>
        </w:rPr>
        <w:t>The following points could not be fixed by text editing alone because they require the analysis code, the data, or the original figure files. Please complete them before submission, otherwise reviewers will likely raise them again. Delete this section before sending the response letter.</w:t>
      </w:r>
    </w:p>
    <w:p>
      <w:pPr>
        <w:jc w:val="both"/>
      </w:pPr>
      <w:r>
        <w:rPr>
          <w:b/>
        </w:rPr>
        <w:t xml:space="preserve">1. Figure 8 must be regenerated (high priority). </w:t>
      </w:r>
      <w:r>
        <w:rPr>
          <w:i w:val="0"/>
        </w:rPr>
        <w:t>The current figure is from a different analysis: its panels are titled “Initial Model (10 Components)” and “Optimized Model (20 Components)”, the axes are on a 0–1 normalized scale, and it shows about 40 points. It should show the stacking model’s out-of-fold predicted vs. observed unemployment rates (in %) for all 166 countries, plus the residual histogram. After regenerating it, update the Figure 8 paragraph and caption (the residual ranges quoted in the text are read from the current figure).</w:t>
      </w:r>
    </w:p>
    <w:p>
      <w:pPr>
        <w:jc w:val="both"/>
      </w:pPr>
      <w:r>
        <w:rPr>
          <w:b/>
        </w:rPr>
        <w:t xml:space="preserve">2. Confirm that the cross-validation description matches your code (high priority). </w:t>
      </w:r>
      <w:r>
        <w:rPr>
          <w:i w:val="0"/>
        </w:rPr>
        <w:t>Section 3.4.3 describes stratified (by region × income group) nested five-fold CV with all preprocessing fitted inside the training folds. If preprocessing (imputation/winsorization/scaling) was fitted on the full dataset, rerun the experiments using a scikit-learn Pipeline inside the CV loop and update all numbers. If you instead used GroupKFold with region as the group (leave-one-region-out), replace the “Outer loop” paragraph with: “The countries are partitioned into folds by geographic region, so that all countries of a region are held out together; the model is therefore always evaluated on regions it has not seen during training, which is a stricter test of geographic generalization.” and adjust the Table 5 text.</w:t>
      </w:r>
    </w:p>
    <w:p>
      <w:pPr>
        <w:jc w:val="both"/>
      </w:pPr>
      <w:r>
        <w:rPr>
          <w:b/>
        </w:rPr>
        <w:t xml:space="preserve">3. Add SHAP and partial dependence figures (high priority). </w:t>
      </w:r>
      <w:r>
        <w:rPr>
          <w:i w:val="0"/>
        </w:rPr>
        <w:t>The text relies on SHAP and PDP results, but no SHAP or PDP figure appears in the paper. Add a SHAP summary (beeswarm) plot and PDPs for the main features (life expectancy, physicians per thousand, tax revenue, CPI, CPI change), and cite them in Sections 4 and 4.1.</w:t>
      </w:r>
    </w:p>
    <w:p>
      <w:pPr>
        <w:jc w:val="both"/>
      </w:pPr>
      <w:r>
        <w:rPr>
          <w:b/>
        </w:rPr>
        <w:t xml:space="preserve">4. Sample size and Table 6 counts. </w:t>
      </w:r>
      <w:r>
        <w:rPr>
          <w:i w:val="0"/>
        </w:rPr>
        <w:t>The text now states that 166 countries form the modelling sample (Tables 5 and 7 sum to 166). Please confirm. Table 6 shows 4 × 40 = 160 countries; quartiles of 166 countries should be about 41–42 per group. Correct the counts (and the metrics, if they change).</w:t>
      </w:r>
    </w:p>
    <w:p>
      <w:pPr>
        <w:jc w:val="both"/>
      </w:pPr>
      <w:r>
        <w:rPr>
          <w:b/>
        </w:rPr>
        <w:t xml:space="preserve">5. Tables 8 and 9: add a max_depth column. </w:t>
      </w:r>
      <w:r>
        <w:rPr>
          <w:i w:val="0"/>
        </w:rPr>
        <w:t>X3 and X5 (Table 8) and R3 and R4 (Table 9) have identical values in the columns shown but different results; the text assumes they differ only in max_depth. Add the max_depth values. Also note that Table 2 reports Random Forest RMSE = 1.42 (configuration R2), whereas R3 (RMSE = 1.41) is the best configuration and the one used in the stacking model; make Table 2 consistent.</w:t>
      </w:r>
    </w:p>
    <w:p>
      <w:pPr>
        <w:jc w:val="both"/>
      </w:pPr>
      <w:r>
        <w:rPr>
          <w:b/>
        </w:rPr>
        <w:t xml:space="preserve">6. Figure label and typo fixes in images. </w:t>
      </w:r>
      <w:r>
        <w:rPr>
          <w:i w:val="0"/>
        </w:rPr>
        <w:t>Figure 7: “LightGB” → “LightGBM”. Figure 1: “Training (80%)+Validation (80%)” is incorrect; the dataset name in Figure 1 (“Countries of the World 2023”) should match the text (“Global Country Information Dataset 2023”); the result panels inside Figure 1 include the old Figure 8 panels. Figure 5: “Data Preocessing” → “Data Preprocessing”, and “Normalize &amp; Split Data” should reflect the cross-validation design. Figure 3: state in the caption which variable the bubble size represents (it appears to be population).</w:t>
      </w:r>
    </w:p>
    <w:p>
      <w:pPr>
        <w:jc w:val="both"/>
      </w:pPr>
      <w:r>
        <w:rPr>
          <w:b/>
        </w:rPr>
        <w:t xml:space="preserve">7. Verify the literature review against the original papers. </w:t>
      </w:r>
      <w:r>
        <w:rPr>
          <w:i w:val="0"/>
        </w:rPr>
        <w:t>Several descriptions in the original draft did not match the cited papers (these were corrected based on the paper titles). The accuracy percentages (85%, 90%, 89%, 87%, 88%, 92%, 91%) in Section 2 and Table 12 should be verified against each paper; forecasting papers rarely report “accuracy %”. Remove any value you cannot verify. Also verify the details for Chakraborty et al., Ramírez et al., and Wijnhoven et al.</w:t>
      </w:r>
    </w:p>
    <w:p>
      <w:pPr>
        <w:jc w:val="both"/>
      </w:pPr>
      <w:r>
        <w:rPr>
          <w:b/>
        </w:rPr>
        <w:t xml:space="preserve">8. Reference list. </w:t>
      </w:r>
      <w:r>
        <w:rPr>
          <w:i w:val="0"/>
        </w:rPr>
        <w:t>Duplicates: [12] = [26] (Lundberg &amp; Lee) and [23] = [29] (Chen &amp; Guestrin); merge them and renumber. Ref. [28] needs the full Kaggle URL. Refs. [10] and [14] lack venue/DOI. Ref. [34] (Galton, 1886) is not an appropriate citation for linear regression; replace it with a standard textbook. For a Saudi/Arab journal, consider citing recent work on GCC/Saudi labor markets and official sources (e.g., GASTAT labor force statistics, Vision 2030 documents).</w:t>
      </w:r>
    </w:p>
    <w:p>
      <w:pPr>
        <w:jc w:val="both"/>
      </w:pPr>
      <w:r>
        <w:rPr>
          <w:b/>
        </w:rPr>
        <w:t xml:space="preserve">9. Statistical robustness (recommended). </w:t>
      </w:r>
      <w:r>
        <w:rPr>
          <w:i w:val="0"/>
        </w:rPr>
        <w:t>Report the fold-wise mean ± standard deviation of RMSE/R², or bootstrap confidence intervals, so that readers can judge whether the 0.06 pp RMSE gain of stacking over XGBoost is meaningful.</w:t>
      </w:r>
    </w:p>
    <w:p>
      <w:pPr>
        <w:jc w:val="both"/>
      </w:pPr>
      <w:r>
        <w:rPr>
          <w:b/>
        </w:rPr>
        <w:t xml:space="preserve">10. Final language check and data availability. </w:t>
      </w:r>
      <w:r>
        <w:rPr>
          <w:i w:val="0"/>
        </w:rPr>
        <w:t>Have a native speaker or professional editor proofread the final version, and add a Data and Code Availability statement (many journals require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