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4"/>
          <w:szCs w:val="34"/>
        </w:rPr>
        <w:t xml:space="preserve">Few-shot calibration rather than architecture drives cross-participant EEG emotion recognition with full and six-electrode montages</w:t>
      </w:r>
    </w:p>
    <w:p>
      <w:pPr>
        <w:spacing w:after="140" w:line="360"/>
        <w:jc w:val="left"/>
      </w:pPr>
      <w:r>
        <w:rPr>
          <w:sz w:val="22"/>
          <w:szCs w:val="22"/>
        </w:rPr>
        <w:t xml:space="preserve">Saif Khan</w:t>
      </w:r>
      <w:r>
        <w:rPr>
          <w:sz w:val="22"/>
          <w:szCs w:val="22"/>
          <w:vertAlign w:val="superscript"/>
        </w:rPr>
        <w:t xml:space="preserve">1*</w:t>
      </w:r>
      <w:r>
        <w:rPr>
          <w:sz w:val="22"/>
          <w:szCs w:val="22"/>
        </w:rPr>
        <w:t xml:space="preserve">, Osama Bin Qashem</w:t>
      </w:r>
      <w:r>
        <w:rPr>
          <w:sz w:val="22"/>
          <w:szCs w:val="22"/>
          <w:vertAlign w:val="superscript"/>
        </w:rPr>
        <w:t xml:space="preserve">1</w:t>
      </w:r>
      <w:r>
        <w:rPr>
          <w:sz w:val="22"/>
          <w:szCs w:val="22"/>
        </w:rPr>
        <w:t xml:space="preserve">, K. M. Fahim A. Bari</w:t>
      </w:r>
      <w:r>
        <w:rPr>
          <w:sz w:val="22"/>
          <w:szCs w:val="22"/>
          <w:vertAlign w:val="superscript"/>
        </w:rPr>
        <w:t xml:space="preserve">1</w:t>
      </w:r>
      <w:r>
        <w:rPr>
          <w:sz w:val="22"/>
          <w:szCs w:val="22"/>
        </w:rPr>
        <w:t xml:space="preserve">, Rafid Rahman</w:t>
      </w:r>
      <w:r>
        <w:rPr>
          <w:sz w:val="22"/>
          <w:szCs w:val="22"/>
          <w:vertAlign w:val="superscript"/>
        </w:rPr>
        <w:t xml:space="preserve">1</w:t>
      </w:r>
      <w:r>
        <w:rPr>
          <w:sz w:val="22"/>
          <w:szCs w:val="22"/>
        </w:rPr>
        <w:t xml:space="preserve"> &amp; Ahmed Wasif Reza</w:t>
      </w:r>
      <w:r>
        <w:rPr>
          <w:sz w:val="22"/>
          <w:szCs w:val="22"/>
          <w:vertAlign w:val="superscript"/>
        </w:rPr>
        <w:t xml:space="preserve">1</w:t>
      </w:r>
    </w:p>
    <w:p>
      <w:pPr>
        <w:spacing w:after="140" w:line="360"/>
        <w:jc w:val="left"/>
      </w:pPr>
      <w:r>
        <w:rPr>
          <w:sz w:val="20"/>
          <w:szCs w:val="20"/>
          <w:vertAlign w:val="superscript"/>
        </w:rPr>
        <w:t xml:space="preserve">1</w:t>
      </w:r>
      <w:r>
        <w:rPr>
          <w:sz w:val="20"/>
          <w:szCs w:val="20"/>
        </w:rPr>
        <w:t xml:space="preserve">Department of Computer Science and Engineering, East West University, Dhaka 1212, Bangladesh. *email: saifkhantdm@gmail.com</w:t>
      </w:r>
    </w:p>
    <w:p>
      <w:pPr>
        <w:spacing w:after="140" w:line="360"/>
        <w:jc w:val="left"/>
      </w:pPr>
      <w:r>
        <w:rPr>
          <w:b/>
          <w:bCs/>
          <w:sz w:val="18"/>
          <w:szCs w:val="18"/>
        </w:rPr>
        <w:t xml:space="preserve">Drafting note (delete before submission).</w:t>
      </w:r>
      <w:r>
        <w:rPr>
          <w:sz w:val="18"/>
          <w:szCs w:val="18"/>
        </w:rPr>
        <w:t xml:space="preserve"> Yellow-highlighted text marks results that are still pending or facts to verify. Every number comes from the per-fold results in the project repository, recomputed at the participant level. All thesis figures are retained; the original Welch t-test figure was replaced by a corrected paired-test figure.</w:t>
      </w:r>
    </w:p>
    <w:p>
      <w:pPr>
        <w:pStyle w:val="Heading1"/>
        <w:spacing w:after="120" w:before="240"/>
      </w:pPr>
      <w:r>
        <w:t xml:space="preserve">Abstract</w:t>
      </w:r>
    </w:p>
    <w:p>
      <w:pPr>
        <w:spacing w:after="140" w:line="360"/>
        <w:jc w:val="both"/>
      </w:pPr>
      <w:r>
        <w:rPr>
          <w:sz w:val="22"/>
          <w:szCs w:val="22"/>
        </w:rPr>
        <w:t xml:space="preserve">Electroencephalography (EEG) emotion decoders must work for people whose data were never used in training, ideally on headsets with few electrodes. Published cross-participant results are hard to compare because studies differ in whether, and how, data from the test participant are used. We benchmarked 10 classical and 16 deep models, including a two-stage contrastive model (CLISA-EWU), on four-class SEED-IV emotion recognition with repeated leave-one-participant-out validation (15 participants, three seeds), using a 62-electrode montage and a six-electrode frontal–temporal subset. Each held-out participant was scored zero-shot and after calibration with 20 labelled windows (about 80 s). Zero-shot balanced accuracy was modest (best 0.485, 95% CI 0.428–0.542; chance 0.25), and CLISA-EWU did not differ from a two-layer perceptron. Calibration added 16–21 percentage points to contrastive, adversarial and pseudo-label models but at most 2 points to supervised networks. Calibrated CLISA-EWU reached 0.678 (0.641–0.718) with 62 electrodes and 0.620 (0.590–0.648) with six, retaining 91.4% of full-montage performance. Brief user calibration, rather than architecture, explained most of the measurable gain, and a six-electrode montage remained viable under calibration.</w:t>
      </w:r>
    </w:p>
    <w:p>
      <w:pPr>
        <w:spacing w:after="140" w:line="360"/>
        <w:jc w:val="left"/>
      </w:pPr>
      <w:r>
        <w:rPr>
          <w:b/>
          <w:bCs/>
          <w:sz w:val="22"/>
          <w:szCs w:val="22"/>
        </w:rPr>
        <w:t xml:space="preserve">Keywords:</w:t>
      </w:r>
      <w:r>
        <w:rPr>
          <w:sz w:val="22"/>
          <w:szCs w:val="22"/>
        </w:rPr>
        <w:t xml:space="preserve"> EEG emotion recognition, cross-subject generalization, contrastive learning, few-shot calibration, wearable EEG, leave-one-subject-out validation</w:t>
      </w:r>
    </w:p>
    <w:p>
      <w:pPr>
        <w:pStyle w:val="Heading1"/>
        <w:spacing w:after="140" w:before="320"/>
      </w:pPr>
      <w:r>
        <w:t xml:space="preserve">Introduction</w:t>
      </w:r>
    </w:p>
    <w:p>
      <w:pPr>
        <w:spacing w:after="140" w:line="360"/>
        <w:jc w:val="both"/>
      </w:pPr>
      <w:r>
        <w:rPr>
          <w:sz w:val="22"/>
          <w:szCs w:val="22"/>
        </w:rPr>
        <w:t xml:space="preserve">Emotional states shape attention, decision making and mental health, and objective markers of emotion could support adaptive human–computer interaction, neurofeedback and digital mental-health monitoring</w:t>
      </w:r>
      <w:r>
        <w:rPr>
          <w:sz w:val="22"/>
          <w:szCs w:val="22"/>
          <w:vertAlign w:val="superscript"/>
        </w:rPr>
        <w:t xml:space="preserve">1,2</w:t>
      </w:r>
      <w:r>
        <w:rPr>
          <w:sz w:val="22"/>
          <w:szCs w:val="22"/>
        </w:rPr>
        <w:t xml:space="preserve">. Electroencephalography (EEG) is portable, inexpensive and has millisecond resolution, which makes it the most practical neural signal for everyday affect sensing</w:t>
      </w:r>
      <w:r>
        <w:rPr>
          <w:sz w:val="22"/>
          <w:szCs w:val="22"/>
          <w:vertAlign w:val="superscript"/>
        </w:rPr>
        <w:t xml:space="preserve">3,4</w:t>
      </w:r>
      <w:r>
        <w:rPr>
          <w:sz w:val="22"/>
          <w:szCs w:val="22"/>
        </w:rPr>
        <w:t xml:space="preserve">. Two obstacles separate laboratory results from use. First, a deployed decoder must work for a person whose data were never used in training, but EEG responses to the same stimulus differ markedly between individuals because of anatomy, electrode contact, baseline rhythms and appraisal</w:t>
      </w:r>
      <w:r>
        <w:rPr>
          <w:sz w:val="22"/>
          <w:szCs w:val="22"/>
          <w:vertAlign w:val="superscript"/>
        </w:rPr>
        <w:t xml:space="preserve">5–7</w:t>
      </w:r>
      <w:r>
        <w:rPr>
          <w:sz w:val="22"/>
          <w:szCs w:val="22"/>
        </w:rPr>
        <w:t xml:space="preserve">. Second, research datasets are recorded with 32–64 electrodes, whereas wearable headsets carry far fewer.</w:t>
      </w:r>
    </w:p>
    <w:p>
      <w:pPr>
        <w:spacing w:after="140" w:line="360"/>
        <w:jc w:val="both"/>
      </w:pPr>
      <w:r>
        <w:rPr>
          <w:sz w:val="22"/>
          <w:szCs w:val="22"/>
        </w:rPr>
        <w:t xml:space="preserve">Many methods target the first obstacle, including domain-adversarial networks</w:t>
      </w:r>
      <w:r>
        <w:rPr>
          <w:sz w:val="22"/>
          <w:szCs w:val="22"/>
          <w:vertAlign w:val="superscript"/>
        </w:rPr>
        <w:t xml:space="preserve">6,8</w:t>
      </w:r>
      <w:r>
        <w:rPr>
          <w:sz w:val="22"/>
          <w:szCs w:val="22"/>
        </w:rPr>
        <w:t xml:space="preserve">, hemispheric-asymmetry models</w:t>
      </w:r>
      <w:r>
        <w:rPr>
          <w:sz w:val="22"/>
          <w:szCs w:val="22"/>
          <w:vertAlign w:val="superscript"/>
        </w:rPr>
        <w:t xml:space="preserve">9</w:t>
      </w:r>
      <w:r>
        <w:rPr>
          <w:sz w:val="22"/>
          <w:szCs w:val="22"/>
        </w:rPr>
        <w:t xml:space="preserve">, graph neural networks</w:t>
      </w:r>
      <w:r>
        <w:rPr>
          <w:sz w:val="22"/>
          <w:szCs w:val="22"/>
          <w:vertAlign w:val="superscript"/>
        </w:rPr>
        <w:t xml:space="preserve">10–12</w:t>
      </w:r>
      <w:r>
        <w:rPr>
          <w:sz w:val="22"/>
          <w:szCs w:val="22"/>
        </w:rPr>
        <w:t xml:space="preserve"> and contrastive learning designed to make representations participant-invariant</w:t>
      </w:r>
      <w:r>
        <w:rPr>
          <w:sz w:val="22"/>
          <w:szCs w:val="22"/>
          <w:vertAlign w:val="superscript"/>
        </w:rPr>
        <w:t xml:space="preserve">5</w:t>
      </w:r>
      <w:r>
        <w:rPr>
          <w:sz w:val="22"/>
          <w:szCs w:val="22"/>
        </w:rPr>
        <w:t xml:space="preserve">. Reported cross-participant accuracies on SEED and SEED-IV range from about 53% to above 80%</w:t>
      </w:r>
      <w:r>
        <w:rPr>
          <w:sz w:val="22"/>
          <w:szCs w:val="22"/>
          <w:vertAlign w:val="superscript"/>
        </w:rPr>
        <w:t xml:space="preserve">7–15</w:t>
      </w:r>
      <w:r>
        <w:rPr>
          <w:sz w:val="22"/>
          <w:szCs w:val="22"/>
        </w:rPr>
        <w:t xml:space="preserve"> (Supplementary Table S1). These values are rarely comparable. Studies differ in whether unlabelled EEG from the test participant is used during training (transductive adaptation), whether a few labelled test-participant samples are used to adapt the model (calibration), how windows are split, and whether the reported figure is a mean over participants or a best fold. Splitting matters because features from adjacent windows of the same trial are strongly correlated, so any overlap between fitting and testing data inflates accuracy</w:t>
      </w:r>
      <w:r>
        <w:rPr>
          <w:sz w:val="22"/>
          <w:szCs w:val="22"/>
          <w:vertAlign w:val="superscript"/>
        </w:rPr>
        <w:t xml:space="preserve">16–18</w:t>
      </w:r>
      <w:r>
        <w:rPr>
          <w:sz w:val="22"/>
          <w:szCs w:val="22"/>
        </w:rPr>
        <w:t xml:space="preserve">.</w:t>
      </w:r>
    </w:p>
    <w:p>
      <w:pPr>
        <w:spacing w:after="140" w:line="360"/>
        <w:jc w:val="both"/>
      </w:pPr>
      <w:r>
        <w:rPr>
          <w:sz w:val="22"/>
          <w:szCs w:val="22"/>
        </w:rPr>
        <w:t xml:space="preserve">We therefore asked three questions under a single, fully reported protocol. How well do classical, supervised, self-supervised, adversarial and semi-supervised models decode four emotions in unseen participants without any target data? How much does brief labelled calibration change this picture, and does the effect depend on the training objective? How much performance is lost when a 62-electrode research montage is reduced to six frontal–temporal electrodes compatible with a headband-style wearable?</w:t>
      </w:r>
    </w:p>
    <w:p>
      <w:pPr>
        <w:spacing w:after="140" w:line="360"/>
        <w:jc w:val="both"/>
      </w:pPr>
      <w:r>
        <w:rPr>
          <w:sz w:val="22"/>
          <w:szCs w:val="22"/>
        </w:rPr>
        <w:t xml:space="preserve">Here we address these questions with a controlled benchmark of 26 models, report zero-shot and calibrated performance separately at the participant level, and quantify the cost of a six-electrode wearable-compatible montage.</w:t>
      </w:r>
    </w:p>
    <w:p>
      <w:pPr>
        <w:pStyle w:val="Heading1"/>
        <w:spacing w:after="140" w:before="320"/>
      </w:pPr>
      <w:r>
        <w:t xml:space="preserve">Results</w:t>
      </w:r>
    </w:p>
    <w:p>
      <w:pPr>
        <w:pStyle w:val="Heading2"/>
        <w:spacing w:after="100" w:before="220"/>
      </w:pPr>
      <w:r>
        <w:t xml:space="preserve">Benchmark overview</w:t>
      </w:r>
    </w:p>
    <w:p>
      <w:pPr>
        <w:spacing w:after="140" w:line="360"/>
        <w:jc w:val="both"/>
      </w:pPr>
      <w:r>
        <w:rPr>
          <w:sz w:val="22"/>
          <w:szCs w:val="22"/>
        </w:rPr>
        <w:t xml:space="preserve">The experimental workflow and the CLISA-EWU architecture are shown in Fig. 1 and Fig. 2. All 26 models completed 45 runs per montage. The best classical classifier reached a balanced accuracy of 0.484 (XGBoost) with 62 electrodes and 0.441 (LDA) with six electrodes (Supplementary Fig. S1), confirming that differential-entropy features carry emotion information in unseen participants. Fig. 3 shows the calibrated leaderboard for all deep models, and Table 1 summarises zero-shot and calibrated results for the main comparators.</w:t>
      </w:r>
    </w:p>
    <w:p>
      <w:pPr>
        <w:keepNext/>
        <w:spacing w:after="100" w:before="200"/>
      </w:pPr>
      <w:r>
        <w:rPr>
          <w:b/>
          <w:bCs/>
          <w:sz w:val="18"/>
          <w:szCs w:val="18"/>
        </w:rPr>
        <w:t xml:space="preserve">Table 1. Cross-participant four-class emotion recognition on SEED-IV, zero-shot and after 20-window calibration.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950"/>
        <w:gridCol w:w="1950"/>
        <w:gridCol w:w="1450"/>
        <w:gridCol w:w="1450"/>
      </w:tblGrid>
      <w:tr>
        <w:trPr>
          <w:tblHeader/>
        </w:trPr>
        <w:tc>
          <w:tcPr>
            <w:tcW w:type="dxa" w:w="22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Model</w:t>
            </w:r>
          </w:p>
        </w:tc>
        <w:tc>
          <w:tcPr>
            <w:tcW w:type="dxa" w:w="195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Zero-shot balanced accuracy</w:t>
            </w:r>
          </w:p>
        </w:tc>
        <w:tc>
          <w:tcPr>
            <w:tcW w:type="dxa" w:w="195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Calibrated balanced accuracy</w:t>
            </w:r>
          </w:p>
        </w:tc>
        <w:tc>
          <w:tcPr>
            <w:tcW w:type="dxa" w:w="145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Calibrated macro F1</w:t>
            </w:r>
          </w:p>
        </w:tc>
        <w:tc>
          <w:tcPr>
            <w:tcW w:type="dxa" w:w="145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Gain (points)</w:t>
            </w:r>
          </w:p>
        </w:tc>
      </w:tr>
      <w:tr>
        <w:tc>
          <w:tcPr>
            <w:tcW w:type="dxa" w:w="2226"/>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r>
              <w:rPr>
                <w:sz w:val="17"/>
                <w:szCs w:val="17"/>
              </w:rPr>
              <w:t xml:space="preserve">62 electrodes</w:t>
            </w:r>
          </w:p>
        </w:tc>
        <w:tc>
          <w:tcPr>
            <w:tcW w:type="dxa" w:w="19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9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4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4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0.485 (0.428–0.542)</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0.678 (0.641–0.718)</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0.673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+19.3</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DANN</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0.458 (0.403–0.514)</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0.662 (0.624–0.703)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0.654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+20.4</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PseudoLabel</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0.468 (0.412–0.524)</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0.657 (0.624–0.693)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0.654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+18.9</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BYOL</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0.431 (0.385–0.479)</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0.609 (0.573–0.645)</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0.594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+17.8</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SimCLR</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0.410 (0.367–0.458)</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0.575 (0.537–0.613)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0.557</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+16.4</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Two-layer perceptron</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0.477 (0.427–0.527)</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0.496 (0.450–0.544)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0.493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+2.0</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Deep perceptron</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0.479 (0.426–0.533)</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0.492 (0.444–0.542)</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0.489</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+1.3</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EEG Conformer</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0.453 (0.396–0.511)</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0.459 (0.405–0.513)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0.454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+0.7</w:t>
            </w:r>
          </w:p>
        </w:tc>
      </w:tr>
      <w:tr>
        <w:tc>
          <w:tcPr>
            <w:tcW w:type="dxa" w:w="2226"/>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r>
              <w:rPr>
                <w:sz w:val="17"/>
                <w:szCs w:val="17"/>
              </w:rPr>
              <w:t xml:space="preserve">Six electrodes</w:t>
            </w:r>
          </w:p>
        </w:tc>
        <w:tc>
          <w:tcPr>
            <w:tcW w:type="dxa" w:w="19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9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4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4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0.406 (0.370–0.439)</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0.620 (0.590–0.648)</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0.611</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+21.4</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BYOL</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0.440 (0.393–0.491)</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0.612 (0.569–0.653)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0.598</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+17.2</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PseudoLabel</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0.405 (0.358–0.449)</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0.610 (0.574–0.645)</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0.600</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+20.6</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SimCLR</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0.446 (0.397–0.499)</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0.602 (0.557–0.645)</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0.582</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+15.6</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DANN</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0.396 (0.352–0.440)</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0.590 (0.559–0.621)</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0.580</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+19.4</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Two-layer perceptron</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0.400 (0.359–0.443)</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0.412 (0.370–0.453)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0.405</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+1.1</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Deep perceptron</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0.398 (0.357–0.438)</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0.401 (0.363–0.438)</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0.396</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EEG Conformer</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0.353 (0.321–0.385)</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0.361 (0.330–0.394)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0.354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+0.8</w:t>
            </w:r>
          </w:p>
        </w:tc>
      </w:tr>
    </w:tbl>
    <w:p>
      <w:pPr>
        <w:spacing w:after="240" w:before="80"/>
      </w:pPr>
      <w:r>
        <w:rPr>
          <w:sz w:val="16"/>
          <w:szCs w:val="16"/>
        </w:rPr>
        <w:t xml:space="preserve">Values are means over 15 held-out participants (each averaged over three seeds) with 95% bootstrap confidence intervals. Chance balanced accuracy is 0.25. Gain = calibrated minus zero-shot balanced accuracy, in percentage points.</w:t>
      </w:r>
    </w:p>
    <w:p>
      <w:pPr>
        <w:keepNext/>
        <w:spacing w:before="160"/>
        <w:jc w:val="center"/>
      </w:pPr>
      <w:r>
        <w:drawing>
          <wp:inline distT="0" distB="0" distL="0" distR="0">
            <wp:extent cx="5305425"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05425" cy="6096000"/>
                    </a:xfrm>
                    <a:prstGeom prst="rect">
                      <a:avLst/>
                    </a:prstGeom>
                  </pic:spPr>
                </pic:pic>
              </a:graphicData>
            </a:graphic>
          </wp:inline>
        </w:drawing>
      </w:r>
    </w:p>
    <w:p>
      <w:pPr>
        <w:spacing w:after="280" w:line="260"/>
        <w:jc w:val="both"/>
      </w:pPr>
      <w:r>
        <w:rPr>
          <w:b/>
          <w:bCs/>
          <w:sz w:val="18"/>
          <w:szCs w:val="18"/>
        </w:rPr>
        <w:t xml:space="preserve">Figure 1. Experimental workflow.</w:t>
      </w:r>
      <w:r>
        <w:rPr>
          <w:sz w:val="18"/>
          <w:szCs w:val="18"/>
        </w:rPr>
        <w:t xml:space="preserve"> </w:t>
      </w:r>
      <w:r>
        <w:rPr>
          <w:sz w:val="18"/>
          <w:szCs w:val="18"/>
        </w:rPr>
        <w:t xml:space="preserve">Exploratory data analysis; leave-one-participant-out splitting with three seeds; classical, supervised, self-supervised, semi-supervised and domain-adversarial model families; electrode selection for the six-electrode montage; and zero-shot and calibrated evaluation with balanced accuracy, macro F1, confusion matrices and t-SNE.</w:t>
      </w:r>
    </w:p>
    <w:p>
      <w:pPr>
        <w:keepNext/>
        <w:spacing w:before="160"/>
        <w:jc w:val="center"/>
      </w:pPr>
      <w:r>
        <w:drawing>
          <wp:inline distT="0" distB="0" distL="0" distR="0">
            <wp:extent cx="5715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648200"/>
                    </a:xfrm>
                    <a:prstGeom prst="rect">
                      <a:avLst/>
                    </a:prstGeom>
                  </pic:spPr>
                </pic:pic>
              </a:graphicData>
            </a:graphic>
          </wp:inline>
        </w:drawing>
      </w:r>
    </w:p>
    <w:p>
      <w:pPr>
        <w:spacing w:after="280" w:line="260"/>
        <w:jc w:val="both"/>
      </w:pPr>
      <w:r>
        <w:rPr>
          <w:b/>
          <w:bCs/>
          <w:sz w:val="18"/>
          <w:szCs w:val="18"/>
        </w:rPr>
        <w:t xml:space="preserve">Figure 2. CLISA-EWU architecture.</w:t>
      </w:r>
      <w:r>
        <w:rPr>
          <w:sz w:val="18"/>
          <w:szCs w:val="18"/>
        </w:rPr>
        <w:t xml:space="preserve"> </w:t>
      </w:r>
      <w:r>
        <w:rPr>
          <w:sz w:val="18"/>
          <w:szCs w:val="18"/>
        </w:rPr>
        <w:t xml:space="preserve">Stage 1: contrastive pretraining of the encoder and projector with the NT-Xent loss on a Gaussian-noise view and an electrode-masking view of each window (AdamW, cosine annealing). Stage 2: supervised fine-tuning of the encoder and linear classifier with cross-entropy. The model is evaluated zero-shot and after 20-window calibration.</w:t>
      </w:r>
    </w:p>
    <w:p>
      <w:pPr>
        <w:keepNext/>
        <w:spacing w:before="16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28875"/>
                    </a:xfrm>
                    <a:prstGeom prst="rect">
                      <a:avLst/>
                    </a:prstGeom>
                  </pic:spPr>
                </pic:pic>
              </a:graphicData>
            </a:graphic>
          </wp:inline>
        </w:drawing>
      </w:r>
    </w:p>
    <w:p>
      <w:pPr>
        <w:spacing w:after="280" w:line="260"/>
        <w:jc w:val="both"/>
      </w:pPr>
      <w:r>
        <w:rPr>
          <w:b/>
          <w:bCs/>
          <w:sz w:val="18"/>
          <w:szCs w:val="18"/>
        </w:rPr>
        <w:t xml:space="preserve">Figure 3. Calibrated performance of all deep models.</w:t>
      </w:r>
      <w:r>
        <w:rPr>
          <w:sz w:val="18"/>
          <w:szCs w:val="18"/>
        </w:rPr>
        <w:t xml:space="preserve"> </w:t>
      </w:r>
      <w:r>
        <w:rPr>
          <w:sz w:val="18"/>
          <w:szCs w:val="18"/>
        </w:rPr>
        <w:t xml:space="preserve">Mean balanced accuracy over 45 runs after 20-window calibration with (a) 62 electrodes and (b) six electrodes. Colours denote model family (proposed, domain-adaptive, self/semi-supervised, DANCE, supervised baselines). Zero-shot results are shown in Fig. 4.</w:t>
      </w:r>
    </w:p>
    <w:p>
      <w:pPr>
        <w:pStyle w:val="Heading2"/>
        <w:spacing w:after="100" w:before="220"/>
      </w:pPr>
      <w:r>
        <w:t xml:space="preserve">Zero-shot cross-participant decoding</w:t>
      </w:r>
    </w:p>
    <w:p>
      <w:pPr>
        <w:spacing w:after="140" w:line="360"/>
        <w:jc w:val="both"/>
      </w:pPr>
      <w:r>
        <w:rPr>
          <w:sz w:val="22"/>
          <w:szCs w:val="22"/>
        </w:rPr>
        <w:t xml:space="preserve">Without target data, no model approached the accuracies reported in much of the literature (Fig. 4). With 62 electrodes, CLISA-EWU had the highest mean zero-shot balanced accuracy (0.485, 95% CI 0.428–0.542) but did not differ from the two-layer perceptron (difference 0.9 percentage points, −0.5 to 2.1; Wilcoxon p = 0.25) or the deep perceptron (0.6 points, −0.9 to 2.2; p = 0.64). Its advantage over DANN (2.7 points, 1.0 to 4.2; unadjusted p = 0.010) did not survive Holm correction (p = 0.12). With six electrodes, zero-shot accuracy fell to 0.406 (0.370–0.439) for CLISA-EWU, and SimCLR (0.446) and BYOL (0.440) were numerically higher (both Holm-adjusted p = 1.00). Zero-shot performance varied greatly between participants, from 0.244 (participant 11, at chance) to 0.723 (participant 7) for CLISA-EWU with 62 electrodes (Fig. 5a).</w:t>
      </w:r>
    </w:p>
    <w:p>
      <w:pPr>
        <w:keepNext/>
        <w:spacing w:before="160"/>
        <w:jc w:val="center"/>
      </w:pPr>
      <w:r>
        <w:drawing>
          <wp:inline distT="0" distB="0" distL="0" distR="0">
            <wp:extent cx="57150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95675"/>
                    </a:xfrm>
                    <a:prstGeom prst="rect">
                      <a:avLst/>
                    </a:prstGeom>
                  </pic:spPr>
                </pic:pic>
              </a:graphicData>
            </a:graphic>
          </wp:inline>
        </w:drawing>
      </w:r>
    </w:p>
    <w:p>
      <w:pPr>
        <w:spacing w:after="280" w:line="260"/>
        <w:jc w:val="both"/>
      </w:pPr>
      <w:r>
        <w:rPr>
          <w:b/>
          <w:bCs/>
          <w:sz w:val="18"/>
          <w:szCs w:val="18"/>
        </w:rPr>
        <w:t xml:space="preserve">Figure 4. Zero-shot versus calibrated balanced accuracy for 16 deep models.</w:t>
      </w:r>
      <w:r>
        <w:rPr>
          <w:sz w:val="18"/>
          <w:szCs w:val="18"/>
        </w:rPr>
        <w:t xml:space="preserve"> </w:t>
      </w:r>
      <w:r>
        <w:rPr>
          <w:sz w:val="18"/>
          <w:szCs w:val="18"/>
        </w:rPr>
        <w:t xml:space="preserve">(a) 62 electrodes. (b) Six electrodes (FP1, FP2, F7, F8, T7, T8). Points are means over 15 held-out participants (each averaged over three seeds); bars are 95% bootstrap confidence intervals; the grey segment joins the two protocols for each model. The dotted line marks chance (0.25).</w:t>
      </w:r>
    </w:p>
    <w:p>
      <w:pPr>
        <w:keepNext/>
        <w:spacing w:before="16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95575"/>
                    </a:xfrm>
                    <a:prstGeom prst="rect">
                      <a:avLst/>
                    </a:prstGeom>
                  </pic:spPr>
                </pic:pic>
              </a:graphicData>
            </a:graphic>
          </wp:inline>
        </w:drawing>
      </w:r>
    </w:p>
    <w:p>
      <w:pPr>
        <w:spacing w:after="280" w:line="260"/>
        <w:jc w:val="both"/>
      </w:pPr>
      <w:r>
        <w:rPr>
          <w:b/>
          <w:bCs/>
          <w:sz w:val="18"/>
          <w:szCs w:val="18"/>
        </w:rPr>
        <w:t xml:space="preserve">Figure 5. Participant-level balanced accuracy of CLISA-EWU with 62 and six electrodes.</w:t>
      </w:r>
      <w:r>
        <w:rPr>
          <w:sz w:val="18"/>
          <w:szCs w:val="18"/>
        </w:rPr>
        <w:t xml:space="preserve"> </w:t>
      </w:r>
      <w:r>
        <w:rPr>
          <w:sz w:val="18"/>
          <w:szCs w:val="18"/>
        </w:rPr>
        <w:t xml:space="preserve">(a) Zero-shot. (b) After 20-window calibration. Each line is one held-out participant (mean of three seeds); black bars are means over participants. The dotted line marks chance (0.25).</w:t>
      </w:r>
    </w:p>
    <w:p>
      <w:pPr>
        <w:pStyle w:val="Heading2"/>
        <w:spacing w:after="100" w:before="220"/>
      </w:pPr>
      <w:r>
        <w:t xml:space="preserve">Few-shot calibration changes the ranking of models</w:t>
      </w:r>
    </w:p>
    <w:p>
      <w:pPr>
        <w:spacing w:after="140" w:line="360"/>
        <w:jc w:val="both"/>
      </w:pPr>
      <w:r>
        <w:rPr>
          <w:sz w:val="22"/>
          <w:szCs w:val="22"/>
        </w:rPr>
        <w:t xml:space="preserve">Calibration with 20 labelled windows changed the ranking of models (Fig. 4, Table 1). Models trained with a contrastive, domain-adversarial or pseudo-label objective (CLISA-EWU, SimCLR, BYOL, DANN, PseudoLabel) gained 15.6–21.4 percentage points (MixMatch and the DANCE pair gained 9.4–25.0 points), whereas purely supervised networks gained 0.1–2.0 points under the identical calibration routine. After calibration CLISA-EWU had the highest mean balanced accuracy with both montages: 0.678 (0.641–0.718) with 62 electrodes and 0.620 (0.590–0.648) with six (Supplementary Fig. S2). The mechanism behind the objective-dependent gain is not established here; candidate explanations include adaptation of batch-normalisation statistics to the new participant</w:t>
      </w:r>
      <w:r>
        <w:rPr>
          <w:sz w:val="22"/>
          <w:szCs w:val="22"/>
          <w:vertAlign w:val="superscript"/>
        </w:rPr>
        <w:t xml:space="preserve">19</w:t>
      </w:r>
      <w:r>
        <w:rPr>
          <w:sz w:val="22"/>
          <w:szCs w:val="22"/>
        </w:rPr>
        <w:t xml:space="preserve"> and differences in how sharply each objective fits the training participants </w:t>
      </w:r>
      <w:r>
        <w:rPr>
          <w:b/>
          <w:bCs/>
          <w:sz w:val="22"/>
          <w:szCs w:val="22"/>
          <w:highlight w:val="yellow"/>
          <w:highlightCs w:val="yellow"/>
        </w:rPr>
        <w:t xml:space="preserve">[pending ablation: calibrate batch-normalisation statistics only, the classifier only, and all parameters]</w:t>
      </w:r>
      <w:r>
        <w:rPr>
          <w:sz w:val="22"/>
          <w:szCs w:val="22"/>
        </w:rPr>
        <w:t xml:space="preserve">.</w:t>
      </w:r>
    </w:p>
    <w:p>
      <w:pPr>
        <w:spacing w:after="140" w:line="360"/>
        <w:jc w:val="both"/>
      </w:pPr>
      <w:r>
        <w:rPr>
          <w:sz w:val="22"/>
          <w:szCs w:val="22"/>
        </w:rPr>
        <w:t xml:space="preserve">In paired participant-level comparisons (Table 2, Fig. 6), calibrated CLISA-EWU outperformed BYOL (6.9 points, 5.2–8.5), SimCLR (10.3 points) and all supervised networks with 62 electrodes, for every one of the 15 participants. Its margin over PseudoLabel (2.1 points, 1.0–3.1; Holm p = 0.016) remained significant, but its margin over DANN (1.6 points, 0.6–2.6; Holm p = 0.062) did not. With six electrodes, CLISA-EWU, BYOL, PseudoLabel, SimCLR and DANN were statistically indistinguishable.</w:t>
      </w:r>
    </w:p>
    <w:p>
      <w:pPr>
        <w:keepNext/>
        <w:spacing w:after="100" w:before="200"/>
      </w:pPr>
      <w:r>
        <w:rPr>
          <w:b/>
          <w:bCs/>
          <w:sz w:val="18"/>
          <w:szCs w:val="18"/>
        </w:rPr>
        <w:t xml:space="preserve">Table 2. Paired participant-level comparisons of calibrated CLISA-EWU with other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6"/>
        <w:gridCol w:w="2300"/>
        <w:gridCol w:w="1600"/>
        <w:gridCol w:w="1350"/>
        <w:gridCol w:w="1350"/>
      </w:tblGrid>
      <w:tr>
        <w:trPr>
          <w:tblHeader/>
        </w:trPr>
        <w:tc>
          <w:tcPr>
            <w:tcW w:type="dxa" w:w="24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Comparison</w:t>
            </w:r>
          </w:p>
        </w:tc>
        <w:tc>
          <w:tcPr>
            <w:tcW w:type="dxa" w:w="23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Difference (95% CI)</w:t>
            </w:r>
          </w:p>
        </w:tc>
        <w:tc>
          <w:tcPr>
            <w:tcW w:type="dxa" w:w="16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Participants favouring CLISA-EWU</w:t>
            </w:r>
          </w:p>
        </w:tc>
        <w:tc>
          <w:tcPr>
            <w:tcW w:type="dxa" w:w="135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Wilcoxon p</w:t>
            </w:r>
          </w:p>
        </w:tc>
        <w:tc>
          <w:tcPr>
            <w:tcW w:type="dxa" w:w="135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Holm p</w:t>
            </w:r>
          </w:p>
        </w:tc>
      </w:tr>
      <w:tr>
        <w:tc>
          <w:tcPr>
            <w:tcW w:type="dxa" w:w="2426"/>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r>
              <w:rPr>
                <w:sz w:val="17"/>
                <w:szCs w:val="17"/>
              </w:rPr>
              <w:t xml:space="preserve">62 electrodes</w:t>
            </w:r>
          </w:p>
        </w:tc>
        <w:tc>
          <w:tcPr>
            <w:tcW w:type="dxa" w:w="230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60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3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3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DANN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1.6 (0.6 to 2.6)</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11/15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0.013</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0.062</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PseudoLabel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2.1 (1.0 to 3.1)</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13/15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0.003</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0.016</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BYOL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6.9 (5.2 to 8.5)</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SimCLR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10.3 (8.4 to 12.2)</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two-layer perceptron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18.2 (14.4 to 22.0)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deep perceptron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18.6 (14.2 to 23.0)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EEG Conformer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21.9 (17.6 to 26.4)</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r>
              <w:rPr>
                <w:sz w:val="17"/>
                <w:szCs w:val="17"/>
              </w:rPr>
              <w:t xml:space="preserve">Six electrodes</w:t>
            </w:r>
          </w:p>
        </w:tc>
        <w:tc>
          <w:tcPr>
            <w:tcW w:type="dxa" w:w="230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60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3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3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DANN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3.0 (0.9 to 5.0)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11/15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0.022</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0.086</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PseudoLabel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1.0 (−0.7 to 2.7)</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9/15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0.33</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0.69</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BYOL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0.8 (−1.8 to 3.3)</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8/15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0.68</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0.69</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SimCLR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1.8 (−1.3 to 4.7)</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10/15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0.23</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0.69</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two-layer perceptron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20.8 (17.0 to 24.9)</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deep perceptron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21.9 (18.6 to 25.6)</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EEG Conformer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25.9 (22.5 to 29.4)</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bl>
    <w:p>
      <w:pPr>
        <w:spacing w:after="240" w:before="80"/>
      </w:pPr>
      <w:r>
        <w:rPr>
          <w:sz w:val="16"/>
          <w:szCs w:val="16"/>
        </w:rPr>
        <w:t xml:space="preserve">Differences are CLISA-EWU minus comparator in percentage points of balanced accuracy, with 95% bootstrap confidence intervals over participants. Two-sided Wilcoxon signed-rank tests; Holm adjustment over 14 comparisons.</w:t>
      </w:r>
    </w:p>
    <w:p>
      <w:pPr>
        <w:keepNext/>
        <w:spacing w:before="16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543175"/>
                    </a:xfrm>
                    <a:prstGeom prst="rect">
                      <a:avLst/>
                    </a:prstGeom>
                  </pic:spPr>
                </pic:pic>
              </a:graphicData>
            </a:graphic>
          </wp:inline>
        </w:drawing>
      </w:r>
    </w:p>
    <w:p>
      <w:pPr>
        <w:spacing w:after="280" w:line="260"/>
        <w:jc w:val="both"/>
      </w:pPr>
      <w:r>
        <w:rPr>
          <w:b/>
          <w:bCs/>
          <w:sz w:val="18"/>
          <w:szCs w:val="18"/>
        </w:rPr>
        <w:t xml:space="preserve">Figure 6. Paired participant-level comparisons of calibrated CLISA-EWU with other models.</w:t>
      </w:r>
      <w:r>
        <w:rPr>
          <w:sz w:val="18"/>
          <w:szCs w:val="18"/>
        </w:rPr>
        <w:t xml:space="preserve"> </w:t>
      </w:r>
      <w:r>
        <w:rPr>
          <w:sz w:val="18"/>
          <w:szCs w:val="18"/>
        </w:rPr>
        <w:t xml:space="preserve">Differences in balanced accuracy (CLISA-EWU minus comparator, percentage points) with 95% bootstrap confidence intervals for (a) 62 and (b) six electrodes. Filled markers: Holm-adjusted Wilcoxon p &lt; 0.05 (14 comparisons). This figure replaces a Welch t-test on run-level summaries, which treated 45 runs from 15 participants as independent.</w:t>
      </w:r>
    </w:p>
    <w:p>
      <w:pPr>
        <w:pStyle w:val="Heading2"/>
        <w:spacing w:after="100" w:before="220"/>
      </w:pPr>
      <w:r>
        <w:t xml:space="preserve">Six electrodes retain most calibrated performance</w:t>
      </w:r>
    </w:p>
    <w:p>
      <w:pPr>
        <w:spacing w:after="140" w:line="360"/>
        <w:jc w:val="both"/>
      </w:pPr>
      <w:r>
        <w:rPr>
          <w:sz w:val="22"/>
          <w:szCs w:val="22"/>
        </w:rPr>
        <w:t xml:space="preserve">Reducing the montage from 62 to six electrodes lowered calibrated balanced accuracy for CLISA-EWU by 5.8 percentage points (Wilcoxon p &lt; 0.001), a retention of 91.4% (95% CI 87.9–95.0%; Fig. 5b, Fig. 7a). Zero-shot retention was lower, at 83.6%. Retention differed between models (Fig. 7b): BYOL and SimCLR performed as well or better with six electrodes than with 62, whereas EEG Conformer retained 78.5%. After calibration, every six-electrode contrastive, domain-adversarial and pseudo-label model remained above chance for every participant (CLISA-EWU minimum 0.518).</w:t>
      </w:r>
    </w:p>
    <w:p>
      <w:pPr>
        <w:keepNext/>
        <w:spacing w:before="160"/>
        <w:jc w:val="center"/>
      </w:pPr>
      <w:r>
        <w:drawing>
          <wp:inline distT="0" distB="0" distL="0" distR="0">
            <wp:extent cx="5715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14575"/>
                    </a:xfrm>
                    <a:prstGeom prst="rect">
                      <a:avLst/>
                    </a:prstGeom>
                  </pic:spPr>
                </pic:pic>
              </a:graphicData>
            </a:graphic>
          </wp:inline>
        </w:drawing>
      </w:r>
    </w:p>
    <w:p>
      <w:pPr>
        <w:spacing w:after="280" w:line="260"/>
        <w:jc w:val="both"/>
      </w:pPr>
      <w:r>
        <w:rPr>
          <w:b/>
          <w:bCs/>
          <w:sz w:val="18"/>
          <w:szCs w:val="18"/>
        </w:rPr>
        <w:t xml:space="preserve">Figure 7. Electrode reduction.</w:t>
      </w:r>
      <w:r>
        <w:rPr>
          <w:sz w:val="18"/>
          <w:szCs w:val="18"/>
        </w:rPr>
        <w:t xml:space="preserve"> </w:t>
      </w:r>
      <w:r>
        <w:rPr>
          <w:sz w:val="18"/>
          <w:szCs w:val="18"/>
        </w:rPr>
        <w:t xml:space="preserve">(a) Calibrated balanced accuracy (mean ± s.d. over 45 runs) with 62 and six electrodes for CLISA-EWU, DANN, PseudoLabel, BYOL and the DANCE teacher→student pair. (b) Six-electrode retention (six-electrode ÷ 62-electrode performance) for all models; the dashed line marks 100%.</w:t>
      </w:r>
    </w:p>
    <w:p>
      <w:pPr>
        <w:pStyle w:val="Heading2"/>
        <w:spacing w:after="100" w:before="220"/>
      </w:pPr>
      <w:r>
        <w:t xml:space="preserve">Variability across participants</w:t>
      </w:r>
    </w:p>
    <w:p>
      <w:pPr>
        <w:spacing w:after="140" w:line="360"/>
        <w:jc w:val="both"/>
      </w:pPr>
      <w:r>
        <w:rPr>
          <w:sz w:val="22"/>
          <w:szCs w:val="22"/>
        </w:rPr>
        <w:t xml:space="preserve">Between-participant variability exceeded between-seed variability. With 62 electrodes, calibrated CLISA-EWU ranged from 0.541 (participant 5) to 0.813 (participant 2) across participants, whereas seed means ranged from 0.658 to 0.691 (Supplementary Fig. S2). The best single runs reached 0.854 with 62 electrodes (participant 15, seed 7) and 0.786 with six (participant 7, seed 1); they are shown for completeness and are not estimates of expected performance. Fine-tuning converged smoothly (Supplementary Fig. S3).</w:t>
      </w:r>
    </w:p>
    <w:p>
      <w:pPr>
        <w:pStyle w:val="Heading2"/>
        <w:spacing w:after="100" w:before="220"/>
      </w:pPr>
      <w:r>
        <w:t xml:space="preserve">Class-level behaviour and electrode importance</w:t>
      </w:r>
    </w:p>
    <w:p>
      <w:pPr>
        <w:spacing w:after="140" w:line="360"/>
        <w:jc w:val="both"/>
      </w:pPr>
      <w:r>
        <w:rPr>
          <w:sz w:val="22"/>
          <w:szCs w:val="22"/>
        </w:rPr>
        <w:t xml:space="preserve">Averaged over all 45 calibrated runs, CLISA-EWU recall with 62 electrodes was 0.697 for neutral, 0.733 for sad, 0.604 for fear and 0.671 for happy; with six electrodes it was 0.668, 0.689, 0.530 and 0.575, respectively. Fear was the hardest class in both montages, and happy lost most from electrode reduction. In the best single runs (Supplementary Fig. S4), sad recall reached 100% with 62 electrodes, and fear was most often confused with neutral.</w:t>
      </w:r>
    </w:p>
    <w:p>
      <w:pPr>
        <w:spacing w:after="140" w:line="360"/>
        <w:jc w:val="both"/>
      </w:pPr>
      <w:r>
        <w:rPr>
          <w:sz w:val="22"/>
          <w:szCs w:val="22"/>
        </w:rPr>
        <w:t xml:space="preserve">Electrode importance differed by class (Fig. 8). For happy, the wearable electrodes FP1 and FP2 ranked second and sixth of 62. For sad, FP1 and F8 ranked fourth and seventh, and the most important electrode was the adjacent midline FPZ. For neutral, FP2 ranked third. For fear, the most important electrodes were parieto-occipital (POZ, PO8), and only F7 among the wearable electrodes ranked in the top five, consistent with fear being the class most affected by electrode reduction. This analysis is based on a single run and is exploratory.</w:t>
      </w:r>
    </w:p>
    <w:p>
      <w:pPr>
        <w:keepNext/>
        <w:spacing w:before="160"/>
        <w:jc w:val="center"/>
      </w:pPr>
      <w:r>
        <w:drawing>
          <wp:inline distT="0" distB="0" distL="0" distR="0">
            <wp:extent cx="57150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409700"/>
                    </a:xfrm>
                    <a:prstGeom prst="rect">
                      <a:avLst/>
                    </a:prstGeom>
                  </pic:spPr>
                </pic:pic>
              </a:graphicData>
            </a:graphic>
          </wp:inline>
        </w:drawing>
      </w:r>
    </w:p>
    <w:p>
      <w:pPr>
        <w:spacing w:after="280" w:line="260"/>
        <w:jc w:val="both"/>
      </w:pPr>
      <w:r>
        <w:rPr>
          <w:b/>
          <w:bCs/>
          <w:sz w:val="18"/>
          <w:szCs w:val="18"/>
        </w:rPr>
        <w:t xml:space="preserve">Figure 8. Electrode importance by predicted class.</w:t>
      </w:r>
      <w:r>
        <w:rPr>
          <w:sz w:val="18"/>
          <w:szCs w:val="18"/>
        </w:rPr>
        <w:t xml:space="preserve"> </w:t>
      </w:r>
      <w:r>
        <w:rPr>
          <w:sz w:val="18"/>
          <w:szCs w:val="18"/>
        </w:rPr>
        <w:t xml:space="preserve">SHAP attributions summed over five frequency bands per electrode for neutral, sad, fear and happy (left to right), CLISA-EWU with 62 electrodes, best run; shared colour scale. Blue circles mark the six-electrode wearable subset. Single-run, exploratory analysis.</w:t>
      </w:r>
    </w:p>
    <w:p>
      <w:pPr>
        <w:pStyle w:val="Heading2"/>
        <w:spacing w:after="100" w:before="220"/>
      </w:pPr>
      <w:r>
        <w:t xml:space="preserve">Representation geometry</w:t>
      </w:r>
    </w:p>
    <w:p>
      <w:pPr>
        <w:spacing w:after="140" w:line="360"/>
        <w:jc w:val="both"/>
      </w:pPr>
      <w:r>
        <w:rPr>
          <w:sz w:val="22"/>
          <w:szCs w:val="22"/>
        </w:rPr>
        <w:t xml:space="preserve">In the raw feature space, emotion classes were not separable (emotion silhouette −0.017 with 62 electrodes and −0.013 with six; Supplementary Table S2). In the CLISA-EWU embedding, emotion silhouette rose to 0.220 (62 electrodes) and 0.046 (six), Davies–Bouldin indices fell, and participant silhouettes were negative (−0.098 and −0.057), indicating that participant identity did not dominate the embedding (Supplementary Fig. S5). These embeddings were computed on all 15 participants with the best-run model, 14 of whom contributed labelled training data, so the emotion structure partly reflects supervised fitting </w:t>
      </w:r>
      <w:r>
        <w:rPr>
          <w:b/>
          <w:bCs/>
          <w:sz w:val="22"/>
          <w:szCs w:val="22"/>
          <w:highlight w:val="yellow"/>
          <w:highlightCs w:val="yellow"/>
        </w:rPr>
        <w:t xml:space="preserve">[recompute on held-out participants only]</w:t>
      </w:r>
      <w:r>
        <w:rPr>
          <w:sz w:val="22"/>
          <w:szCs w:val="22"/>
        </w:rPr>
        <w:t xml:space="preserve">.</w:t>
      </w:r>
    </w:p>
    <w:p>
      <w:pPr>
        <w:pStyle w:val="Heading2"/>
        <w:spacing w:after="100" w:before="220"/>
      </w:pPr>
      <w:r>
        <w:t xml:space="preserve">Secondary analyses</w:t>
      </w:r>
    </w:p>
    <w:p>
      <w:pPr>
        <w:spacing w:after="140" w:line="360"/>
        <w:jc w:val="both"/>
      </w:pPr>
      <w:r>
        <w:rPr>
          <w:sz w:val="22"/>
          <w:szCs w:val="22"/>
        </w:rPr>
        <w:t xml:space="preserve">The DANCE teacher–student pair was included as a secondary reference. Its calibrated balanced accuracy was 0.519 (teacher, 62 electrodes) and 0.571 (student, six electrodes). An ablation of the DANCE framework is shown in Supplementary Fig. S6; four of its variants produced identical results, indicating that the corresponding options were not applied, so this ablation should be regarded as incomplete </w:t>
      </w:r>
      <w:r>
        <w:rPr>
          <w:b/>
          <w:bCs/>
          <w:sz w:val="22"/>
          <w:szCs w:val="22"/>
          <w:highlight w:val="yellow"/>
          <w:highlightCs w:val="yellow"/>
        </w:rPr>
        <w:t xml:space="preserve">[re-run, and add a CLISA-EWU ablation: no pretraining, noise-only, masking-only, temperature]</w:t>
      </w:r>
      <w:r>
        <w:rPr>
          <w:sz w:val="22"/>
          <w:szCs w:val="22"/>
        </w:rPr>
        <w:t xml:space="preserve">. A software prototype, NeuroSync, displays signal traces, band power, predicted state and class probabilities from the trained model (Supplementary Fig. S7); it was demonstrated on a synthetic replay session and has not been validated on live wearable recordings.</w:t>
      </w:r>
    </w:p>
    <w:p>
      <w:pPr>
        <w:pStyle w:val="Heading1"/>
        <w:spacing w:after="140" w:before="320"/>
      </w:pPr>
      <w:r>
        <w:t xml:space="preserve">Discussion</w:t>
      </w:r>
    </w:p>
    <w:p>
      <w:pPr>
        <w:spacing w:after="140" w:line="360"/>
        <w:jc w:val="both"/>
      </w:pPr>
      <w:r>
        <w:rPr>
          <w:sz w:val="22"/>
          <w:szCs w:val="22"/>
        </w:rPr>
        <w:t xml:space="preserve">In this benchmark of 26 models under one leave-one-participant-out protocol, three findings stand out. First, decoding four emotions in an unseen participant without any of their data was modest for every model, and the deep architectures, including the contrastive model of primary interest, did not clearly outperform a two-layer perceptron. Second, about 80 s of labelled calibration data raised balanced accuracy by roughly 20 percentage points, but only for models trained with contrastive, domain-adversarial or pseudo-label objectives. Third, a six-electrode frontal–temporal montage retained about nine-tenths of calibrated full-montage performance.</w:t>
      </w:r>
    </w:p>
    <w:p>
      <w:pPr>
        <w:spacing w:after="140" w:line="360"/>
        <w:jc w:val="both"/>
      </w:pPr>
      <w:r>
        <w:rPr>
          <w:sz w:val="22"/>
          <w:szCs w:val="22"/>
        </w:rPr>
        <w:t xml:space="preserve">These findings change how cross-participant results should be read. Much of the published progress on SEED-IV has been attributed to architectural innovation, yet our results suggest that the protocol, and specifically whether and how target-participant data are used, may explain as much variance as the architecture. Under calibration, the ordering of model families inverted: supervised networks that matched self-supervised models zero-shot fell far behind them. Comparisons that mix zero-shot, transductive and calibrated results, or that compare a best fold with another study's mean, are therefore uninterpretable. We recommend that cross-participant EEG studies report zero-shot and calibrated results separately, specify the number and selection of calibration samples, keep calibration and test trials disjoint, and summarise results at the participant level with confidence intervals</w:t>
      </w:r>
      <w:r>
        <w:rPr>
          <w:sz w:val="22"/>
          <w:szCs w:val="22"/>
          <w:vertAlign w:val="superscript"/>
        </w:rPr>
        <w:t xml:space="preserve">17,20</w:t>
      </w:r>
      <w:r>
        <w:rPr>
          <w:sz w:val="22"/>
          <w:szCs w:val="22"/>
        </w:rPr>
        <w:t xml:space="preserve">.</w:t>
      </w:r>
    </w:p>
    <w:p>
      <w:pPr>
        <w:spacing w:after="140" w:line="360"/>
        <w:jc w:val="both"/>
      </w:pPr>
      <w:r>
        <w:rPr>
          <w:sz w:val="22"/>
          <w:szCs w:val="22"/>
        </w:rPr>
        <w:t xml:space="preserve">The practical message for wearable affective computing is cautiously positive. A short calibration session is acceptable in most consumer and research workflows, and a headband carrying frontal and temporal electrodes appears to keep most of the decodable signal under calibration. That some self-supervised models lost nothing from electrode reduction suggests that the frontal–temporal subset contains much of the information these models exploit, consistent with the established role of frontal activity in affect</w:t>
      </w:r>
      <w:r>
        <w:rPr>
          <w:sz w:val="22"/>
          <w:szCs w:val="22"/>
          <w:vertAlign w:val="superscript"/>
        </w:rPr>
        <w:t xml:space="preserve">3</w:t>
      </w:r>
      <w:r>
        <w:rPr>
          <w:sz w:val="22"/>
          <w:szCs w:val="22"/>
        </w:rPr>
        <w:t xml:space="preserve">. The attribution analysis indicates where the six-electrode montage falls short: fear relied on parieto-occipital electrodes outside the subset, and fear recall dropped most. A seven- or eight-electrode montage adding a parieto-occipital site is a natural next design to test. Nevertheless, the absolute calibrated accuracy (about 62% for four classes with six electrodes) and the large between-participant spread mean that individual predictions remain unreliable, and the system is not suitable for clinical decisions.</w:t>
      </w:r>
    </w:p>
    <w:p>
      <w:pPr>
        <w:spacing w:after="140" w:line="360"/>
        <w:jc w:val="both"/>
      </w:pPr>
      <w:r>
        <w:rPr>
          <w:sz w:val="22"/>
          <w:szCs w:val="22"/>
        </w:rPr>
        <w:t xml:space="preserve">This study has limitations. The cohort was small (15 participants), healthy and drawn from one laboratory, and emotions were elicited with film clips under controlled conditions; generalisation to other populations, naturalistic settings and clinical groups is unknown </w:t>
      </w:r>
      <w:r>
        <w:rPr>
          <w:b/>
          <w:bCs/>
          <w:sz w:val="22"/>
          <w:szCs w:val="22"/>
          <w:highlight w:val="yellow"/>
          <w:highlightCs w:val="yellow"/>
        </w:rPr>
        <w:t xml:space="preserve">[external validation on SEED^3^, SEED-V^21^ and FACED^22^ pending]</w:t>
      </w:r>
      <w:r>
        <w:rPr>
          <w:sz w:val="22"/>
          <w:szCs w:val="22"/>
        </w:rPr>
        <w:t xml:space="preserve">. The six-electrode montage was simulated by selecting channels from a laboratory cap rather than recorded with a wearable device. Calibration windows were sampled across trials, so calibration and test windows could share a trial, which may have inflated calibrated accuracy</w:t>
      </w:r>
      <w:r>
        <w:rPr>
          <w:sz w:val="22"/>
          <w:szCs w:val="22"/>
          <w:vertAlign w:val="superscript"/>
        </w:rPr>
        <w:t xml:space="preserve">18</w:t>
      </w:r>
      <w:r>
        <w:rPr>
          <w:sz w:val="22"/>
          <w:szCs w:val="22"/>
        </w:rPr>
        <w:t xml:space="preserve">. Labels were assigned per film clip rather than per moment. We used precomputed features, so preprocessing choices could not be varied, and hyperparameters were not tuned separately for each model. Finally, the contrastive model contrasted augmented views of single windows rather than aligning participants explicitly, so its gains should not be attributed to inter-participant alignment.</w:t>
      </w:r>
    </w:p>
    <w:p>
      <w:pPr>
        <w:spacing w:after="140" w:line="360"/>
        <w:jc w:val="both"/>
      </w:pPr>
      <w:r>
        <w:rPr>
          <w:sz w:val="22"/>
          <w:szCs w:val="22"/>
        </w:rPr>
        <w:t xml:space="preserve">In a controlled participant-independent benchmark, brief labelled calibration rather than architecture accounted for most of the measurable gain in EEG emotion recognition, and a six-electrode wearable-compatible montage retained about 91% of calibrated performance. Rigorous separation of zero-shot and calibrated evaluation, external validation and real wearable recordings are the next steps towards dependable EEG-based affect sensing.</w:t>
      </w:r>
    </w:p>
    <w:p>
      <w:pPr>
        <w:pStyle w:val="Heading1"/>
        <w:spacing w:after="140" w:before="320"/>
      </w:pPr>
      <w:r>
        <w:t xml:space="preserve">Methods</w:t>
      </w:r>
    </w:p>
    <w:p>
      <w:pPr>
        <w:pStyle w:val="Heading2"/>
        <w:spacing w:after="100" w:before="220"/>
      </w:pPr>
      <w:r>
        <w:t xml:space="preserve">Dataset and features</w:t>
      </w:r>
    </w:p>
    <w:p>
      <w:pPr>
        <w:spacing w:after="140" w:line="360"/>
        <w:jc w:val="both"/>
      </w:pPr>
      <w:r>
        <w:rPr>
          <w:sz w:val="22"/>
          <w:szCs w:val="22"/>
        </w:rPr>
        <w:t xml:space="preserve">We analysed the public SEED-IV dataset</w:t>
      </w:r>
      <w:r>
        <w:rPr>
          <w:sz w:val="22"/>
          <w:szCs w:val="22"/>
          <w:vertAlign w:val="superscript"/>
        </w:rPr>
        <w:t xml:space="preserve">2</w:t>
      </w:r>
      <w:r>
        <w:rPr>
          <w:sz w:val="22"/>
          <w:szCs w:val="22"/>
        </w:rPr>
        <w:t xml:space="preserve">. Fifteen healthy adults </w:t>
      </w:r>
      <w:r>
        <w:rPr>
          <w:b/>
          <w:bCs/>
          <w:sz w:val="22"/>
          <w:szCs w:val="22"/>
          <w:highlight w:val="yellow"/>
          <w:highlightCs w:val="yellow"/>
        </w:rPr>
        <w:t xml:space="preserve">[report sex and age range from the dataset paper]</w:t>
      </w:r>
      <w:r>
        <w:rPr>
          <w:sz w:val="22"/>
          <w:szCs w:val="22"/>
        </w:rPr>
        <w:t xml:space="preserve"> watched 72 film clips (24 per session, three sessions on different days) selected to elicit neutral, sad, fear and happy states while 62-channel EEG was recorded according to the international 10–20 system. The original study obtained ethics approval and informed consent; no new data were collected, and data access followed the dataset licence.</w:t>
      </w:r>
    </w:p>
    <w:p>
      <w:pPr>
        <w:spacing w:after="140" w:line="360"/>
        <w:jc w:val="both"/>
      </w:pPr>
      <w:r>
        <w:rPr>
          <w:sz w:val="22"/>
          <w:szCs w:val="22"/>
        </w:rPr>
        <w:t xml:space="preserve">We used the differential-entropy features released with SEED-IV, computed in non-overlapping 4-s windows in five bands (delta, theta, alpha, beta, gamma) and smoothed with a linear dynamical system (de_LDS)</w:t>
      </w:r>
      <w:r>
        <w:rPr>
          <w:sz w:val="22"/>
          <w:szCs w:val="22"/>
          <w:vertAlign w:val="superscript"/>
        </w:rPr>
        <w:t xml:space="preserve">2,3</w:t>
      </w:r>
      <w:r>
        <w:rPr>
          <w:sz w:val="22"/>
          <w:szCs w:val="22"/>
        </w:rPr>
        <w:t xml:space="preserve">. This yielded 37,575 windows (2505 per participant; neutral 10,170, sad 10,245, fear 9225, happy 7935; Supplementary Fig. S8). The full montage gave 310 features per window (62 electrodes × 5 bands). The wearable-compatible montage used six electrodes reachable by a forehead-and-temple band (FP1, FP2, F7, F8, T7, T8; 30 features). It is an exact subset of the full feature matrix, so montage comparisons are not confounded by preprocessing. Features were z-standardised before modelling </w:t>
      </w:r>
      <w:r>
        <w:rPr>
          <w:b/>
          <w:bCs/>
          <w:sz w:val="22"/>
          <w:szCs w:val="22"/>
          <w:highlight w:val="yellow"/>
          <w:highlightCs w:val="yellow"/>
        </w:rPr>
        <w:t xml:space="preserve">[confirm that standardisation statistics are computed within each training fold; re-run if they were computed on all 15 participants]</w:t>
      </w:r>
      <w:r>
        <w:rPr>
          <w:sz w:val="22"/>
          <w:szCs w:val="22"/>
        </w:rPr>
        <w:t xml:space="preserve">.</w:t>
      </w:r>
    </w:p>
    <w:p>
      <w:pPr>
        <w:pStyle w:val="Heading2"/>
        <w:spacing w:after="100" w:before="220"/>
      </w:pPr>
      <w:r>
        <w:t xml:space="preserve">Evaluation protocol</w:t>
      </w:r>
    </w:p>
    <w:p>
      <w:pPr>
        <w:spacing w:after="140" w:line="360"/>
        <w:jc w:val="both"/>
      </w:pPr>
      <w:r>
        <w:rPr>
          <w:sz w:val="22"/>
          <w:szCs w:val="22"/>
        </w:rPr>
        <w:t xml:space="preserve">We used leave-one-participant-out (LOSO) cross-validation. In each of 15 folds one participant was held out entirely, and the windows of the remaining 14 were split at random into training (85%, about 29,810 windows) and validation (15%, about 5260 windows) sets (Supplementary Fig. S9). The procedure was repeated with seeds 1, 7 and 21, giving 45 runs per model and montage (Supplementary Table S3). The complete workflow is shown in Fig. 1.</w:t>
      </w:r>
    </w:p>
    <w:p>
      <w:pPr>
        <w:spacing w:after="140" w:line="360"/>
        <w:jc w:val="both"/>
      </w:pPr>
      <w:r>
        <w:rPr>
          <w:sz w:val="22"/>
          <w:szCs w:val="22"/>
        </w:rPr>
        <w:t xml:space="preserve">Each held-out participant was scored under two protocols. Zero-shot: the trained model predicted all 2505 windows of the held-out participant without access to their labels. Few-shot calibration: 20 windows of the held-out participant were drawn at random, all network parameters were fine-tuned on them for 10 epochs (Adam, learning rate 10</w:t>
      </w:r>
      <w:r>
        <w:rPr>
          <w:sz w:val="22"/>
          <w:szCs w:val="22"/>
          <w:vertAlign w:val="superscript"/>
        </w:rPr>
        <w:t xml:space="preserve">−3</w:t>
      </w:r>
      <w:r>
        <w:rPr>
          <w:sz w:val="22"/>
          <w:szCs w:val="22"/>
        </w:rPr>
        <w:t xml:space="preserve">), and performance was measured on the remaining 2485 windows. Twenty windows correspond to about 80 s of EEG, or 0.8% of the participant's data. Because calibration windows were sampled across trials, a calibration window and a test window could come from the same film-clip trial; with temporally smoothed features such windows are correlated, so calibrated estimates may be optimistic</w:t>
      </w:r>
      <w:r>
        <w:rPr>
          <w:sz w:val="22"/>
          <w:szCs w:val="22"/>
          <w:vertAlign w:val="superscript"/>
        </w:rPr>
        <w:t xml:space="preserve">18</w:t>
      </w:r>
      <w:r>
        <w:rPr>
          <w:sz w:val="22"/>
          <w:szCs w:val="22"/>
        </w:rPr>
        <w:t xml:space="preserve"> </w:t>
      </w:r>
      <w:r>
        <w:rPr>
          <w:b/>
          <w:bCs/>
          <w:sz w:val="22"/>
          <w:szCs w:val="22"/>
          <w:highlight w:val="yellow"/>
          <w:highlightCs w:val="yellow"/>
        </w:rPr>
        <w:t xml:space="preserve">[pending: trial-held-out calibration (calibrate on session 1, test on sessions 2–3) and a calibration-budget curve of 5–200 windows]</w:t>
      </w:r>
      <w:r>
        <w:rPr>
          <w:sz w:val="22"/>
          <w:szCs w:val="22"/>
        </w:rPr>
        <w:t xml:space="preserve">. Validation windows came from the same participants and trials as training windows, so validation scores were near ceiling (median macro F1 1.00 for supervised models) and early stopping effectively selected late epochs; this does not compromise the independence of the test participant.</w:t>
      </w:r>
    </w:p>
    <w:p>
      <w:pPr>
        <w:spacing w:after="140" w:line="360"/>
        <w:jc w:val="both"/>
      </w:pPr>
      <w:r>
        <w:rPr>
          <w:sz w:val="22"/>
          <w:szCs w:val="22"/>
        </w:rPr>
        <w:t xml:space="preserve">The primary outcome was balanced accuracy (mean per-class recall; chance 0.25); the secondary outcome was macro-averaged F1. Retention was defined as six-electrode divided by 62-electrode performance for the same model.</w:t>
      </w:r>
    </w:p>
    <w:p>
      <w:pPr>
        <w:pStyle w:val="Heading2"/>
        <w:spacing w:after="100" w:before="220"/>
      </w:pPr>
      <w:r>
        <w:t xml:space="preserve">Models</w:t>
      </w:r>
    </w:p>
    <w:p>
      <w:pPr>
        <w:spacing w:after="140" w:line="360"/>
        <w:jc w:val="both"/>
      </w:pPr>
      <w:r>
        <w:rPr>
          <w:sz w:val="22"/>
          <w:szCs w:val="22"/>
        </w:rPr>
        <w:t xml:space="preserve">We evaluated ten classical classifiers (linear discriminant analysis, support vector machine with radial basis kernel, random forest, extra trees, gradient boosting, XGBoost</w:t>
      </w:r>
      <w:r>
        <w:rPr>
          <w:sz w:val="22"/>
          <w:szCs w:val="22"/>
          <w:vertAlign w:val="superscript"/>
        </w:rPr>
        <w:t xml:space="preserve">23</w:t>
      </w:r>
      <w:r>
        <w:rPr>
          <w:sz w:val="22"/>
          <w:szCs w:val="22"/>
        </w:rPr>
        <w:t xml:space="preserve">, k-nearest neighbours, logistic regression, naive Bayes and a scikit-learn multilayer perceptron) and 16 deep models in five families (Supplementary Table S4): supervised networks (two-layer and deep perceptrons, LSTM, GRU, one-dimensional CNN, transformer</w:t>
      </w:r>
      <w:r>
        <w:rPr>
          <w:sz w:val="22"/>
          <w:szCs w:val="22"/>
          <w:vertAlign w:val="superscript"/>
        </w:rPr>
        <w:t xml:space="preserve">24</w:t>
      </w:r>
      <w:r>
        <w:rPr>
          <w:sz w:val="22"/>
          <w:szCs w:val="22"/>
        </w:rPr>
        <w:t xml:space="preserve">, EEG Conformer</w:t>
      </w:r>
      <w:r>
        <w:rPr>
          <w:sz w:val="22"/>
          <w:szCs w:val="22"/>
          <w:vertAlign w:val="superscript"/>
        </w:rPr>
        <w:t xml:space="preserve">25</w:t>
      </w:r>
      <w:r>
        <w:rPr>
          <w:sz w:val="22"/>
          <w:szCs w:val="22"/>
        </w:rPr>
        <w:t xml:space="preserve"> and a channel-dropout transformer); a domain-adversarial network (DANN)</w:t>
      </w:r>
      <w:r>
        <w:rPr>
          <w:sz w:val="22"/>
          <w:szCs w:val="22"/>
          <w:vertAlign w:val="superscript"/>
        </w:rPr>
        <w:t xml:space="preserve">6</w:t>
      </w:r>
      <w:r>
        <w:rPr>
          <w:sz w:val="22"/>
          <w:szCs w:val="22"/>
        </w:rPr>
        <w:t xml:space="preserve"> whose discriminator predicted training-participant identity through a gradient-reversal layer; self-supervised models (SimCLR</w:t>
      </w:r>
      <w:r>
        <w:rPr>
          <w:sz w:val="22"/>
          <w:szCs w:val="22"/>
          <w:vertAlign w:val="superscript"/>
        </w:rPr>
        <w:t xml:space="preserve">26</w:t>
      </w:r>
      <w:r>
        <w:rPr>
          <w:sz w:val="22"/>
          <w:szCs w:val="22"/>
        </w:rPr>
        <w:t xml:space="preserve">, BYOL</w:t>
      </w:r>
      <w:r>
        <w:rPr>
          <w:sz w:val="22"/>
          <w:szCs w:val="22"/>
          <w:vertAlign w:val="superscript"/>
        </w:rPr>
        <w:t xml:space="preserve">27</w:t>
      </w:r>
      <w:r>
        <w:rPr>
          <w:sz w:val="22"/>
          <w:szCs w:val="22"/>
        </w:rPr>
        <w:t xml:space="preserve">); semi-supervised models (PseudoLabel</w:t>
      </w:r>
      <w:r>
        <w:rPr>
          <w:sz w:val="22"/>
          <w:szCs w:val="22"/>
          <w:vertAlign w:val="superscript"/>
        </w:rPr>
        <w:t xml:space="preserve">28</w:t>
      </w:r>
      <w:r>
        <w:rPr>
          <w:sz w:val="22"/>
          <w:szCs w:val="22"/>
        </w:rPr>
        <w:t xml:space="preserve">, which used confident predictions on the unlabelled held-out participant, and MixMatch</w:t>
      </w:r>
      <w:r>
        <w:rPr>
          <w:sz w:val="22"/>
          <w:szCs w:val="22"/>
          <w:vertAlign w:val="superscript"/>
        </w:rPr>
        <w:t xml:space="preserve">29</w:t>
      </w:r>
      <w:r>
        <w:rPr>
          <w:sz w:val="22"/>
          <w:szCs w:val="22"/>
        </w:rPr>
        <w:t xml:space="preserve">); and a teacher–student distillation pair (DANCE)</w:t>
      </w:r>
      <w:r>
        <w:rPr>
          <w:sz w:val="22"/>
          <w:szCs w:val="22"/>
          <w:vertAlign w:val="superscript"/>
        </w:rPr>
        <w:t xml:space="preserve">30</w:t>
      </w:r>
      <w:r>
        <w:rPr>
          <w:sz w:val="22"/>
          <w:szCs w:val="22"/>
        </w:rPr>
        <w:t xml:space="preserve">.</w:t>
      </w:r>
    </w:p>
    <w:p>
      <w:pPr>
        <w:pStyle w:val="Heading2"/>
        <w:spacing w:after="100" w:before="220"/>
      </w:pPr>
      <w:r>
        <w:t xml:space="preserve">CLISA-EWU</w:t>
      </w:r>
    </w:p>
    <w:p>
      <w:pPr>
        <w:spacing w:after="140" w:line="360"/>
        <w:jc w:val="both"/>
      </w:pPr>
      <w:r>
        <w:rPr>
          <w:sz w:val="22"/>
          <w:szCs w:val="22"/>
        </w:rPr>
        <w:t xml:space="preserve">CLISA-EWU (Fig. 2) has an encoder of two fully connected layers (256 and 128 units, batch normalisation, ReLU, dropout 0.3), a two-layer projection head (64 units) and a linear classifier. In stage 1 (50 epochs), the encoder and projector were trained with the normalised temperature-scaled cross-entropy (NT-Xent) loss (temperature 0.5) on two views of each window: one with additive Gaussian noise (s.d. 0.1) and one with 30% of electrodes masked across all bands. In stage 2 (up to 50 epochs), the whole network was fine-tuned with cross-entropy (AdamW, learning rate 3 × 10</w:t>
      </w:r>
      <w:r>
        <w:rPr>
          <w:sz w:val="22"/>
          <w:szCs w:val="22"/>
          <w:vertAlign w:val="superscript"/>
        </w:rPr>
        <w:t xml:space="preserve">−4</w:t>
      </w:r>
      <w:r>
        <w:rPr>
          <w:sz w:val="22"/>
          <w:szCs w:val="22"/>
        </w:rPr>
        <w:t xml:space="preserve">, weight decay 10</w:t>
      </w:r>
      <w:r>
        <w:rPr>
          <w:sz w:val="22"/>
          <w:szCs w:val="22"/>
          <w:vertAlign w:val="superscript"/>
        </w:rPr>
        <w:t xml:space="preserve">−4</w:t>
      </w:r>
      <w:r>
        <w:rPr>
          <w:sz w:val="22"/>
          <w:szCs w:val="22"/>
        </w:rPr>
        <w:t xml:space="preserve">, cosine schedule, class-balanced sampling, early stopping with patience 15 on validation macro F1). Unlike the original CLISA</w:t>
      </w:r>
      <w:r>
        <w:rPr>
          <w:sz w:val="22"/>
          <w:szCs w:val="22"/>
          <w:vertAlign w:val="superscript"/>
        </w:rPr>
        <w:t xml:space="preserve">5</w:t>
      </w:r>
      <w:r>
        <w:rPr>
          <w:sz w:val="22"/>
          <w:szCs w:val="22"/>
        </w:rPr>
        <w:t xml:space="preserve">, which aligns time-locked responses of different participants to the same stimulus, the stage-1 objective contrasts augmented views of the same window and does not use participant or stimulus identity </w:t>
      </w:r>
      <w:r>
        <w:rPr>
          <w:b/>
          <w:bCs/>
          <w:sz w:val="22"/>
          <w:szCs w:val="22"/>
          <w:highlight w:val="yellow"/>
          <w:highlightCs w:val="yellow"/>
        </w:rPr>
        <w:t xml:space="preserve">[either implement cross-participant stimulus-aligned positives or rename the model to avoid implying explicit inter-subject alignment]</w:t>
      </w:r>
      <w:r>
        <w:rPr>
          <w:sz w:val="22"/>
          <w:szCs w:val="22"/>
        </w:rPr>
        <w:t xml:space="preserve">. Hyperparameters for all models are given in the project repository together with the code </w:t>
      </w:r>
      <w:r>
        <w:rPr>
          <w:b/>
          <w:bCs/>
          <w:sz w:val="22"/>
          <w:szCs w:val="22"/>
          <w:highlight w:val="yellow"/>
          <w:highlightCs w:val="yellow"/>
        </w:rPr>
        <w:t xml:space="preserve">[add them as a supplementary table]</w:t>
      </w:r>
      <w:r>
        <w:rPr>
          <w:sz w:val="22"/>
          <w:szCs w:val="22"/>
        </w:rPr>
        <w:t xml:space="preserve">.</w:t>
      </w:r>
    </w:p>
    <w:p>
      <w:pPr>
        <w:pStyle w:val="Heading2"/>
        <w:spacing w:after="100" w:before="220"/>
      </w:pPr>
      <w:r>
        <w:t xml:space="preserve">Representation, attribution and statistical analysis</w:t>
      </w:r>
    </w:p>
    <w:p>
      <w:pPr>
        <w:spacing w:after="140" w:line="360"/>
        <w:jc w:val="both"/>
      </w:pPr>
      <w:r>
        <w:rPr>
          <w:sz w:val="22"/>
          <w:szCs w:val="22"/>
        </w:rPr>
        <w:t xml:space="preserve">Representation geometry was examined with t-SNE</w:t>
      </w:r>
      <w:r>
        <w:rPr>
          <w:sz w:val="22"/>
          <w:szCs w:val="22"/>
          <w:vertAlign w:val="superscript"/>
        </w:rPr>
        <w:t xml:space="preserve">31</w:t>
      </w:r>
      <w:r>
        <w:rPr>
          <w:sz w:val="22"/>
          <w:szCs w:val="22"/>
        </w:rPr>
        <w:t xml:space="preserve"> and with silhouette</w:t>
      </w:r>
      <w:r>
        <w:rPr>
          <w:sz w:val="22"/>
          <w:szCs w:val="22"/>
          <w:vertAlign w:val="superscript"/>
        </w:rPr>
        <w:t xml:space="preserve">32</w:t>
      </w:r>
      <w:r>
        <w:rPr>
          <w:sz w:val="22"/>
          <w:szCs w:val="22"/>
        </w:rPr>
        <w:t xml:space="preserve">, Davies–Bouldin</w:t>
      </w:r>
      <w:r>
        <w:rPr>
          <w:sz w:val="22"/>
          <w:szCs w:val="22"/>
          <w:vertAlign w:val="superscript"/>
        </w:rPr>
        <w:t xml:space="preserve">33</w:t>
      </w:r>
      <w:r>
        <w:rPr>
          <w:sz w:val="22"/>
          <w:szCs w:val="22"/>
        </w:rPr>
        <w:t xml:space="preserve"> and Calinski–Harabasz</w:t>
      </w:r>
      <w:r>
        <w:rPr>
          <w:sz w:val="22"/>
          <w:szCs w:val="22"/>
          <w:vertAlign w:val="superscript"/>
        </w:rPr>
        <w:t xml:space="preserve">34</w:t>
      </w:r>
      <w:r>
        <w:rPr>
          <w:sz w:val="22"/>
          <w:szCs w:val="22"/>
        </w:rPr>
        <w:t xml:space="preserve"> indices computed on PCA-reduced raw features and on CLISA-EWU encoder embeddings, using emotion and participant labels. Electrode importance was estimated with gradient-based SHAP</w:t>
      </w:r>
      <w:r>
        <w:rPr>
          <w:sz w:val="22"/>
          <w:szCs w:val="22"/>
          <w:vertAlign w:val="superscript"/>
        </w:rPr>
        <w:t xml:space="preserve">35</w:t>
      </w:r>
      <w:r>
        <w:rPr>
          <w:sz w:val="22"/>
          <w:szCs w:val="22"/>
        </w:rPr>
        <w:t xml:space="preserve"> on the 62-electrode model of the best run, summing absolute attributions over the five bands of each electrode separately for each predicted class.</w:t>
      </w:r>
    </w:p>
    <w:p>
      <w:pPr>
        <w:spacing w:after="140" w:line="360"/>
        <w:jc w:val="both"/>
      </w:pPr>
      <w:r>
        <w:rPr>
          <w:sz w:val="22"/>
          <w:szCs w:val="22"/>
        </w:rPr>
        <w:t xml:space="preserve">Runs from the same participant are not independent, so we averaged the three seeds for each participant, giving 15 paired observations per model and montage. We report participant-level means with 95% confidence intervals from 10,000 bootstrap resamples of participants. CLISA-EWU was compared with DANN, PseudoLabel, BYOL, SimCLR, the two-layer and deep perceptrons and EEG Conformer, separately for each montage and protocol, with two-sided Wilcoxon signed-rank tests</w:t>
      </w:r>
      <w:r>
        <w:rPr>
          <w:sz w:val="22"/>
          <w:szCs w:val="22"/>
          <w:vertAlign w:val="superscript"/>
        </w:rPr>
        <w:t xml:space="preserve">36</w:t>
      </w:r>
      <w:r>
        <w:rPr>
          <w:sz w:val="22"/>
          <w:szCs w:val="22"/>
        </w:rPr>
        <w:t xml:space="preserve">; p-values were adjusted with the Holm method</w:t>
      </w:r>
      <w:r>
        <w:rPr>
          <w:sz w:val="22"/>
          <w:szCs w:val="22"/>
          <w:vertAlign w:val="superscript"/>
        </w:rPr>
        <w:t xml:space="preserve">37</w:t>
      </w:r>
      <w:r>
        <w:rPr>
          <w:sz w:val="22"/>
          <w:szCs w:val="22"/>
        </w:rPr>
        <w:t xml:space="preserve"> within each protocol (14 comparisons). The 62- versus six-electrode difference was tested in the same way, and the confidence interval for retention was obtained by resampling participants. Analyses used Python 3 with SciPy and statsmodels; the analysis scripts are provided in the repository. Reporting follows TRIPOD+AI where applicable</w:t>
      </w:r>
      <w:r>
        <w:rPr>
          <w:sz w:val="22"/>
          <w:szCs w:val="22"/>
          <w:vertAlign w:val="superscript"/>
        </w:rPr>
        <w:t xml:space="preserve">20</w:t>
      </w:r>
      <w:r>
        <w:rPr>
          <w:sz w:val="22"/>
          <w:szCs w:val="22"/>
        </w:rPr>
        <w:t xml:space="preserve">.</w:t>
      </w:r>
    </w:p>
    <w:p>
      <w:pPr>
        <w:pStyle w:val="Heading2"/>
        <w:spacing w:after="100" w:before="220"/>
      </w:pPr>
      <w:r>
        <w:t xml:space="preserve">Ethics declarations</w:t>
      </w:r>
    </w:p>
    <w:p>
      <w:pPr>
        <w:spacing w:after="140" w:line="360"/>
        <w:jc w:val="both"/>
      </w:pPr>
      <w:r>
        <w:rPr>
          <w:sz w:val="22"/>
          <w:szCs w:val="22"/>
        </w:rPr>
        <w:t xml:space="preserve">This study used only the publicly available, de-identified SEED-IV dataset. The original data collection was approved by the providers’ institutional ethics committee and all participants gave informed consent; no new human data were collected. All methods were carried out in accordance with relevant guidelines and regulations.</w:t>
      </w:r>
    </w:p>
    <w:p>
      <w:pPr>
        <w:pStyle w:val="Heading1"/>
        <w:spacing w:after="140" w:before="320"/>
      </w:pPr>
      <w:r>
        <w:t xml:space="preserve">Data availability</w:t>
      </w:r>
    </w:p>
    <w:p>
      <w:pPr>
        <w:spacing w:after="140" w:line="360"/>
        <w:jc w:val="both"/>
      </w:pPr>
      <w:r>
        <w:rPr>
          <w:sz w:val="22"/>
          <w:szCs w:val="22"/>
        </w:rPr>
        <w:t xml:space="preserve">SEED-IV is available from its providers under their licence (https://bcmi.sjtu.edu.cn/home/seed/). Data splits, per-fold predictions, confusion matrices and result tables are available at https://github.com/saifkhancse/clisa-ewu-brain-informatics </w:t>
      </w:r>
      <w:r>
        <w:rPr>
          <w:b/>
          <w:bCs/>
          <w:sz w:val="22"/>
          <w:szCs w:val="22"/>
          <w:highlight w:val="yellow"/>
          <w:highlightCs w:val="yellow"/>
        </w:rPr>
        <w:t xml:space="preserve">[archive a tagged release on Zenodo and cite its DOI]</w:t>
      </w:r>
      <w:r>
        <w:rPr>
          <w:sz w:val="22"/>
          <w:szCs w:val="22"/>
        </w:rPr>
        <w:t xml:space="preserve">.</w:t>
      </w:r>
    </w:p>
    <w:p>
      <w:pPr>
        <w:pStyle w:val="Heading1"/>
        <w:spacing w:after="140" w:before="320"/>
      </w:pPr>
      <w:r>
        <w:t xml:space="preserve">Code availability</w:t>
      </w:r>
    </w:p>
    <w:p>
      <w:pPr>
        <w:spacing w:after="140" w:line="360"/>
        <w:jc w:val="both"/>
      </w:pPr>
      <w:r>
        <w:rPr>
          <w:sz w:val="22"/>
          <w:szCs w:val="22"/>
        </w:rPr>
        <w:t xml:space="preserve">Model, training, evaluation and analysis code is available at https://github.com/saifkhancse/clisa-ewu-brain-informatics, including the scripts that regenerate every statistic and figure in this paper.</w:t>
      </w:r>
    </w:p>
    <w:p>
      <w:pPr>
        <w:pStyle w:val="Heading1"/>
        <w:spacing w:after="140" w:before="320"/>
      </w:pPr>
      <w:r>
        <w:t xml:space="preserve">References</w:t>
      </w:r>
    </w:p>
    <w:p>
      <w:pPr>
        <w:spacing w:after="60" w:line="260"/>
        <w:ind w:left="500" w:hanging="500"/>
      </w:pPr>
      <w:r>
        <w:rPr>
          <w:sz w:val="20"/>
          <w:szCs w:val="20"/>
        </w:rPr>
        <w:t xml:space="preserve">1. Russell, J. A. A circumplex model of affect. J. Pers. Soc. Psychol. 39, 1161–1178 (1980).</w:t>
      </w:r>
    </w:p>
    <w:p>
      <w:pPr>
        <w:spacing w:after="60" w:line="260"/>
        <w:ind w:left="500" w:hanging="500"/>
      </w:pPr>
      <w:r>
        <w:rPr>
          <w:sz w:val="20"/>
          <w:szCs w:val="20"/>
        </w:rPr>
        <w:t xml:space="preserve">2. Zheng, W.-L., Liu, W., Lu, Y., Lu, B.-L. &amp; Cichocki, A. EmotionMeter: a multimodal framework for recognizing human emotions. IEEE Trans. Cybern. 49, 1110–1122 (2019).</w:t>
      </w:r>
    </w:p>
    <w:p>
      <w:pPr>
        <w:spacing w:after="60" w:line="260"/>
        <w:ind w:left="500" w:hanging="500"/>
      </w:pPr>
      <w:r>
        <w:rPr>
          <w:sz w:val="20"/>
          <w:szCs w:val="20"/>
        </w:rPr>
        <w:t xml:space="preserve">3. Zheng, W.-L. &amp; Lu, B.-L. Investigating critical frequency bands and channels for EEG-based emotion recognition with deep neural networks. IEEE Trans. Auton. Ment. Dev. 7, 162–175 (2015).</w:t>
      </w:r>
    </w:p>
    <w:p>
      <w:pPr>
        <w:spacing w:after="60" w:line="260"/>
        <w:ind w:left="500" w:hanging="500"/>
      </w:pPr>
      <w:r>
        <w:rPr>
          <w:sz w:val="20"/>
          <w:szCs w:val="20"/>
        </w:rPr>
        <w:t xml:space="preserve">4. Koelstra, S. et al. DEAP: a database for emotion analysis using physiological signals. IEEE Trans. Affect. Comput. 3, 18–31 (2012).</w:t>
      </w:r>
    </w:p>
    <w:p>
      <w:pPr>
        <w:spacing w:after="60" w:line="260"/>
        <w:ind w:left="500" w:hanging="500"/>
      </w:pPr>
      <w:r>
        <w:rPr>
          <w:sz w:val="20"/>
          <w:szCs w:val="20"/>
        </w:rPr>
        <w:t xml:space="preserve">5. Shen, X., Liu, X., Hu, X., Zhang, D. &amp; Song, S. Contrastive learning of subject-invariant EEG representations for cross-subject emotion recognition. IEEE Trans. Affect. Comput. https://doi.org/10.1109/TAFFC.2022.3164516 (2022). </w:t>
      </w:r>
      <w:r>
        <w:rPr>
          <w:b/>
          <w:bCs/>
          <w:sz w:val="20"/>
          <w:szCs w:val="20"/>
          <w:highlight w:val="yellow"/>
          <w:highlightCs w:val="yellow"/>
        </w:rPr>
        <w:t xml:space="preserve">[verify author list]</w:t>
      </w:r>
    </w:p>
    <w:p>
      <w:pPr>
        <w:spacing w:after="60" w:line="260"/>
        <w:ind w:left="500" w:hanging="500"/>
      </w:pPr>
      <w:r>
        <w:rPr>
          <w:sz w:val="20"/>
          <w:szCs w:val="20"/>
        </w:rPr>
        <w:t xml:space="preserve">6. Ganin, Y. et al. Domain-adversarial training of neural networks. J. Mach. Learn. Res. 17, 1–35 (2016).</w:t>
      </w:r>
    </w:p>
    <w:p>
      <w:pPr>
        <w:spacing w:after="60" w:line="260"/>
        <w:ind w:left="500" w:hanging="500"/>
      </w:pPr>
      <w:r>
        <w:rPr>
          <w:sz w:val="20"/>
          <w:szCs w:val="20"/>
        </w:rPr>
        <w:t xml:space="preserve">7. Li, H., Jin, Y.-M., Zheng, W.-L. &amp; Lu, B.-L. Cross-subject emotion recognition using deep adaptation networks. In Neural Information Processing (ICONIP 2018) 403–413 (Springer, 2018).</w:t>
      </w:r>
    </w:p>
    <w:p>
      <w:pPr>
        <w:spacing w:after="60" w:line="260"/>
        <w:ind w:left="500" w:hanging="500"/>
      </w:pPr>
      <w:r>
        <w:rPr>
          <w:sz w:val="20"/>
          <w:szCs w:val="20"/>
        </w:rPr>
        <w:t xml:space="preserve">8. Li, Y., Zheng, W., Cui, Z., Zhang, T. &amp; Zong, Y. A novel neural network model based on cerebral hemispheric asymmetry for EEG emotion recognition. In Proc. IJCAI 1561–1567 (2018).</w:t>
      </w:r>
    </w:p>
    <w:p>
      <w:pPr>
        <w:spacing w:after="60" w:line="260"/>
        <w:ind w:left="500" w:hanging="500"/>
      </w:pPr>
      <w:r>
        <w:rPr>
          <w:sz w:val="20"/>
          <w:szCs w:val="20"/>
        </w:rPr>
        <w:t xml:space="preserve">9. Li, Y. et al. A novel bi-hemispheric discrepancy model for EEG emotion recognition. IEEE Trans. Cogn. Dev. Syst. 13, 354–367 (2021).</w:t>
      </w:r>
    </w:p>
    <w:p>
      <w:pPr>
        <w:spacing w:after="60" w:line="260"/>
        <w:ind w:left="500" w:hanging="500"/>
      </w:pPr>
      <w:r>
        <w:rPr>
          <w:sz w:val="20"/>
          <w:szCs w:val="20"/>
        </w:rPr>
        <w:t xml:space="preserve">10. Song, T., Zheng, W., Song, P. &amp; Cui, Z. EEG emotion recognition using dynamical graph convolutional neural networks. IEEE Trans. Affect. Comput. 11, 532–541 (2020).</w:t>
      </w:r>
    </w:p>
    <w:p>
      <w:pPr>
        <w:spacing w:after="60" w:line="260"/>
        <w:ind w:left="500" w:hanging="500"/>
      </w:pPr>
      <w:r>
        <w:rPr>
          <w:sz w:val="20"/>
          <w:szCs w:val="20"/>
        </w:rPr>
        <w:t xml:space="preserve">11. Zhong, P., Wang, D. &amp; Miao, C. EEG-based emotion recognition using regularized graph neural networks. IEEE Trans. Affect. Comput. 13, 1290–1301 (2022).</w:t>
      </w:r>
    </w:p>
    <w:p>
      <w:pPr>
        <w:spacing w:after="60" w:line="260"/>
        <w:ind w:left="500" w:hanging="500"/>
      </w:pPr>
      <w:r>
        <w:rPr>
          <w:sz w:val="20"/>
          <w:szCs w:val="20"/>
        </w:rPr>
        <w:t xml:space="preserve">12. Li, J., Li, S., Pan, J. &amp; Wang, F. Cross-subject EEG emotion recognition with self-organized graph neural network. Front. Neurosci. 15, 611653 (2021).</w:t>
      </w:r>
    </w:p>
    <w:p>
      <w:pPr>
        <w:spacing w:after="60" w:line="260"/>
        <w:ind w:left="500" w:hanging="500"/>
      </w:pPr>
      <w:r>
        <w:rPr>
          <w:sz w:val="20"/>
          <w:szCs w:val="20"/>
        </w:rPr>
        <w:t xml:space="preserve">13. Zhang, J. et al. Subject-independent emotion recognition based on EEG frequency band features and self-adaptive graph construction. Brain Sci. 14, 271 (2024).</w:t>
      </w:r>
    </w:p>
    <w:p>
      <w:pPr>
        <w:spacing w:after="60" w:line="260"/>
        <w:ind w:left="500" w:hanging="500"/>
      </w:pPr>
      <w:r>
        <w:rPr>
          <w:sz w:val="20"/>
          <w:szCs w:val="20"/>
        </w:rPr>
        <w:t xml:space="preserve">14. Zhang, S., Chu, C., Zhang, X. &amp; Zhang, X. EEG emotion recognition using AttGraph: a multi-dimensional attention-based dynamic graph convolutional network. Brain Sci. 15, 615 (2025).</w:t>
      </w:r>
    </w:p>
    <w:p>
      <w:pPr>
        <w:spacing w:after="60" w:line="260"/>
        <w:ind w:left="500" w:hanging="500"/>
      </w:pPr>
      <w:r>
        <w:rPr>
          <w:sz w:val="20"/>
          <w:szCs w:val="20"/>
        </w:rPr>
        <w:t xml:space="preserve">15. Ahuja, C. &amp; Sethia, D. SS-EMERGE: self-supervised enhancement for multidimension emotion recognition using GNNs for EEG. Sci. Rep. 15, 14254 (2025).</w:t>
      </w:r>
    </w:p>
    <w:p>
      <w:pPr>
        <w:spacing w:after="60" w:line="260"/>
        <w:ind w:left="500" w:hanging="500"/>
      </w:pPr>
      <w:r>
        <w:rPr>
          <w:sz w:val="20"/>
          <w:szCs w:val="20"/>
        </w:rPr>
        <w:t xml:space="preserve">16. Saeb, S., Lonini, L., Jayaraman, A., Mohr, D. C. &amp; Kording, K. P. The need to approximate the use-case in clinical machine learning. GigaScience 6, 1–9 (2017).</w:t>
      </w:r>
    </w:p>
    <w:p>
      <w:pPr>
        <w:spacing w:after="60" w:line="260"/>
        <w:ind w:left="500" w:hanging="500"/>
      </w:pPr>
      <w:r>
        <w:rPr>
          <w:sz w:val="20"/>
          <w:szCs w:val="20"/>
        </w:rPr>
        <w:t xml:space="preserve">17. Kapoor, S. &amp; Narayanan, A. Leakage and the reproducibility crisis in machine-learning-based science. Patterns 4, 100804 (2023).</w:t>
      </w:r>
    </w:p>
    <w:p>
      <w:pPr>
        <w:spacing w:after="60" w:line="260"/>
        <w:ind w:left="500" w:hanging="500"/>
      </w:pPr>
      <w:r>
        <w:rPr>
          <w:sz w:val="20"/>
          <w:szCs w:val="20"/>
        </w:rPr>
        <w:t xml:space="preserve">18. Li, R. et al. The perils and pitfalls of block design for EEG classification experiments. IEEE Trans. Pattern Anal. Mach. Intell. 43, 316–333 (2021).</w:t>
      </w:r>
    </w:p>
    <w:p>
      <w:pPr>
        <w:spacing w:after="60" w:line="260"/>
        <w:ind w:left="500" w:hanging="500"/>
      </w:pPr>
      <w:r>
        <w:rPr>
          <w:sz w:val="20"/>
          <w:szCs w:val="20"/>
        </w:rPr>
        <w:t xml:space="preserve">19. Li, Y., Wang, N., Shi, J., Hou, X. &amp; Liu, J. Adaptive batch normalization for practical domain adaptation. Pattern Recognit. 80, 109–117 (2018).</w:t>
      </w:r>
    </w:p>
    <w:p>
      <w:pPr>
        <w:spacing w:after="60" w:line="260"/>
        <w:ind w:left="500" w:hanging="500"/>
      </w:pPr>
      <w:r>
        <w:rPr>
          <w:sz w:val="20"/>
          <w:szCs w:val="20"/>
        </w:rPr>
        <w:t xml:space="preserve">20. Collins, G. S. et al. TRIPOD+AI statement: updated guidance for reporting clinical prediction models that use regression or machine learning methods. BMJ 385, e078378 (2024).</w:t>
      </w:r>
    </w:p>
    <w:p>
      <w:pPr>
        <w:spacing w:after="60" w:line="260"/>
        <w:ind w:left="500" w:hanging="500"/>
      </w:pPr>
      <w:r>
        <w:rPr>
          <w:sz w:val="20"/>
          <w:szCs w:val="20"/>
        </w:rPr>
        <w:t xml:space="preserve">21. Liu, W., Qiu, J.-L., Zheng, W.-L. &amp; Lu, B.-L. Comparing recognition performance and robustness of multimodal deep learning models for multimodal emotion recognition. IEEE Trans. Cogn. Dev. Syst. 14, 715–729 (2022).</w:t>
      </w:r>
    </w:p>
    <w:p>
      <w:pPr>
        <w:spacing w:after="60" w:line="260"/>
        <w:ind w:left="500" w:hanging="500"/>
      </w:pPr>
      <w:r>
        <w:rPr>
          <w:sz w:val="20"/>
          <w:szCs w:val="20"/>
        </w:rPr>
        <w:t xml:space="preserve">22. Chen, J. et al. A large finer-grained affective computing EEG dataset. Sci. Data 10, 740 (2023).</w:t>
      </w:r>
    </w:p>
    <w:p>
      <w:pPr>
        <w:spacing w:after="60" w:line="260"/>
        <w:ind w:left="500" w:hanging="500"/>
      </w:pPr>
      <w:r>
        <w:rPr>
          <w:sz w:val="20"/>
          <w:szCs w:val="20"/>
        </w:rPr>
        <w:t xml:space="preserve">23. Chen, T. &amp; Guestrin, C. XGBoost: a scalable tree boosting system. In Proc. 22nd ACM SIGKDD 785–794 (2016).</w:t>
      </w:r>
    </w:p>
    <w:p>
      <w:pPr>
        <w:spacing w:after="60" w:line="260"/>
        <w:ind w:left="500" w:hanging="500"/>
      </w:pPr>
      <w:r>
        <w:rPr>
          <w:sz w:val="20"/>
          <w:szCs w:val="20"/>
        </w:rPr>
        <w:t xml:space="preserve">24. Vaswani, A. et al. Attention is all you need. Adv. Neural Inf. Process. Syst. 30 (2017).</w:t>
      </w:r>
    </w:p>
    <w:p>
      <w:pPr>
        <w:spacing w:after="60" w:line="260"/>
        <w:ind w:left="500" w:hanging="500"/>
      </w:pPr>
      <w:r>
        <w:rPr>
          <w:sz w:val="20"/>
          <w:szCs w:val="20"/>
        </w:rPr>
        <w:t xml:space="preserve">25. Song, Y., Zheng, Q., Liu, B. &amp; Gao, X. EEG Conformer: convolutional transformer for EEG decoding and visualization. IEEE Trans. Neural Syst. Rehabil. Eng. 31, 710–719 (2023).</w:t>
      </w:r>
    </w:p>
    <w:p>
      <w:pPr>
        <w:spacing w:after="60" w:line="260"/>
        <w:ind w:left="500" w:hanging="500"/>
      </w:pPr>
      <w:r>
        <w:rPr>
          <w:sz w:val="20"/>
          <w:szCs w:val="20"/>
        </w:rPr>
        <w:t xml:space="preserve">26. Chen, T., Kornblith, S., Norouzi, M. &amp; Hinton, G. A simple framework for contrastive learning of visual representations. In Proc. ICML 1597–1607 (2020).</w:t>
      </w:r>
    </w:p>
    <w:p>
      <w:pPr>
        <w:spacing w:after="60" w:line="260"/>
        <w:ind w:left="500" w:hanging="500"/>
      </w:pPr>
      <w:r>
        <w:rPr>
          <w:sz w:val="20"/>
          <w:szCs w:val="20"/>
        </w:rPr>
        <w:t xml:space="preserve">27. Grill, J.-B. et al. Bootstrap your own latent: a new approach to self-supervised learning. Adv. Neural Inf. Process. Syst. 33, 21271–21284 (2020).</w:t>
      </w:r>
    </w:p>
    <w:p>
      <w:pPr>
        <w:spacing w:after="60" w:line="260"/>
        <w:ind w:left="500" w:hanging="500"/>
      </w:pPr>
      <w:r>
        <w:rPr>
          <w:sz w:val="20"/>
          <w:szCs w:val="20"/>
        </w:rPr>
        <w:t xml:space="preserve">28. Lee, D.-H. Pseudo-label: the simple and efficient semi-supervised learning method for deep neural networks. In ICML Workshop on Challenges in Representation Learning (2013).</w:t>
      </w:r>
    </w:p>
    <w:p>
      <w:pPr>
        <w:spacing w:after="60" w:line="260"/>
        <w:ind w:left="500" w:hanging="500"/>
      </w:pPr>
      <w:r>
        <w:rPr>
          <w:sz w:val="20"/>
          <w:szCs w:val="20"/>
        </w:rPr>
        <w:t xml:space="preserve">29. Berthelot, D. et al. MixMatch: a holistic approach to semi-supervised learning. Adv. Neural Inf. Process. Syst. 32 (2019).</w:t>
      </w:r>
    </w:p>
    <w:p>
      <w:pPr>
        <w:spacing w:after="60" w:line="260"/>
        <w:ind w:left="500" w:hanging="500"/>
      </w:pPr>
      <w:r>
        <w:rPr>
          <w:sz w:val="20"/>
          <w:szCs w:val="20"/>
        </w:rPr>
        <w:t xml:space="preserve">30. Hinton, G., Vinyals, O. &amp; Dean, J. Distilling the knowledge in a neural network. Preprint at https://arxiv.org/abs/1503.02531 (2015).</w:t>
      </w:r>
    </w:p>
    <w:p>
      <w:pPr>
        <w:spacing w:after="60" w:line="260"/>
        <w:ind w:left="500" w:hanging="500"/>
      </w:pPr>
      <w:r>
        <w:rPr>
          <w:sz w:val="20"/>
          <w:szCs w:val="20"/>
        </w:rPr>
        <w:t xml:space="preserve">31. van der Maaten, L. &amp; Hinton, G. Visualizing data using t-SNE. J. Mach. Learn. Res. 9, 2579–2605 (2008).</w:t>
      </w:r>
    </w:p>
    <w:p>
      <w:pPr>
        <w:spacing w:after="60" w:line="260"/>
        <w:ind w:left="500" w:hanging="500"/>
      </w:pPr>
      <w:r>
        <w:rPr>
          <w:sz w:val="20"/>
          <w:szCs w:val="20"/>
        </w:rPr>
        <w:t xml:space="preserve">32. Rousseeuw, P. J. Silhouettes: a graphical aid to the interpretation and validation of cluster analysis. J. Comput. Appl. Math. 20, 53–65 (1987).</w:t>
      </w:r>
    </w:p>
    <w:p>
      <w:pPr>
        <w:spacing w:after="60" w:line="260"/>
        <w:ind w:left="500" w:hanging="500"/>
      </w:pPr>
      <w:r>
        <w:rPr>
          <w:sz w:val="20"/>
          <w:szCs w:val="20"/>
        </w:rPr>
        <w:t xml:space="preserve">33. Davies, D. L. &amp; Bouldin, D. W. A cluster separation measure. IEEE Trans. Pattern Anal. Mach. Intell. 1, 224–227 (1979).</w:t>
      </w:r>
    </w:p>
    <w:p>
      <w:pPr>
        <w:spacing w:after="60" w:line="260"/>
        <w:ind w:left="500" w:hanging="500"/>
      </w:pPr>
      <w:r>
        <w:rPr>
          <w:sz w:val="20"/>
          <w:szCs w:val="20"/>
        </w:rPr>
        <w:t xml:space="preserve">34. Caliński, T. &amp; Harabasz, J. A dendrite method for cluster analysis. Commun. Stat. 3, 1–27 (1974).</w:t>
      </w:r>
    </w:p>
    <w:p>
      <w:pPr>
        <w:spacing w:after="60" w:line="260"/>
        <w:ind w:left="500" w:hanging="500"/>
      </w:pPr>
      <w:r>
        <w:rPr>
          <w:sz w:val="20"/>
          <w:szCs w:val="20"/>
        </w:rPr>
        <w:t xml:space="preserve">35. Lundberg, S. M. &amp; Lee, S.-I. A unified approach to interpreting model predictions. Adv. Neural Inf. Process. Syst. 30 (2017).</w:t>
      </w:r>
    </w:p>
    <w:p>
      <w:pPr>
        <w:spacing w:after="60" w:line="260"/>
        <w:ind w:left="500" w:hanging="500"/>
      </w:pPr>
      <w:r>
        <w:rPr>
          <w:sz w:val="20"/>
          <w:szCs w:val="20"/>
        </w:rPr>
        <w:t xml:space="preserve">36. Wilcoxon, F. Individual comparisons by ranking methods. Biom. Bull. 1, 80–83 (1945).</w:t>
      </w:r>
    </w:p>
    <w:p>
      <w:pPr>
        <w:spacing w:after="60" w:line="260"/>
        <w:ind w:left="500" w:hanging="500"/>
      </w:pPr>
      <w:r>
        <w:rPr>
          <w:sz w:val="20"/>
          <w:szCs w:val="20"/>
        </w:rPr>
        <w:t xml:space="preserve">37. Holm, S. A simple sequentially rejective multiple test procedure. Scand. J. Stat. 6, 65–70 (1979).</w:t>
      </w:r>
    </w:p>
    <w:p>
      <w:pPr>
        <w:pStyle w:val="Heading1"/>
        <w:spacing w:after="140" w:before="320"/>
      </w:pPr>
      <w:r>
        <w:t xml:space="preserve">Acknowledgements</w:t>
      </w:r>
    </w:p>
    <w:p>
      <w:pPr>
        <w:spacing w:after="140" w:line="360"/>
        <w:jc w:val="both"/>
      </w:pPr>
      <w:r>
        <w:rPr>
          <w:sz w:val="22"/>
          <w:szCs w:val="22"/>
        </w:rPr>
        <w:t xml:space="preserve">The authors thank the providers of the SEED-IV dataset and the Department of Computer Science and Engineering, East West University. No external funding was received </w:t>
      </w:r>
      <w:r>
        <w:rPr>
          <w:b/>
          <w:bCs/>
          <w:sz w:val="22"/>
          <w:szCs w:val="22"/>
          <w:highlight w:val="yellow"/>
          <w:highlightCs w:val="yellow"/>
        </w:rPr>
        <w:t xml:space="preserve">[confirm]</w:t>
      </w:r>
      <w:r>
        <w:rPr>
          <w:sz w:val="22"/>
          <w:szCs w:val="22"/>
        </w:rPr>
        <w:t xml:space="preserve">.</w:t>
      </w:r>
    </w:p>
    <w:p>
      <w:pPr>
        <w:pStyle w:val="Heading1"/>
        <w:spacing w:after="140" w:before="320"/>
      </w:pPr>
      <w:r>
        <w:t xml:space="preserve">Author contributions</w:t>
      </w:r>
    </w:p>
    <w:p>
      <w:pPr>
        <w:spacing w:after="140" w:line="360"/>
        <w:jc w:val="both"/>
      </w:pPr>
      <w:r>
        <w:rPr>
          <w:sz w:val="22"/>
          <w:szCs w:val="22"/>
        </w:rPr>
        <w:t xml:space="preserve">S.K. conceived the study, developed the models, ran the experiments and drafted the manuscript. O.B.Q. contributed to experiments, analysis and manuscript preparation. K.M.F.A.B. contributed to implementation, evaluation and documentation. R.R. contributed to experiments, reporting and software integration. A.W.R. supervised the project and critically revised the manuscript. All authors reviewed and approved the final manuscript.</w:t>
      </w:r>
    </w:p>
    <w:p>
      <w:pPr>
        <w:pStyle w:val="Heading1"/>
        <w:spacing w:after="140" w:before="320"/>
      </w:pPr>
      <w:r>
        <w:t xml:space="preserve">Competing interests</w:t>
      </w:r>
    </w:p>
    <w:p>
      <w:pPr>
        <w:spacing w:after="140" w:line="360"/>
        <w:jc w:val="both"/>
      </w:pPr>
      <w:r>
        <w:rPr>
          <w:sz w:val="22"/>
          <w:szCs w:val="22"/>
        </w:rPr>
        <w:t xml:space="preserve">The authors declare no competing interests.</w:t>
      </w:r>
    </w:p>
    <w:p>
      <w:pPr>
        <w:pStyle w:val="Heading1"/>
        <w:spacing w:after="140" w:before="320"/>
      </w:pPr>
      <w:r>
        <w:t xml:space="preserve">Additional information</w:t>
      </w:r>
    </w:p>
    <w:p>
      <w:pPr>
        <w:spacing w:after="140" w:line="360"/>
        <w:jc w:val="both"/>
      </w:pPr>
      <w:r>
        <w:rPr>
          <w:sz w:val="22"/>
          <w:szCs w:val="22"/>
        </w:rPr>
        <w:t xml:space="preserve">Supplementary Information accompanies this paper (below). Correspondence and requests for materials should be addressed to S.K.</w:t>
      </w:r>
    </w:p>
    <w:p>
      <w:r>
        <w:br w:type="page"/>
      </w:r>
    </w:p>
    <w:p>
      <w:pPr>
        <w:spacing w:after="200"/>
      </w:pPr>
      <w:r>
        <w:rPr>
          <w:b/>
          <w:bCs/>
          <w:sz w:val="32"/>
          <w:szCs w:val="32"/>
        </w:rPr>
        <w:t xml:space="preserve">Supplementary Information</w:t>
      </w:r>
    </w:p>
    <w:p>
      <w:pPr>
        <w:spacing w:after="140" w:line="360"/>
        <w:jc w:val="left"/>
      </w:pPr>
      <w:r>
        <w:rPr>
          <w:i/>
          <w:iCs/>
          <w:sz w:val="22"/>
          <w:szCs w:val="22"/>
        </w:rPr>
        <w:t xml:space="preserve">for "Few-shot calibration rather than architecture drives cross-participant EEG emotion recognition with full and six-electrode montages"</w:t>
      </w:r>
    </w:p>
    <w:p>
      <w:pPr>
        <w:keepNext/>
        <w:spacing w:after="100" w:before="200"/>
      </w:pPr>
      <w:r>
        <w:rPr>
          <w:b/>
          <w:bCs/>
          <w:sz w:val="18"/>
          <w:szCs w:val="18"/>
        </w:rPr>
        <w:t xml:space="preserve">Supplementary Table S1. Reported cross-participant results in the literature.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3226"/>
        <w:gridCol w:w="1800"/>
      </w:tblGrid>
      <w:tr>
        <w:trPr>
          <w:tblHeader/>
        </w:trPr>
        <w:tc>
          <w:tcPr>
            <w:tcW w:type="dxa" w:w="20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Study</w:t>
            </w:r>
          </w:p>
        </w:tc>
        <w:tc>
          <w:tcPr>
            <w:tcW w:type="dxa" w:w="20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Dataset(s)</w:t>
            </w:r>
          </w:p>
        </w:tc>
        <w:tc>
          <w:tcPr>
            <w:tcW w:type="dxa" w:w="32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Approach</w:t>
            </w:r>
          </w:p>
        </w:tc>
        <w:tc>
          <w:tcPr>
            <w:tcW w:type="dxa" w:w="18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Reported accuracy</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DGCNN</w:t>
            </w:r>
            <w:r>
              <w:rPr>
                <w:sz w:val="17"/>
                <w:szCs w:val="17"/>
                <w:vertAlign w:val="superscript"/>
              </w:rPr>
              <w:t xml:space="preserve">10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DREAMER</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Graph convolution with learned adjacency</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52.82%</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DAN</w:t>
            </w:r>
            <w:r>
              <w:rPr>
                <w:sz w:val="17"/>
                <w:szCs w:val="17"/>
                <w:vertAlign w:val="superscript"/>
              </w:rPr>
              <w:t xml:space="preserve">7</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Maximum mean discrepancy adaptation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58.87%</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BiDANN</w:t>
            </w:r>
            <w:r>
              <w:rPr>
                <w:sz w:val="17"/>
                <w:szCs w:val="17"/>
                <w:vertAlign w:val="superscript"/>
              </w:rPr>
              <w:t xml:space="preserve">8</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Bi-hemispheric adversarial adaptation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65.59%</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BiHDM</w:t>
            </w:r>
            <w:r>
              <w:rPr>
                <w:sz w:val="17"/>
                <w:szCs w:val="17"/>
                <w:vertAlign w:val="superscript"/>
              </w:rPr>
              <w:t xml:space="preserve">9</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 MPED</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Hemispheric discrepancy modelling</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69.03%</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RGNN</w:t>
            </w:r>
            <w:r>
              <w:rPr>
                <w:sz w:val="17"/>
                <w:szCs w:val="17"/>
                <w:vertAlign w:val="superscript"/>
              </w:rPr>
              <w:t xml:space="preserve">11</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Regularised graph neural network</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73.84%</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SOGNN</w:t>
            </w:r>
            <w:r>
              <w:rPr>
                <w:sz w:val="17"/>
                <w:szCs w:val="17"/>
                <w:vertAlign w:val="superscript"/>
              </w:rPr>
              <w:t xml:space="preserve">12</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Self-organised graph neural network</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75.27%</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AttGraph</w:t>
            </w:r>
            <w:r>
              <w:rPr>
                <w:sz w:val="17"/>
                <w:szCs w:val="17"/>
                <w:vertAlign w:val="superscript"/>
              </w:rPr>
              <w:t xml:space="preserve">14</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Multi-dimensional attention graph</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78.36%</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BFE-Net</w:t>
            </w:r>
            <w:r>
              <w:rPr>
                <w:sz w:val="17"/>
                <w:szCs w:val="17"/>
                <w:vertAlign w:val="superscript"/>
              </w:rPr>
              <w:t xml:space="preserve">13</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Frequency-band graph construction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79.81%</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SS-EMERGE</w:t>
            </w:r>
            <w:r>
              <w:rPr>
                <w:sz w:val="17"/>
                <w:szCs w:val="17"/>
                <w:vertAlign w:val="superscript"/>
              </w:rPr>
              <w:t xml:space="preserve">15</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Self-supervised graph attention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81.51%</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This study (CLISA-EWU)</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Two-stage contrastive pretraining</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48.5% zero-shot; 67.8% calibrated</w:t>
            </w:r>
          </w:p>
        </w:tc>
      </w:tr>
    </w:tbl>
    <w:p>
      <w:pPr>
        <w:spacing w:after="240" w:before="80"/>
      </w:pPr>
      <w:r>
        <w:rPr>
          <w:sz w:val="16"/>
          <w:szCs w:val="16"/>
        </w:rPr>
        <w:t xml:space="preserve">Values are as reported by the original studies and are not directly comparable: datasets, features, splitting, use of target-participant data and reporting unit (participant mean or best fold) differ. </w:t>
      </w:r>
      <w:r>
        <w:rPr>
          <w:b/>
          <w:bCs/>
          <w:sz w:val="16"/>
          <w:szCs w:val="16"/>
          <w:highlight w:val="yellow"/>
          <w:highlightCs w:val="yellow"/>
        </w:rPr>
        <w:t xml:space="preserve">[Verify every value against the original paper.]</w:t>
      </w:r>
    </w:p>
    <w:p>
      <w:pPr>
        <w:keepNext/>
        <w:spacing w:after="100" w:before="200"/>
      </w:pPr>
      <w:r>
        <w:rPr>
          <w:b/>
          <w:bCs/>
          <w:sz w:val="18"/>
          <w:szCs w:val="18"/>
        </w:rPr>
        <w:t xml:space="preserve">Supplementary Table S2. Clustering of raw features and CLISA-EWU embeddings.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900"/>
        <w:gridCol w:w="1400"/>
        <w:gridCol w:w="1600"/>
        <w:gridCol w:w="1500"/>
      </w:tblGrid>
      <w:tr>
        <w:trPr>
          <w:tblHeader/>
        </w:trPr>
        <w:tc>
          <w:tcPr>
            <w:tcW w:type="dxa" w:w="26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Feature space</w:t>
            </w:r>
          </w:p>
        </w:tc>
        <w:tc>
          <w:tcPr>
            <w:tcW w:type="dxa" w:w="19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Labels (clusters)</w:t>
            </w:r>
          </w:p>
        </w:tc>
        <w:tc>
          <w:tcPr>
            <w:tcW w:type="dxa" w:w="14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Silhouette</w:t>
            </w:r>
          </w:p>
        </w:tc>
        <w:tc>
          <w:tcPr>
            <w:tcW w:type="dxa" w:w="16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Davies–Bouldin</w:t>
            </w:r>
          </w:p>
        </w:tc>
        <w:tc>
          <w:tcPr>
            <w:tcW w:type="dxa" w:w="15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Calinski–Harabasz</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Raw, 62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Emotion (4)</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−0.017</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7.68</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511.8</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Raw, 62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Participant (15)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−0.034</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1.40 × 10</w:t>
            </w:r>
            <w:r>
              <w:rPr>
                <w:sz w:val="17"/>
                <w:szCs w:val="17"/>
                <w:vertAlign w:val="superscript"/>
              </w:rPr>
              <w:t xml:space="preserve">5</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&lt;0.1</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 62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Emotion (4)</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0.220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1.64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7309.0</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 62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Participant (15)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−0.098</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11.10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84.4</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Raw, six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Emotion (4)</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−0.013</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8.16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536.3</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Raw, six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Participant (15)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−0.045</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5.56 × 10</w:t>
            </w:r>
            <w:r>
              <w:rPr>
                <w:sz w:val="17"/>
                <w:szCs w:val="17"/>
                <w:vertAlign w:val="superscript"/>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&lt;0.1</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 six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Emotion (4)</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0.046</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3.75</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1434.1</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 six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Participant (15)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−0.057</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10.09</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159.6</w:t>
            </w:r>
          </w:p>
        </w:tc>
      </w:tr>
    </w:tbl>
    <w:p>
      <w:pPr>
        <w:spacing w:after="240" w:before="80"/>
      </w:pPr>
      <w:r>
        <w:rPr>
          <w:sz w:val="16"/>
          <w:szCs w:val="16"/>
        </w:rPr>
        <w:t xml:space="preserve">Higher silhouette and Calinski–Harabasz and lower Davies–Bouldin values indicate tighter clusters. CLISA-EWU embeddings were computed with the best-run model on all 15 participants (14 of whom were in its training set). The thesis draft printed the participant silhouettes of the CLISA-EWU embeddings with the wrong sign; corrected values are shown.</w:t>
      </w:r>
    </w:p>
    <w:p>
      <w:pPr>
        <w:keepNext/>
        <w:spacing w:after="100" w:before="200"/>
      </w:pPr>
      <w:r>
        <w:rPr>
          <w:b/>
          <w:bCs/>
          <w:sz w:val="18"/>
          <w:szCs w:val="18"/>
        </w:rPr>
        <w:t xml:space="preserve">Supplementary Table S3. Dataset, features and evaluation protocol.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Item</w:t>
            </w:r>
          </w:p>
        </w:tc>
        <w:tc>
          <w:tcPr>
            <w:tcW w:type="dxa" w:w="68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Setting</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Dataset</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SEED-IV, 15 participants, 3 sessions, 72 trials per participant</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Classes</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Neutral, sad, fear, happy (four-class)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Features</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Differential entropy (de_LDS), 4-s windows, five bands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Full montage</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62 electrodes, 310 features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Wearable montage</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FP1, FP2, F7, F8, T7, T8; 30 features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Split</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Leave-one-participant-out, 15 folds; 85/15 random train/validation split of the 14 training participants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Seeds</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 7, 21 (45 runs per model and montage)</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Protocols</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Zero-shot; few-shot calibration with 20 labelled target windows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Metrics</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Balanced accuracy (primary), macro F1 (secondary)</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Statistics</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Participant-level means, bootstrap 95% CI, paired Wilcoxon signed-rank tests, Holm correction</w:t>
            </w:r>
          </w:p>
        </w:tc>
      </w:tr>
    </w:tbl>
    <w:p>
      <w:pPr>
        <w:spacing w:after="200"/>
      </w:pPr>
    </w:p>
    <w:p>
      <w:pPr>
        <w:keepNext/>
        <w:spacing w:after="100" w:before="200"/>
      </w:pPr>
      <w:r>
        <w:rPr>
          <w:b/>
          <w:bCs/>
          <w:sz w:val="18"/>
          <w:szCs w:val="18"/>
        </w:rPr>
        <w:t xml:space="preserve">Supplementary Table S4. Model families.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426"/>
        <w:gridCol w:w="2400"/>
      </w:tblGrid>
      <w:tr>
        <w:trPr>
          <w:tblHeader/>
        </w:trPr>
        <w:tc>
          <w:tcPr>
            <w:tcW w:type="dxa" w:w="22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Family</w:t>
            </w:r>
          </w:p>
        </w:tc>
        <w:tc>
          <w:tcPr>
            <w:tcW w:type="dxa" w:w="44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Models</w:t>
            </w:r>
          </w:p>
        </w:tc>
        <w:tc>
          <w:tcPr>
            <w:tcW w:type="dxa" w:w="24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Role</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Classical machine learning</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LDA, SVM, random forest, extra trees, gradient boosting, XGBoost, k-NN, logistic regression, naive Bayes, MLP (scikit-learn)</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Non-deep baselines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Supervised deep learning</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Two-layer perceptron, deep perceptron, LSTM, GRU, Conv1D, transformer, EEG Conformer, channel-dropout transformer</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Supervised neural baselines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Domain-adversarial</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DANN</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Removes training-participant information</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Self-supervised</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SimCLR, BYOL</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Contrastive and bootstrap pretraining</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Semi-supervised</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PseudoLabel (transductive), MixMatch</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Exploits unlabelled data</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Distillation</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DANCE teacher (62) → student (6)</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Secondary reference</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Model of interest</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Two-stage contrastive pretraining and supervised fine-tuning</w:t>
            </w:r>
          </w:p>
        </w:tc>
      </w:tr>
    </w:tbl>
    <w:p>
      <w:pPr>
        <w:spacing w:after="200"/>
      </w:pPr>
    </w:p>
    <w:p>
      <w:pPr>
        <w:keepNext/>
        <w:spacing w:before="160"/>
        <w:jc w:val="center"/>
      </w:pPr>
      <w:r>
        <w:drawing>
          <wp:inline distT="0" distB="0" distL="0" distR="0">
            <wp:extent cx="5715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14575"/>
                    </a:xfrm>
                    <a:prstGeom prst="rect">
                      <a:avLst/>
                    </a:prstGeom>
                  </pic:spPr>
                </pic:pic>
              </a:graphicData>
            </a:graphic>
          </wp:inline>
        </w:drawing>
      </w:r>
    </w:p>
    <w:p>
      <w:pPr>
        <w:spacing w:after="280" w:line="260"/>
        <w:jc w:val="both"/>
      </w:pPr>
      <w:r>
        <w:rPr>
          <w:b/>
          <w:bCs/>
          <w:sz w:val="18"/>
          <w:szCs w:val="18"/>
        </w:rPr>
        <w:t xml:space="preserve">Supplementary Figure S1. Classical machine-learning baselines.</w:t>
      </w:r>
      <w:r>
        <w:rPr>
          <w:sz w:val="18"/>
          <w:szCs w:val="18"/>
        </w:rPr>
        <w:t xml:space="preserve"> </w:t>
      </w:r>
      <w:r>
        <w:rPr>
          <w:sz w:val="18"/>
          <w:szCs w:val="18"/>
        </w:rPr>
        <w:t xml:space="preserve">Mean macro F1 over 45 leave-one-participant-out runs with (a) 62 electrodes and (b) six electrodes.</w:t>
      </w:r>
    </w:p>
    <w:p>
      <w:pPr>
        <w:keepNext/>
        <w:spacing w:before="160"/>
        <w:jc w:val="center"/>
      </w:pPr>
      <w:r>
        <w:drawing>
          <wp:inline distT="0" distB="0" distL="0" distR="0">
            <wp:extent cx="571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124325"/>
                    </a:xfrm>
                    <a:prstGeom prst="rect">
                      <a:avLst/>
                    </a:prstGeom>
                  </pic:spPr>
                </pic:pic>
              </a:graphicData>
            </a:graphic>
          </wp:inline>
        </w:drawing>
      </w:r>
    </w:p>
    <w:p>
      <w:pPr>
        <w:spacing w:after="280" w:line="260"/>
        <w:jc w:val="both"/>
      </w:pPr>
      <w:r>
        <w:rPr>
          <w:b/>
          <w:bCs/>
          <w:sz w:val="18"/>
          <w:szCs w:val="18"/>
        </w:rPr>
        <w:t xml:space="preserve">Supplementary Figure S2. Run-level distribution of calibrated CLISA-EWU performance.</w:t>
      </w:r>
      <w:r>
        <w:rPr>
          <w:sz w:val="18"/>
          <w:szCs w:val="18"/>
        </w:rPr>
        <w:t xml:space="preserve"> </w:t>
      </w:r>
      <w:r>
        <w:rPr>
          <w:sz w:val="18"/>
          <w:szCs w:val="18"/>
        </w:rPr>
        <w:t xml:space="preserve">Balanced accuracy for each of the 45 runs (15 held-out participants × 3 seeds) with 62 and six electrodes. Horizontal lines mark the mean and range; stars mark the best single runs (85.35% and 78.63%), shown for completeness and not as estimates of expected performance.</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09925"/>
                    </a:xfrm>
                    <a:prstGeom prst="rect">
                      <a:avLst/>
                    </a:prstGeom>
                  </pic:spPr>
                </pic:pic>
              </a:graphicData>
            </a:graphic>
          </wp:inline>
        </w:drawing>
      </w:r>
    </w:p>
    <w:p>
      <w:pPr>
        <w:spacing w:after="280" w:line="260"/>
        <w:jc w:val="both"/>
      </w:pPr>
      <w:r>
        <w:rPr>
          <w:b/>
          <w:bCs/>
          <w:sz w:val="18"/>
          <w:szCs w:val="18"/>
        </w:rPr>
        <w:t xml:space="preserve">Supplementary Figure S3. Fine-tuning convergence.</w:t>
      </w:r>
      <w:r>
        <w:rPr>
          <w:sz w:val="18"/>
          <w:szCs w:val="18"/>
        </w:rPr>
        <w:t xml:space="preserve"> </w:t>
      </w:r>
      <w:r>
        <w:rPr>
          <w:sz w:val="18"/>
          <w:szCs w:val="18"/>
        </w:rPr>
        <w:t xml:space="preserve">Training and validation cross-entropy for CLISA-EWU with 62 electrodes in the best run (participant 15, seed 7); early stopping at epoch 29. Validation loss lies below training loss because dropout is active during training and validation windows share participants and trials with training windows.</w:t>
      </w:r>
    </w:p>
    <w:p>
      <w:pPr>
        <w:keepNext/>
        <w:spacing w:before="160"/>
        <w:jc w:val="center"/>
      </w:pPr>
      <w:r>
        <w:drawing>
          <wp:inline distT="0" distB="0" distL="0" distR="0">
            <wp:extent cx="5715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24100"/>
                    </a:xfrm>
                    <a:prstGeom prst="rect">
                      <a:avLst/>
                    </a:prstGeom>
                  </pic:spPr>
                </pic:pic>
              </a:graphicData>
            </a:graphic>
          </wp:inline>
        </w:drawing>
      </w:r>
    </w:p>
    <w:p>
      <w:pPr>
        <w:spacing w:after="280" w:line="260"/>
        <w:jc w:val="both"/>
      </w:pPr>
      <w:r>
        <w:rPr>
          <w:b/>
          <w:bCs/>
          <w:sz w:val="18"/>
          <w:szCs w:val="18"/>
        </w:rPr>
        <w:t xml:space="preserve">Supplementary Figure S4. Confusion matrices of CLISA-EWU in the best single runs.</w:t>
      </w:r>
      <w:r>
        <w:rPr>
          <w:sz w:val="18"/>
          <w:szCs w:val="18"/>
        </w:rPr>
        <w:t xml:space="preserve"> </w:t>
      </w:r>
      <w:r>
        <w:rPr>
          <w:sz w:val="18"/>
          <w:szCs w:val="18"/>
        </w:rPr>
        <w:t xml:space="preserve">Row-normalised percentages after calibration with (a) 62 electrodes (participant 15, seed 7) and (b) six electrodes (participant 7, seed 1). Best runs illustrate class-level behaviour and are not representative; mean per-class recall over all runs is reported in the text.</w:t>
      </w:r>
    </w:p>
    <w:p>
      <w:pPr>
        <w:keepNext/>
        <w:spacing w:before="160"/>
        <w:jc w:val="center"/>
      </w:pPr>
      <w:r>
        <w:drawing>
          <wp:inline distT="0" distB="0" distL="0" distR="0">
            <wp:extent cx="57150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714875"/>
                    </a:xfrm>
                    <a:prstGeom prst="rect">
                      <a:avLst/>
                    </a:prstGeom>
                  </pic:spPr>
                </pic:pic>
              </a:graphicData>
            </a:graphic>
          </wp:inline>
        </w:drawing>
      </w:r>
    </w:p>
    <w:p>
      <w:pPr>
        <w:spacing w:after="280" w:line="260"/>
        <w:jc w:val="both"/>
      </w:pPr>
      <w:r>
        <w:rPr>
          <w:b/>
          <w:bCs/>
          <w:sz w:val="18"/>
          <w:szCs w:val="18"/>
        </w:rPr>
        <w:t xml:space="preserve">Supplementary Figure S5. Representation geometry.</w:t>
      </w:r>
      <w:r>
        <w:rPr>
          <w:sz w:val="18"/>
          <w:szCs w:val="18"/>
        </w:rPr>
        <w:t xml:space="preserve"> </w:t>
      </w:r>
      <w:r>
        <w:rPr>
          <w:sz w:val="18"/>
          <w:szCs w:val="18"/>
        </w:rPr>
        <w:t xml:space="preserve">t-SNE projections of raw 62-electrode differential-entropy features (top) and CLISA-EWU 62-electrode encoder embeddings (bottom), coloured by participant (left) and emotion (right). The embedding model is from the best run, and 14 of the 15 participants contributed labelled training data to it, so the emotion structure should be interpreted qualitatively.</w:t>
      </w:r>
    </w:p>
    <w:p>
      <w:pPr>
        <w:keepNext/>
        <w:spacing w:before="160"/>
        <w:jc w:val="center"/>
      </w:pPr>
      <w:r>
        <w:drawing>
          <wp:inline distT="0" distB="0" distL="0" distR="0">
            <wp:extent cx="5715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86125"/>
                    </a:xfrm>
                    <a:prstGeom prst="rect">
                      <a:avLst/>
                    </a:prstGeom>
                  </pic:spPr>
                </pic:pic>
              </a:graphicData>
            </a:graphic>
          </wp:inline>
        </w:drawing>
      </w:r>
    </w:p>
    <w:p>
      <w:pPr>
        <w:spacing w:after="280" w:line="260"/>
        <w:jc w:val="both"/>
      </w:pPr>
      <w:r>
        <w:rPr>
          <w:b/>
          <w:bCs/>
          <w:sz w:val="18"/>
          <w:szCs w:val="18"/>
        </w:rPr>
        <w:t xml:space="preserve">Supplementary Figure S6. Ablation of the DANCE teacher–student framework (secondary comparator).</w:t>
      </w:r>
      <w:r>
        <w:rPr>
          <w:sz w:val="18"/>
          <w:szCs w:val="18"/>
        </w:rPr>
        <w:t xml:space="preserve"> </w:t>
      </w:r>
      <w:r>
        <w:rPr>
          <w:sz w:val="18"/>
          <w:szCs w:val="18"/>
        </w:rPr>
        <w:t xml:space="preserve">Calibrated balanced accuracy (mean ± s.d. over three seeds) of 11 DANCE variants under a reduced protocol. Four variants produced identical values, indicating that their options were not applied; this ablation is incomplete and does not concern CLISA-EWU. </w:t>
      </w:r>
      <w:r>
        <w:rPr>
          <w:b/>
          <w:bCs/>
          <w:sz w:val="18"/>
          <w:szCs w:val="18"/>
          <w:highlight w:val="yellow"/>
          <w:highlightCs w:val="yellow"/>
        </w:rPr>
        <w:t xml:space="preserve">[Re-run before submission.]</w:t>
      </w:r>
    </w:p>
    <w:p>
      <w:pPr>
        <w:keepNext/>
        <w:spacing w:before="160"/>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90925"/>
                    </a:xfrm>
                    <a:prstGeom prst="rect">
                      <a:avLst/>
                    </a:prstGeom>
                  </pic:spPr>
                </pic:pic>
              </a:graphicData>
            </a:graphic>
          </wp:inline>
        </w:drawing>
      </w:r>
    </w:p>
    <w:p>
      <w:pPr>
        <w:spacing w:after="280" w:line="260"/>
        <w:jc w:val="both"/>
      </w:pPr>
      <w:r>
        <w:rPr>
          <w:b/>
          <w:bCs/>
          <w:sz w:val="18"/>
          <w:szCs w:val="18"/>
        </w:rPr>
        <w:t xml:space="preserve">Supplementary Figure S7. NeuroSync dashboard prototype.</w:t>
      </w:r>
      <w:r>
        <w:rPr>
          <w:sz w:val="18"/>
          <w:szCs w:val="18"/>
        </w:rPr>
        <w:t xml:space="preserve"> </w:t>
      </w:r>
      <w:r>
        <w:rPr>
          <w:sz w:val="18"/>
          <w:szCs w:val="18"/>
        </w:rPr>
        <w:t xml:space="preserve">Signal traces, frequency-band activity, predicted state with confidence and class probabilities produced by the trained model during a synthetic replay session. Software demonstration only; not validated on live wearable recordings.</w:t>
      </w:r>
    </w:p>
    <w:p>
      <w:pPr>
        <w:keepNext/>
        <w:spacing w:before="160"/>
        <w:jc w:val="center"/>
      </w:pPr>
      <w:r>
        <w:drawing>
          <wp:inline distT="0" distB="0" distL="0" distR="0">
            <wp:extent cx="5715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133600"/>
                    </a:xfrm>
                    <a:prstGeom prst="rect">
                      <a:avLst/>
                    </a:prstGeom>
                  </pic:spPr>
                </pic:pic>
              </a:graphicData>
            </a:graphic>
          </wp:inline>
        </w:drawing>
      </w:r>
    </w:p>
    <w:p>
      <w:pPr>
        <w:spacing w:after="280" w:line="260"/>
        <w:jc w:val="both"/>
      </w:pPr>
      <w:r>
        <w:rPr>
          <w:b/>
          <w:bCs/>
          <w:sz w:val="18"/>
          <w:szCs w:val="18"/>
        </w:rPr>
        <w:t xml:space="preserve">Supplementary Figure S8. SEED-IV differential-entropy dataset composition.</w:t>
      </w:r>
      <w:r>
        <w:rPr>
          <w:sz w:val="18"/>
          <w:szCs w:val="18"/>
        </w:rPr>
        <w:t xml:space="preserve"> </w:t>
      </w:r>
      <w:r>
        <w:rPr>
          <w:sz w:val="18"/>
          <w:szCs w:val="18"/>
        </w:rPr>
        <w:t xml:space="preserve">(a) Windows per participant (2505 each; 37,575 in total). (b) Windows per emotion class.</w:t>
      </w:r>
    </w:p>
    <w:p>
      <w:pPr>
        <w:keepNext/>
        <w:spacing w:before="160"/>
        <w:jc w:val="center"/>
      </w:pPr>
      <w:r>
        <w:drawing>
          <wp:inline distT="0" distB="0" distL="0" distR="0">
            <wp:extent cx="5715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410200"/>
                    </a:xfrm>
                    <a:prstGeom prst="rect">
                      <a:avLst/>
                    </a:prstGeom>
                  </pic:spPr>
                </pic:pic>
              </a:graphicData>
            </a:graphic>
          </wp:inline>
        </w:drawing>
      </w:r>
    </w:p>
    <w:p>
      <w:pPr>
        <w:spacing w:after="280" w:line="260"/>
        <w:jc w:val="both"/>
      </w:pPr>
      <w:r>
        <w:rPr>
          <w:b/>
          <w:bCs/>
          <w:sz w:val="18"/>
          <w:szCs w:val="18"/>
        </w:rPr>
        <w:t xml:space="preserve">Supplementary Figure S9. Composition of one leave-one-participant-out fold.</w:t>
      </w:r>
      <w:r>
        <w:rPr>
          <w:sz w:val="18"/>
          <w:szCs w:val="18"/>
        </w:rPr>
        <w:t xml:space="preserve"> </w:t>
      </w:r>
      <w:r>
        <w:rPr>
          <w:sz w:val="18"/>
          <w:szCs w:val="18"/>
        </w:rPr>
        <w:t xml:space="preserve">Windows of the 14 training participants were split at random into training (79.3% of all windows) and validation (14.0%) sets; all 2505 windows of the held-out participant (6.7%) formed the test set. Validation windows share participants and trials with training windows.</w:t>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400"/>
      </w:pPr>
    </w:lvl>
  </w:abstractNum>
  <w:abstractNum w:abstractNumId="4" w15:restartNumberingAfterBreak="0">
    <w:multiLevelType w:val="hybridMultilevel"/>
    <w:lvl w:ilvl="0" w15:tentative="1">
      <w:start w:val="1"/>
      <w:numFmt w:val="decimal"/>
      <w:lvlText w:val="%1."/>
      <w:lvlJc w:val="left"/>
      <w:pPr>
        <w:ind w:left="540" w:hanging="400"/>
      </w:pPr>
    </w:lvl>
  </w:abstractNum>
  <w:abstractNum w:abstractNumId="5" w15:restartNumberingAfterBreak="0">
    <w:multiLevelType w:val="hybridMultilevel"/>
    <w:lvl w:ilvl="0" w15:tentative="1">
      <w:start w:val="1"/>
      <w:numFmt w:val="decimal"/>
      <w:lvlText w:val="%1."/>
      <w:lvlJc w:val="left"/>
      <w:pPr>
        <w:ind w:left="540" w:hanging="400"/>
      </w:pPr>
    </w:lvl>
  </w:abstractNum>
  <w:abstractNum w:abstractNumId="6" w15:restartNumberingAfterBreak="0">
    <w:multiLevelType w:val="hybridMultilevel"/>
    <w:lvl w:ilvl="0" w15:tentative="1">
      <w:start w:val="1"/>
      <w:numFmt w:val="decimal"/>
      <w:lvlText w:val="%1."/>
      <w:lvlJc w:val="left"/>
      <w:pPr>
        <w:ind w:left="540" w:hanging="400"/>
      </w:pPr>
    </w:lvl>
  </w:abstractNum>
  <w:abstractNum w:abstractNumId="7" w15:restartNumberingAfterBreak="0">
    <w:multiLevelType w:val="hybridMultilevel"/>
    <w:lvl w:ilvl="0" w15:tentative="1">
      <w:start w:val="1"/>
      <w:numFmt w:val="decimal"/>
      <w:lvlText w:val="%1."/>
      <w:lvlJc w:val="left"/>
      <w:pPr>
        <w:ind w:left="540" w:hanging="4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28"/>
      <w:szCs w:val="28"/>
    </w:rPr>
  </w:style>
  <w:style w:type="paragraph" w:styleId="Heading2">
    <w:name w:val="Heading 2"/>
    <w:basedOn w:val="Normal"/>
    <w:next w:val="Normal"/>
    <w:qFormat/>
    <w:pPr>
      <w:outlineLvl w:val="1"/>
    </w:pPr>
    <w:rPr>
      <w:rFonts w:ascii="Arial" w:cs="Arial" w:eastAsia="Arial" w:hAnsi="Arial"/>
      <w:b/>
      <w:bCs/>
      <w:i w:val="false"/>
      <w:iCs w:val="fals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ae6b4fa13e4f46ec5cfabbe67226bc5194c608.png"/><Relationship Id="rId9" Type="http://schemas.openxmlformats.org/officeDocument/2006/relationships/image" Target="media/f36b4619027ced6ec1e4a20f05f15836582e860e.png"/><Relationship Id="rId10" Type="http://schemas.openxmlformats.org/officeDocument/2006/relationships/image" Target="media/3cdab014cf38c8490a691843f277d8ffddf0958f.png"/><Relationship Id="rId11" Type="http://schemas.openxmlformats.org/officeDocument/2006/relationships/image" Target="media/fbb8b9144a5724b8a688469ccf8b57f19e3b98b0.png"/><Relationship Id="rId12" Type="http://schemas.openxmlformats.org/officeDocument/2006/relationships/image" Target="media/21c0f5ba0eff0521cc5168816c0a44a4676347e3.png"/><Relationship Id="rId13" Type="http://schemas.openxmlformats.org/officeDocument/2006/relationships/image" Target="media/6ffb34f5267bf66662651db84563b4e668e79568.png"/><Relationship Id="rId14" Type="http://schemas.openxmlformats.org/officeDocument/2006/relationships/image" Target="media/ca2b23d20dbda095d20879fb9656a6534ca757e5.png"/><Relationship Id="rId15" Type="http://schemas.openxmlformats.org/officeDocument/2006/relationships/image" Target="media/abe21e8fab2ed98eec99d8ab166b03c16b11e530.png"/><Relationship Id="rId16" Type="http://schemas.openxmlformats.org/officeDocument/2006/relationships/image" Target="media/f2575f97774f119ca360212a91cbd027e590e4b1.png"/><Relationship Id="rId17" Type="http://schemas.openxmlformats.org/officeDocument/2006/relationships/image" Target="media/5fce12c3cd647dc4bcc2ea7ffc5734e4703084dd.png"/><Relationship Id="rId18" Type="http://schemas.openxmlformats.org/officeDocument/2006/relationships/image" Target="media/1d0fa16b0275beb6bbb4945efe84230c328fd7c2.png"/><Relationship Id="rId19" Type="http://schemas.openxmlformats.org/officeDocument/2006/relationships/image" Target="media/2e4cb16486e6eb7009e4015d49186ba6f31a2d12.png"/><Relationship Id="rId20" Type="http://schemas.openxmlformats.org/officeDocument/2006/relationships/image" Target="media/a254136901e401f13a6b6825cd6915b9c892b333.png"/><Relationship Id="rId21" Type="http://schemas.openxmlformats.org/officeDocument/2006/relationships/image" Target="media/71f4fc081665d3b6d1b1aa0cda97f5cc771bc491.png"/><Relationship Id="rId22" Type="http://schemas.openxmlformats.org/officeDocument/2006/relationships/image" Target="media/85fe1a42ebf47dea17247082b580f08c6299f0de.png"/><Relationship Id="rId23" Type="http://schemas.openxmlformats.org/officeDocument/2006/relationships/image" Target="media/b9caee8e68a2b73aa5fe03b4458459cbe7169cee.png"/><Relationship Id="rId24" Type="http://schemas.openxmlformats.org/officeDocument/2006/relationships/image" Target="media/8198ff0176d880b92b699cd92ae6009e41d5158b.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2026-10-18T06:51:09.182Z</dcterms:created>
  <dcterms:modified xsi:type="dcterms:W3CDTF">2026-10-18T06:51:09.183Z</dcterms:modified>
</cp:coreProperties>
</file>

<file path=docProps/custom.xml><?xml version="1.0" encoding="utf-8"?>
<Properties xmlns="http://schemas.openxmlformats.org/officeDocument/2006/custom-properties" xmlns:vt="http://schemas.openxmlformats.org/officeDocument/2006/docPropsVTypes"/>
</file>