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00" w:line="276" w:lineRule="auto"/>
        <w:ind w:left="1700"/>
      </w:pPr>
      <w:r>
        <w:rPr>
          <w:rFonts w:ascii="Arial" w:cs="Arial" w:eastAsia="Arial" w:hAnsi="Arial"/>
          <w:b/>
          <w:bCs/>
          <w:sz w:val="46"/>
          <w:szCs w:val="46"/>
        </w:rPr>
        <w:t xml:space="preserve">Few-shot calibration rather than architecture drives cross-participant EEG emotion recognition with full and six-electrode montages</w:t>
      </w:r>
    </w:p>
    <w:p>
      <w:pPr>
        <w:spacing w:after="200"/>
        <w:ind w:left="1700"/>
      </w:pPr>
      <w:r>
        <w:rPr>
          <w:rFonts w:ascii="Arial" w:cs="Arial" w:eastAsia="Arial" w:hAnsi="Arial"/>
          <w:b/>
          <w:bCs/>
          <w:sz w:val="21"/>
          <w:szCs w:val="21"/>
        </w:rPr>
        <w:t xml:space="preserve">Saif Khan</w:t>
      </w:r>
      <w:r>
        <w:rPr>
          <w:rFonts w:ascii="Arial" w:cs="Arial" w:eastAsia="Arial" w:hAnsi="Arial"/>
          <w:b/>
          <w:bCs/>
          <w:sz w:val="21"/>
          <w:szCs w:val="21"/>
          <w:vertAlign w:val="superscript"/>
        </w:rPr>
        <w:t xml:space="preserve">✉</w:t>
      </w:r>
      <w:r>
        <w:rPr>
          <w:rFonts w:ascii="Arial" w:cs="Arial" w:eastAsia="Arial" w:hAnsi="Arial"/>
          <w:b/>
          <w:bCs/>
          <w:sz w:val="21"/>
          <w:szCs w:val="21"/>
        </w:rPr>
        <w:t xml:space="preserve">, Osama Bin Qashem, K. M. Fahim A. Bari, Rafid Rahman &amp; Ahmed Wasif Reza</w:t>
      </w:r>
    </w:p>
    <w:p>
      <w:pPr>
        <w:spacing w:after="60"/>
        <w:ind w:left="1700"/>
      </w:pPr>
      <w:r>
        <w:rPr>
          <w:rFonts w:ascii="Arial" w:cs="Arial" w:eastAsia="Arial" w:hAnsi="Arial"/>
          <w:b/>
          <w:bCs/>
          <w:sz w:val="26"/>
          <w:szCs w:val="26"/>
        </w:rPr>
        <w:t xml:space="preserve">Abstract</w:t>
      </w:r>
    </w:p>
    <w:p>
      <w:pPr>
        <w:spacing w:after="200" w:line="252"/>
        <w:ind w:left="1700"/>
        <w:jc w:val="both"/>
      </w:pPr>
      <w:r>
        <w:rPr>
          <w:rFonts w:ascii="Arial" w:cs="Arial" w:eastAsia="Arial" w:hAnsi="Arial"/>
          <w:b/>
          <w:bCs/>
          <w:sz w:val="19"/>
          <w:szCs w:val="19"/>
        </w:rPr>
        <w:t xml:space="preserve">Electroencephalography (EEG) emotion decoders must work for people whose data were never used in training, ideally on headsets with few electrodes, yet published cross-participant results differ in whether test-participant data are used. We benchmarked 26 models, including a two-stage contrastive model (CLISA-EWU), on four-class SEED-IV emotion recognition with repeated leave-one-participant-out validation (15 participants, three seeds) using 62 electrodes and a six-electrode frontal–temporal subset, scoring each held-out participant zero-shot and after calibration with 20 labelled windows (about 80 s). Zero-shot accuracy was modest (best 0.485, 95% CI 0.428–0.542; chance 0.25), and CLISA-EWU did not differ from a two-layer perceptron. Calibration added 16–21 percentage points to contrastive, adversarial and pseudo-label models but at most 2 points to supervised networks. Calibrated CLISA-EWU reached an accuracy of 0.678 (0.641–0.718; Cohen’s κ = 0.57, MCC = 0.58) with 62 electrodes and 0.620 (0.590–0.648; κ = 0.49) with six, retaining 91.4% of full-montage performance, and calibration made the model ranking consistent across participants (Kendall’s W 0.35 → 0.79). Brief user calibration, rather than architecture, explained most of the measurable gain.</w:t>
      </w:r>
    </w:p>
    <w:p>
      <w:pPr>
        <w:spacing w:after="280"/>
        <w:ind w:left="1700"/>
      </w:pPr>
      <w:r>
        <w:rPr>
          <w:rFonts w:ascii="Arial" w:cs="Arial" w:eastAsia="Arial" w:hAnsi="Arial"/>
          <w:b/>
          <w:bCs/>
          <w:sz w:val="24"/>
          <w:szCs w:val="24"/>
        </w:rPr>
        <w:t xml:space="preserve">Keywords  </w:t>
      </w:r>
      <w:r>
        <w:rPr>
          <w:rFonts w:ascii="Arial" w:cs="Arial" w:eastAsia="Arial" w:hAnsi="Arial"/>
          <w:sz w:val="19"/>
          <w:szCs w:val="19"/>
        </w:rPr>
        <w:t xml:space="preserve">EEG emotion recognition, cross-subject generalization, contrastive learning, few-shot calibration, wearable EEG, leave-one-subject-out validation</w:t>
      </w:r>
    </w:p>
    <w:p>
      <w:pPr>
        <w:spacing w:after="200"/>
        <w:ind w:left="1700"/>
      </w:pPr>
      <w:r>
        <w:rPr>
          <w:rFonts w:ascii="Arial" w:cs="Arial" w:eastAsia="Arial" w:hAnsi="Arial"/>
          <w:sz w:val="16"/>
          <w:szCs w:val="16"/>
          <w:highlight w:val="yellow"/>
          <w:highlightCs w:val="yellow"/>
        </w:rPr>
        <w:t xml:space="preserve">[Drafting note – delete before submission: yellow text marks pending results or facts to verify. All values are recomputed at the participant level from the per-fold results in the project repository.]</w:t>
      </w:r>
    </w:p>
    <w:p>
      <w:pPr>
        <w:pStyle w:val="Heading1"/>
        <w:keepNext/>
        <w:spacing w:after="40" w:before="300"/>
        <w:ind w:left="1700"/>
      </w:pPr>
      <w:r>
        <w:rPr>
          <w:rFonts w:ascii="Arial" w:cs="Arial" w:eastAsia="Arial" w:hAnsi="Arial"/>
          <w:b/>
          <w:bCs/>
          <w:color w:val="000000"/>
          <w:sz w:val="26"/>
          <w:szCs w:val="26"/>
        </w:rPr>
        <w:t xml:space="preserve">1 Introduction</w:t>
      </w:r>
    </w:p>
    <w:p>
      <w:pPr>
        <w:spacing w:after="0" w:line="252"/>
        <w:ind w:left="1700" w:firstLine="0"/>
        <w:jc w:val="both"/>
      </w:pPr>
      <w:r>
        <w:rPr>
          <w:rFonts w:ascii="Times New Roman" w:cs="Times New Roman" w:eastAsia="Times New Roman" w:hAnsi="Times New Roman"/>
          <w:sz w:val="20"/>
          <w:szCs w:val="20"/>
        </w:rPr>
        <w:t xml:space="preserve">Emotional states shape attention, decision making and mental health, and objective markers of emotion could support adaptive human–computer interaction, neurofeedback and digital mental-health monitoring</w:t>
      </w:r>
      <w:r>
        <w:rPr>
          <w:rFonts w:ascii="Times New Roman" w:cs="Times New Roman" w:eastAsia="Times New Roman" w:hAnsi="Times New Roman"/>
          <w:color w:val="1F4E9A"/>
          <w:sz w:val="20"/>
          <w:szCs w:val="20"/>
          <w:vertAlign w:val="superscript"/>
        </w:rPr>
        <w:t xml:space="preserve">1,2</w:t>
      </w:r>
      <w:r>
        <w:rPr>
          <w:rFonts w:ascii="Times New Roman" w:cs="Times New Roman" w:eastAsia="Times New Roman" w:hAnsi="Times New Roman"/>
          <w:sz w:val="20"/>
          <w:szCs w:val="20"/>
        </w:rPr>
        <w:t xml:space="preserve">. Electroencephalography (EEG) is portable, inexpensive and has millisecond resolution, which makes it the most practical neural signal for everyday affect sensing</w:t>
      </w:r>
      <w:r>
        <w:rPr>
          <w:rFonts w:ascii="Times New Roman" w:cs="Times New Roman" w:eastAsia="Times New Roman" w:hAnsi="Times New Roman"/>
          <w:color w:val="1F4E9A"/>
          <w:sz w:val="20"/>
          <w:szCs w:val="20"/>
          <w:vertAlign w:val="superscript"/>
        </w:rPr>
        <w:t xml:space="preserve">3,4</w:t>
      </w:r>
      <w:r>
        <w:rPr>
          <w:rFonts w:ascii="Times New Roman" w:cs="Times New Roman" w:eastAsia="Times New Roman" w:hAnsi="Times New Roman"/>
          <w:sz w:val="20"/>
          <w:szCs w:val="20"/>
        </w:rPr>
        <w:t xml:space="preserve">. Two obstacles separate laboratory results from use. First, a deployed decoder must work for a person whose data were never used in training, but EEG responses to the same stimulus differ markedly between individuals because of anatomy, electrode contact, baseline rhythms and appraisal</w:t>
      </w:r>
      <w:r>
        <w:rPr>
          <w:rFonts w:ascii="Times New Roman" w:cs="Times New Roman" w:eastAsia="Times New Roman" w:hAnsi="Times New Roman"/>
          <w:color w:val="1F4E9A"/>
          <w:sz w:val="20"/>
          <w:szCs w:val="20"/>
          <w:vertAlign w:val="superscript"/>
        </w:rPr>
        <w:t xml:space="preserve">5–7</w:t>
      </w:r>
      <w:r>
        <w:rPr>
          <w:rFonts w:ascii="Times New Roman" w:cs="Times New Roman" w:eastAsia="Times New Roman" w:hAnsi="Times New Roman"/>
          <w:sz w:val="20"/>
          <w:szCs w:val="20"/>
        </w:rPr>
        <w:t xml:space="preserve">. Second, research datasets are recorded with 32–64 electrodes, whereas wearable headsets carry far fewer.</w:t>
      </w:r>
    </w:p>
    <w:p>
      <w:pPr>
        <w:spacing w:after="0" w:line="252"/>
        <w:ind w:left="1700" w:firstLine="240"/>
        <w:jc w:val="both"/>
      </w:pPr>
      <w:r>
        <w:rPr>
          <w:rFonts w:ascii="Times New Roman" w:cs="Times New Roman" w:eastAsia="Times New Roman" w:hAnsi="Times New Roman"/>
          <w:sz w:val="20"/>
          <w:szCs w:val="20"/>
        </w:rPr>
        <w:t xml:space="preserve">Many methods target the first obstacle, including domain-adversarial networks</w:t>
      </w:r>
      <w:r>
        <w:rPr>
          <w:rFonts w:ascii="Times New Roman" w:cs="Times New Roman" w:eastAsia="Times New Roman" w:hAnsi="Times New Roman"/>
          <w:color w:val="1F4E9A"/>
          <w:sz w:val="20"/>
          <w:szCs w:val="20"/>
          <w:vertAlign w:val="superscript"/>
        </w:rPr>
        <w:t xml:space="preserve">6,8</w:t>
      </w:r>
      <w:r>
        <w:rPr>
          <w:rFonts w:ascii="Times New Roman" w:cs="Times New Roman" w:eastAsia="Times New Roman" w:hAnsi="Times New Roman"/>
          <w:sz w:val="20"/>
          <w:szCs w:val="20"/>
        </w:rPr>
        <w:t xml:space="preserve">, hemispheric-asymmetry models</w:t>
      </w:r>
      <w:r>
        <w:rPr>
          <w:rFonts w:ascii="Times New Roman" w:cs="Times New Roman" w:eastAsia="Times New Roman" w:hAnsi="Times New Roman"/>
          <w:color w:val="1F4E9A"/>
          <w:sz w:val="20"/>
          <w:szCs w:val="20"/>
          <w:vertAlign w:val="superscript"/>
        </w:rPr>
        <w:t xml:space="preserve">9</w:t>
      </w:r>
      <w:r>
        <w:rPr>
          <w:rFonts w:ascii="Times New Roman" w:cs="Times New Roman" w:eastAsia="Times New Roman" w:hAnsi="Times New Roman"/>
          <w:sz w:val="20"/>
          <w:szCs w:val="20"/>
        </w:rPr>
        <w:t xml:space="preserve">, graph neural networks</w:t>
      </w:r>
      <w:r>
        <w:rPr>
          <w:rFonts w:ascii="Times New Roman" w:cs="Times New Roman" w:eastAsia="Times New Roman" w:hAnsi="Times New Roman"/>
          <w:color w:val="1F4E9A"/>
          <w:sz w:val="20"/>
          <w:szCs w:val="20"/>
          <w:vertAlign w:val="superscript"/>
        </w:rPr>
        <w:t xml:space="preserve">10–12</w:t>
      </w:r>
      <w:r>
        <w:rPr>
          <w:rFonts w:ascii="Times New Roman" w:cs="Times New Roman" w:eastAsia="Times New Roman" w:hAnsi="Times New Roman"/>
          <w:sz w:val="20"/>
          <w:szCs w:val="20"/>
        </w:rPr>
        <w:t xml:space="preserve"> and contrastive learning designed to make representations participant-invariant</w:t>
      </w:r>
      <w:r>
        <w:rPr>
          <w:rFonts w:ascii="Times New Roman" w:cs="Times New Roman" w:eastAsia="Times New Roman" w:hAnsi="Times New Roman"/>
          <w:color w:val="1F4E9A"/>
          <w:sz w:val="20"/>
          <w:szCs w:val="20"/>
          <w:vertAlign w:val="superscript"/>
        </w:rPr>
        <w:t xml:space="preserve">5</w:t>
      </w:r>
      <w:r>
        <w:rPr>
          <w:rFonts w:ascii="Times New Roman" w:cs="Times New Roman" w:eastAsia="Times New Roman" w:hAnsi="Times New Roman"/>
          <w:sz w:val="20"/>
          <w:szCs w:val="20"/>
        </w:rPr>
        <w:t xml:space="preserve">. Reported cross-participant accuracies on SEED and SEED-IV range from about 53% to above 80%</w:t>
      </w:r>
      <w:r>
        <w:rPr>
          <w:rFonts w:ascii="Times New Roman" w:cs="Times New Roman" w:eastAsia="Times New Roman" w:hAnsi="Times New Roman"/>
          <w:color w:val="1F4E9A"/>
          <w:sz w:val="20"/>
          <w:szCs w:val="20"/>
          <w:vertAlign w:val="superscript"/>
        </w:rPr>
        <w:t xml:space="preserve">7–15</w:t>
      </w:r>
      <w:r>
        <w:rPr>
          <w:rFonts w:ascii="Times New Roman" w:cs="Times New Roman" w:eastAsia="Times New Roman" w:hAnsi="Times New Roman"/>
          <w:sz w:val="20"/>
          <w:szCs w:val="20"/>
        </w:rPr>
        <w:t xml:space="preserve">. These values are rarely comparable. Studies differ in whether unlabelled EEG from the test participant is used during training (transductive adaptation), whether a few labelled test-participant samples are used to adapt the model (calibration), how windows are split, and whether the reported figure is a mean over participants or a best fold. Splitting matters because features from adjacent windows of the same trial are strongly correlated, so any overlap between fitting and testing data inflates accuracy</w:t>
      </w:r>
      <w:r>
        <w:rPr>
          <w:rFonts w:ascii="Times New Roman" w:cs="Times New Roman" w:eastAsia="Times New Roman" w:hAnsi="Times New Roman"/>
          <w:color w:val="1F4E9A"/>
          <w:sz w:val="20"/>
          <w:szCs w:val="20"/>
          <w:vertAlign w:val="superscript"/>
        </w:rPr>
        <w:t xml:space="preserve">16–18</w:t>
      </w:r>
      <w:r>
        <w:rPr>
          <w:rFonts w:ascii="Times New Roman" w:cs="Times New Roman" w:eastAsia="Times New Roman" w:hAnsi="Times New Roman"/>
          <w:sz w:val="20"/>
          <w:szCs w:val="20"/>
        </w:rPr>
        <w:t xml:space="preserve">.</w:t>
      </w:r>
    </w:p>
    <w:p>
      <w:pPr>
        <w:spacing w:after="0" w:line="252"/>
        <w:ind w:left="1700" w:firstLine="240"/>
        <w:jc w:val="both"/>
      </w:pPr>
      <w:r>
        <w:rPr>
          <w:rFonts w:ascii="Times New Roman" w:cs="Times New Roman" w:eastAsia="Times New Roman" w:hAnsi="Times New Roman"/>
          <w:sz w:val="20"/>
          <w:szCs w:val="20"/>
        </w:rPr>
        <w:t xml:space="preserve">We therefore asked three questions under a single, fully reported protocol. How well do classical, supervised, self-supervised, adversarial and semi-supervised models decode four emotions in unseen participants without any target data? How much does brief labelled calibration change this picture, and does the effect depend on the training objective? How much performance is lost when a 62-electrode research montage is reduced to six frontal–temporal electrodes compatible with a headband-style wearable?</w:t>
      </w:r>
    </w:p>
    <w:p>
      <w:pPr>
        <w:spacing w:after="0" w:line="252"/>
        <w:ind w:left="1700" w:firstLine="240"/>
        <w:jc w:val="both"/>
      </w:pPr>
      <w:r>
        <w:rPr>
          <w:rFonts w:ascii="Times New Roman" w:cs="Times New Roman" w:eastAsia="Times New Roman" w:hAnsi="Times New Roman"/>
          <w:sz w:val="20"/>
          <w:szCs w:val="20"/>
        </w:rPr>
        <w:t xml:space="preserve">This work addresses these gaps through a controlled benchmark with a rigorous, participant-level evaluation. The main contributions of this research are:</w:t>
      </w:r>
    </w:p>
    <w:p>
      <w:pPr>
        <w:pStyle w:val="ListParagraph"/>
        <w:numPr>
          <w:ilvl w:val="0"/>
          <w:numId w:val="2"/>
        </w:numPr>
        <w:spacing w:after="60" w:before="60" w:line="252"/>
        <w:jc w:val="both"/>
      </w:pPr>
      <w:r>
        <w:rPr>
          <w:rFonts w:ascii="Times New Roman" w:cs="Times New Roman" w:eastAsia="Times New Roman" w:hAnsi="Times New Roman"/>
          <w:i/>
          <w:iCs/>
          <w:sz w:val="20"/>
          <w:szCs w:val="20"/>
        </w:rPr>
        <w:t xml:space="preserve">Controlled cross-participant benchmark</w:t>
      </w:r>
      <w:r>
        <w:rPr>
          <w:rFonts w:ascii="Times New Roman" w:cs="Times New Roman" w:eastAsia="Times New Roman" w:hAnsi="Times New Roman"/>
          <w:sz w:val="20"/>
          <w:szCs w:val="20"/>
        </w:rPr>
        <w:t xml:space="preserve">: Ten classical and 16 deep models are evaluated on SEED-IV under the same repeated leave-one-participant-out protocol, giving 45 runs per model and electrode montage, with all per-fold outputs released.</w:t>
      </w:r>
    </w:p>
    <w:p>
      <w:pPr>
        <w:pStyle w:val="ListParagraph"/>
        <w:numPr>
          <w:ilvl w:val="0"/>
          <w:numId w:val="2"/>
        </w:numPr>
        <w:spacing w:after="60" w:before="60" w:line="252"/>
        <w:jc w:val="both"/>
      </w:pPr>
      <w:r>
        <w:rPr>
          <w:rFonts w:ascii="Times New Roman" w:cs="Times New Roman" w:eastAsia="Times New Roman" w:hAnsi="Times New Roman"/>
          <w:i/>
          <w:iCs/>
          <w:sz w:val="20"/>
          <w:szCs w:val="20"/>
        </w:rPr>
        <w:t xml:space="preserve">Zero-shot versus calibrated evaluation</w:t>
      </w:r>
      <w:r>
        <w:rPr>
          <w:rFonts w:ascii="Times New Roman" w:cs="Times New Roman" w:eastAsia="Times New Roman" w:hAnsi="Times New Roman"/>
          <w:sz w:val="20"/>
          <w:szCs w:val="20"/>
        </w:rPr>
        <w:t xml:space="preserve">: Every held-out participant is scored without any of their data and after calibration with 20 labelled windows, showing that the advantage of representation-learning objectives appears mainly after calibration.</w:t>
      </w:r>
    </w:p>
    <w:p>
      <w:pPr>
        <w:pStyle w:val="ListParagraph"/>
        <w:numPr>
          <w:ilvl w:val="0"/>
          <w:numId w:val="2"/>
        </w:numPr>
        <w:spacing w:after="60" w:before="60" w:line="252"/>
        <w:jc w:val="both"/>
      </w:pPr>
      <w:r>
        <w:rPr>
          <w:rFonts w:ascii="Times New Roman" w:cs="Times New Roman" w:eastAsia="Times New Roman" w:hAnsi="Times New Roman"/>
          <w:i/>
          <w:iCs/>
          <w:sz w:val="20"/>
          <w:szCs w:val="20"/>
        </w:rPr>
        <w:t xml:space="preserve">Wearable electrode reduction</w:t>
      </w:r>
      <w:r>
        <w:rPr>
          <w:rFonts w:ascii="Times New Roman" w:cs="Times New Roman" w:eastAsia="Times New Roman" w:hAnsi="Times New Roman"/>
          <w:sz w:val="20"/>
          <w:szCs w:val="20"/>
        </w:rPr>
        <w:t xml:space="preserve">: The same models are evaluated with a 62-electrode montage and a six-electrode frontal–temporal subset (FP1, FP2, F7, F8, T7, T8), and the retained performance is quantified at the participant level.</w:t>
      </w:r>
    </w:p>
    <w:p>
      <w:pPr>
        <w:pStyle w:val="ListParagraph"/>
        <w:numPr>
          <w:ilvl w:val="0"/>
          <w:numId w:val="2"/>
        </w:numPr>
        <w:spacing w:after="60" w:before="60" w:line="252"/>
        <w:jc w:val="both"/>
      </w:pPr>
      <w:r>
        <w:rPr>
          <w:rFonts w:ascii="Times New Roman" w:cs="Times New Roman" w:eastAsia="Times New Roman" w:hAnsi="Times New Roman"/>
          <w:i/>
          <w:iCs/>
          <w:sz w:val="20"/>
          <w:szCs w:val="20"/>
        </w:rPr>
        <w:t xml:space="preserve">Rigorous statistics and interpretation</w:t>
      </w:r>
      <w:r>
        <w:rPr>
          <w:rFonts w:ascii="Times New Roman" w:cs="Times New Roman" w:eastAsia="Times New Roman" w:hAnsi="Times New Roman"/>
          <w:sz w:val="20"/>
          <w:szCs w:val="20"/>
        </w:rPr>
        <w:t xml:space="preserve">: Participant-level bootstrap confidence intervals and paired Wilcoxon tests with Holm correction are complemented by class-level, representation-geometry and attribution analyses and a software prototype for wearable use.</w:t>
      </w:r>
    </w:p>
    <w:p>
      <w:pPr>
        <w:spacing w:after="0" w:line="252"/>
        <w:ind w:left="1700" w:firstLine="240"/>
        <w:jc w:val="both"/>
      </w:pPr>
      <w:r>
        <w:rPr>
          <w:rFonts w:ascii="Times New Roman" w:cs="Times New Roman" w:eastAsia="Times New Roman" w:hAnsi="Times New Roman"/>
          <w:sz w:val="20"/>
          <w:szCs w:val="20"/>
        </w:rPr>
        <w:t xml:space="preserve">The remainder of this paper is organized as follows. Section 2 reviews the literature on cross-participant and reduced-electrode EEG emotion recognition. Section 3 describes the materials and methods: the data, preprocessing and augmentation, the evaluation protocol, the baseline and proposed models, the training algorithm, the evaluation metrics and the statistical analysis. Section 4 presents and discusses the results, including their implications and limitations. Section 5 concludes the paper and outlines future work.</w:t>
      </w:r>
    </w:p>
    <w:p>
      <w:pPr>
        <w:pStyle w:val="Heading1"/>
        <w:keepNext/>
        <w:spacing w:after="40" w:before="300"/>
        <w:ind w:left="1700"/>
      </w:pPr>
      <w:r>
        <w:rPr>
          <w:rFonts w:ascii="Arial" w:cs="Arial" w:eastAsia="Arial" w:hAnsi="Arial"/>
          <w:b/>
          <w:bCs/>
          <w:color w:val="000000"/>
          <w:sz w:val="26"/>
          <w:szCs w:val="26"/>
        </w:rPr>
        <w:t xml:space="preserve">2 Literature Review</w:t>
      </w:r>
    </w:p>
    <w:p>
      <w:pPr>
        <w:spacing w:after="0" w:line="252"/>
        <w:ind w:left="1700" w:firstLine="0"/>
        <w:jc w:val="both"/>
      </w:pPr>
      <w:r>
        <w:rPr>
          <w:rFonts w:ascii="Times New Roman" w:cs="Times New Roman" w:eastAsia="Times New Roman" w:hAnsi="Times New Roman"/>
          <w:sz w:val="20"/>
          <w:szCs w:val="20"/>
        </w:rPr>
        <w:t xml:space="preserve">This section reviews the work on which the present study builds. It moves from the psychological and neurophysiological basis of emotion recognition, through datasets, features and deep architectures, to the transfer-learning, self-supervised and evaluation practices that determine whether a decoder generalises to new people, and finally to reduced-electrode and wearable EEG. Reported results are summarised in Table 1, the main method families are contrasted in Table 2, and the section closes with the research gap addressed by this study.</w:t>
      </w:r>
    </w:p>
    <w:p>
      <w:pPr>
        <w:spacing w:before="20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34"/>
        <w:gridCol w:w="2131"/>
        <w:gridCol w:w="3148"/>
        <w:gridCol w:w="2133"/>
      </w:tblGrid>
      <w:tr>
        <w:trPr>
          <w:tblHeader/>
        </w:trPr>
        <w:tc>
          <w:tcPr>
            <w:tcW w:type="dxa" w:w="2334"/>
            <w:tcBorders>
              <w:top w:val="single" w:color="000000" w:sz="4"/>
              <w:left w:val="single" w:color="000000" w:sz="4"/>
              <w:bottom w:val="single" w:color="000000" w:sz="4"/>
              <w:right w:val="single" w:color="000000" w:sz="4"/>
            </w:tcBorders>
            <w:shd w:fill="BFBFBF" w:color="auto" w:val="clear"/>
            <w:tcMar>
              <w:top w:type="dxa" w:w="25"/>
              <w:left w:type="dxa" w:w="50"/>
              <w:bottom w:type="dxa" w:w="25"/>
              <w:right w:type="dxa" w:w="50"/>
            </w:tcMar>
          </w:tcPr>
          <w:p>
            <w:r>
              <w:rPr>
                <w:rFonts w:ascii="Times New Roman" w:cs="Times New Roman" w:eastAsia="Times New Roman" w:hAnsi="Times New Roman"/>
                <w:b/>
                <w:bCs/>
                <w:sz w:val="17"/>
                <w:szCs w:val="17"/>
              </w:rPr>
              <w:t xml:space="preserve">Study</w:t>
            </w:r>
          </w:p>
        </w:tc>
        <w:tc>
          <w:tcPr>
            <w:tcW w:type="dxa" w:w="2131"/>
            <w:tcBorders>
              <w:top w:val="single" w:color="000000" w:sz="4"/>
              <w:left w:val="single" w:color="000000" w:sz="4"/>
              <w:bottom w:val="single" w:color="000000" w:sz="4"/>
              <w:right w:val="single" w:color="000000" w:sz="4"/>
            </w:tcBorders>
            <w:shd w:fill="BFBFBF" w:color="auto" w:val="clear"/>
            <w:tcMar>
              <w:top w:type="dxa" w:w="25"/>
              <w:left w:type="dxa" w:w="50"/>
              <w:bottom w:type="dxa" w:w="25"/>
              <w:right w:type="dxa" w:w="50"/>
            </w:tcMar>
          </w:tcPr>
          <w:p>
            <w:r>
              <w:rPr>
                <w:rFonts w:ascii="Times New Roman" w:cs="Times New Roman" w:eastAsia="Times New Roman" w:hAnsi="Times New Roman"/>
                <w:b/>
                <w:bCs/>
                <w:sz w:val="17"/>
                <w:szCs w:val="17"/>
              </w:rPr>
              <w:t xml:space="preserve">Dataset(s)</w:t>
            </w:r>
          </w:p>
        </w:tc>
        <w:tc>
          <w:tcPr>
            <w:tcW w:type="dxa" w:w="3148"/>
            <w:tcBorders>
              <w:top w:val="single" w:color="000000" w:sz="4"/>
              <w:left w:val="single" w:color="000000" w:sz="4"/>
              <w:bottom w:val="single" w:color="000000" w:sz="4"/>
              <w:right w:val="single" w:color="000000" w:sz="4"/>
            </w:tcBorders>
            <w:shd w:fill="BFBFBF" w:color="auto" w:val="clear"/>
            <w:tcMar>
              <w:top w:type="dxa" w:w="25"/>
              <w:left w:type="dxa" w:w="50"/>
              <w:bottom w:type="dxa" w:w="25"/>
              <w:right w:type="dxa" w:w="50"/>
            </w:tcMar>
          </w:tcPr>
          <w:p>
            <w:r>
              <w:rPr>
                <w:rFonts w:ascii="Times New Roman" w:cs="Times New Roman" w:eastAsia="Times New Roman" w:hAnsi="Times New Roman"/>
                <w:b/>
                <w:bCs/>
                <w:sz w:val="17"/>
                <w:szCs w:val="17"/>
              </w:rPr>
              <w:t xml:space="preserve">Approach</w:t>
            </w:r>
          </w:p>
        </w:tc>
        <w:tc>
          <w:tcPr>
            <w:tcW w:type="dxa" w:w="2133"/>
            <w:tcBorders>
              <w:top w:val="single" w:color="000000" w:sz="4"/>
              <w:left w:val="single" w:color="000000" w:sz="4"/>
              <w:bottom w:val="single" w:color="000000" w:sz="4"/>
              <w:right w:val="single" w:color="000000" w:sz="4"/>
            </w:tcBorders>
            <w:shd w:fill="BFBFBF" w:color="auto" w:val="clear"/>
            <w:tcMar>
              <w:top w:type="dxa" w:w="25"/>
              <w:left w:type="dxa" w:w="50"/>
              <w:bottom w:type="dxa" w:w="25"/>
              <w:right w:type="dxa" w:w="50"/>
            </w:tcMar>
          </w:tcPr>
          <w:p>
            <w:r>
              <w:rPr>
                <w:rFonts w:ascii="Times New Roman" w:cs="Times New Roman" w:eastAsia="Times New Roman" w:hAnsi="Times New Roman"/>
                <w:b/>
                <w:bCs/>
                <w:sz w:val="17"/>
                <w:szCs w:val="17"/>
              </w:rPr>
              <w:t xml:space="preserve">Reported accuracy</w:t>
            </w:r>
          </w:p>
        </w:tc>
      </w:tr>
      <w:tr>
        <w:trPr>
          <w:cantSplit/>
        </w:trPr>
        <w:tc>
          <w:tcPr>
            <w:tcW w:type="dxa" w:w="2334"/>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7"/>
                <w:szCs w:val="17"/>
              </w:rPr>
              <w:t xml:space="preserve">DGCNN</w:t>
            </w:r>
            <w:r>
              <w:rPr>
                <w:rFonts w:ascii="Times New Roman" w:cs="Times New Roman" w:eastAsia="Times New Roman" w:hAnsi="Times New Roman"/>
                <w:color w:val="1F4E9A"/>
                <w:sz w:val="17"/>
                <w:szCs w:val="17"/>
                <w:vertAlign w:val="superscript"/>
              </w:rPr>
              <w:t xml:space="preserve">10</w:t>
            </w:r>
          </w:p>
        </w:tc>
        <w:tc>
          <w:tcPr>
            <w:tcW w:type="dxa" w:w="2131"/>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7"/>
                <w:szCs w:val="17"/>
              </w:rPr>
              <w:t xml:space="preserve">SEED, DREAMER</w:t>
            </w:r>
          </w:p>
        </w:tc>
        <w:tc>
          <w:tcPr>
            <w:tcW w:type="dxa" w:w="3148"/>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7"/>
                <w:szCs w:val="17"/>
              </w:rPr>
              <w:t xml:space="preserve">Graph convolution with learned adjacency</w:t>
            </w:r>
          </w:p>
        </w:tc>
        <w:tc>
          <w:tcPr>
            <w:tcW w:type="dxa" w:w="2133"/>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7"/>
                <w:szCs w:val="17"/>
              </w:rPr>
              <w:t xml:space="preserve">52.82%</w:t>
            </w:r>
          </w:p>
        </w:tc>
      </w:tr>
      <w:tr>
        <w:trPr>
          <w:cantSplit/>
        </w:trPr>
        <w:tc>
          <w:tcPr>
            <w:tcW w:type="dxa" w:w="2334"/>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7"/>
                <w:szCs w:val="17"/>
              </w:rPr>
              <w:t xml:space="preserve">DAN</w:t>
            </w:r>
            <w:r>
              <w:rPr>
                <w:rFonts w:ascii="Times New Roman" w:cs="Times New Roman" w:eastAsia="Times New Roman" w:hAnsi="Times New Roman"/>
                <w:color w:val="1F4E9A"/>
                <w:sz w:val="17"/>
                <w:szCs w:val="17"/>
                <w:vertAlign w:val="superscript"/>
              </w:rPr>
              <w:t xml:space="preserve">7</w:t>
            </w:r>
          </w:p>
        </w:tc>
        <w:tc>
          <w:tcPr>
            <w:tcW w:type="dxa" w:w="2131"/>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7"/>
                <w:szCs w:val="17"/>
              </w:rPr>
              <w:t xml:space="preserve">SEED, SEED-IV</w:t>
            </w:r>
          </w:p>
        </w:tc>
        <w:tc>
          <w:tcPr>
            <w:tcW w:type="dxa" w:w="3148"/>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7"/>
                <w:szCs w:val="17"/>
              </w:rPr>
              <w:t xml:space="preserve">Maximum mean discrepancy adaptation</w:t>
            </w:r>
          </w:p>
        </w:tc>
        <w:tc>
          <w:tcPr>
            <w:tcW w:type="dxa" w:w="2133"/>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7"/>
                <w:szCs w:val="17"/>
              </w:rPr>
              <w:t xml:space="preserve">58.87%</w:t>
            </w:r>
          </w:p>
        </w:tc>
      </w:tr>
      <w:tr>
        <w:trPr>
          <w:cantSplit/>
        </w:trPr>
        <w:tc>
          <w:tcPr>
            <w:tcW w:type="dxa" w:w="2334"/>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7"/>
                <w:szCs w:val="17"/>
              </w:rPr>
              <w:t xml:space="preserve">BiDANN</w:t>
            </w:r>
            <w:r>
              <w:rPr>
                <w:rFonts w:ascii="Times New Roman" w:cs="Times New Roman" w:eastAsia="Times New Roman" w:hAnsi="Times New Roman"/>
                <w:color w:val="1F4E9A"/>
                <w:sz w:val="17"/>
                <w:szCs w:val="17"/>
                <w:vertAlign w:val="superscript"/>
              </w:rPr>
              <w:t xml:space="preserve">8</w:t>
            </w:r>
          </w:p>
        </w:tc>
        <w:tc>
          <w:tcPr>
            <w:tcW w:type="dxa" w:w="2131"/>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7"/>
                <w:szCs w:val="17"/>
              </w:rPr>
              <w:t xml:space="preserve">SEED, SEED-IV</w:t>
            </w:r>
          </w:p>
        </w:tc>
        <w:tc>
          <w:tcPr>
            <w:tcW w:type="dxa" w:w="3148"/>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7"/>
                <w:szCs w:val="17"/>
              </w:rPr>
              <w:t xml:space="preserve">Bi-hemispheric adversarial adaptation</w:t>
            </w:r>
          </w:p>
        </w:tc>
        <w:tc>
          <w:tcPr>
            <w:tcW w:type="dxa" w:w="2133"/>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7"/>
                <w:szCs w:val="17"/>
              </w:rPr>
              <w:t xml:space="preserve">65.59%</w:t>
            </w:r>
          </w:p>
        </w:tc>
      </w:tr>
      <w:tr>
        <w:trPr>
          <w:cantSplit/>
        </w:trPr>
        <w:tc>
          <w:tcPr>
            <w:tcW w:type="dxa" w:w="2334"/>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7"/>
                <w:szCs w:val="17"/>
              </w:rPr>
              <w:t xml:space="preserve">BiHDM</w:t>
            </w:r>
            <w:r>
              <w:rPr>
                <w:rFonts w:ascii="Times New Roman" w:cs="Times New Roman" w:eastAsia="Times New Roman" w:hAnsi="Times New Roman"/>
                <w:color w:val="1F4E9A"/>
                <w:sz w:val="17"/>
                <w:szCs w:val="17"/>
                <w:vertAlign w:val="superscript"/>
              </w:rPr>
              <w:t xml:space="preserve">9</w:t>
            </w:r>
          </w:p>
        </w:tc>
        <w:tc>
          <w:tcPr>
            <w:tcW w:type="dxa" w:w="2131"/>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7"/>
                <w:szCs w:val="17"/>
              </w:rPr>
              <w:t xml:space="preserve">SEED, SEED-IV, MPED</w:t>
            </w:r>
          </w:p>
        </w:tc>
        <w:tc>
          <w:tcPr>
            <w:tcW w:type="dxa" w:w="3148"/>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7"/>
                <w:szCs w:val="17"/>
              </w:rPr>
              <w:t xml:space="preserve">Hemispheric discrepancy modelling</w:t>
            </w:r>
          </w:p>
        </w:tc>
        <w:tc>
          <w:tcPr>
            <w:tcW w:type="dxa" w:w="2133"/>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7"/>
                <w:szCs w:val="17"/>
              </w:rPr>
              <w:t xml:space="preserve">69.03%</w:t>
            </w:r>
          </w:p>
        </w:tc>
      </w:tr>
      <w:tr>
        <w:trPr>
          <w:cantSplit/>
        </w:trPr>
        <w:tc>
          <w:tcPr>
            <w:tcW w:type="dxa" w:w="2334"/>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7"/>
                <w:szCs w:val="17"/>
              </w:rPr>
              <w:t xml:space="preserve">RGNN</w:t>
            </w:r>
            <w:r>
              <w:rPr>
                <w:rFonts w:ascii="Times New Roman" w:cs="Times New Roman" w:eastAsia="Times New Roman" w:hAnsi="Times New Roman"/>
                <w:color w:val="1F4E9A"/>
                <w:sz w:val="17"/>
                <w:szCs w:val="17"/>
                <w:vertAlign w:val="superscript"/>
              </w:rPr>
              <w:t xml:space="preserve">11</w:t>
            </w:r>
          </w:p>
        </w:tc>
        <w:tc>
          <w:tcPr>
            <w:tcW w:type="dxa" w:w="2131"/>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7"/>
                <w:szCs w:val="17"/>
              </w:rPr>
              <w:t xml:space="preserve">SEED, SEED-IV</w:t>
            </w:r>
          </w:p>
        </w:tc>
        <w:tc>
          <w:tcPr>
            <w:tcW w:type="dxa" w:w="3148"/>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7"/>
                <w:szCs w:val="17"/>
              </w:rPr>
              <w:t xml:space="preserve">Regularised graph neural network</w:t>
            </w:r>
          </w:p>
        </w:tc>
        <w:tc>
          <w:tcPr>
            <w:tcW w:type="dxa" w:w="2133"/>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7"/>
                <w:szCs w:val="17"/>
              </w:rPr>
              <w:t xml:space="preserve">73.84%</w:t>
            </w:r>
          </w:p>
        </w:tc>
      </w:tr>
      <w:tr>
        <w:trPr>
          <w:cantSplit/>
        </w:trPr>
        <w:tc>
          <w:tcPr>
            <w:tcW w:type="dxa" w:w="2334"/>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7"/>
                <w:szCs w:val="17"/>
              </w:rPr>
              <w:t xml:space="preserve">SOGNN</w:t>
            </w:r>
            <w:r>
              <w:rPr>
                <w:rFonts w:ascii="Times New Roman" w:cs="Times New Roman" w:eastAsia="Times New Roman" w:hAnsi="Times New Roman"/>
                <w:color w:val="1F4E9A"/>
                <w:sz w:val="17"/>
                <w:szCs w:val="17"/>
                <w:vertAlign w:val="superscript"/>
              </w:rPr>
              <w:t xml:space="preserve">12</w:t>
            </w:r>
          </w:p>
        </w:tc>
        <w:tc>
          <w:tcPr>
            <w:tcW w:type="dxa" w:w="2131"/>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7"/>
                <w:szCs w:val="17"/>
              </w:rPr>
              <w:t xml:space="preserve">SEED, SEED-IV</w:t>
            </w:r>
          </w:p>
        </w:tc>
        <w:tc>
          <w:tcPr>
            <w:tcW w:type="dxa" w:w="3148"/>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7"/>
                <w:szCs w:val="17"/>
              </w:rPr>
              <w:t xml:space="preserve">Self-organised graph neural network</w:t>
            </w:r>
          </w:p>
        </w:tc>
        <w:tc>
          <w:tcPr>
            <w:tcW w:type="dxa" w:w="2133"/>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7"/>
                <w:szCs w:val="17"/>
              </w:rPr>
              <w:t xml:space="preserve">75.27%</w:t>
            </w:r>
          </w:p>
        </w:tc>
      </w:tr>
      <w:tr>
        <w:trPr>
          <w:cantSplit/>
        </w:trPr>
        <w:tc>
          <w:tcPr>
            <w:tcW w:type="dxa" w:w="2334"/>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7"/>
                <w:szCs w:val="17"/>
              </w:rPr>
              <w:t xml:space="preserve">AttGraph</w:t>
            </w:r>
            <w:r>
              <w:rPr>
                <w:rFonts w:ascii="Times New Roman" w:cs="Times New Roman" w:eastAsia="Times New Roman" w:hAnsi="Times New Roman"/>
                <w:color w:val="1F4E9A"/>
                <w:sz w:val="17"/>
                <w:szCs w:val="17"/>
                <w:vertAlign w:val="superscript"/>
              </w:rPr>
              <w:t xml:space="preserve">14</w:t>
            </w:r>
          </w:p>
        </w:tc>
        <w:tc>
          <w:tcPr>
            <w:tcW w:type="dxa" w:w="2131"/>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7"/>
                <w:szCs w:val="17"/>
              </w:rPr>
              <w:t xml:space="preserve">SEED, SEED-IV</w:t>
            </w:r>
          </w:p>
        </w:tc>
        <w:tc>
          <w:tcPr>
            <w:tcW w:type="dxa" w:w="3148"/>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7"/>
                <w:szCs w:val="17"/>
              </w:rPr>
              <w:t xml:space="preserve">Multi-dimensional attention graph</w:t>
            </w:r>
          </w:p>
        </w:tc>
        <w:tc>
          <w:tcPr>
            <w:tcW w:type="dxa" w:w="2133"/>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7"/>
                <w:szCs w:val="17"/>
              </w:rPr>
              <w:t xml:space="preserve">78.36%</w:t>
            </w:r>
          </w:p>
        </w:tc>
      </w:tr>
      <w:tr>
        <w:trPr>
          <w:cantSplit/>
        </w:trPr>
        <w:tc>
          <w:tcPr>
            <w:tcW w:type="dxa" w:w="2334"/>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7"/>
                <w:szCs w:val="17"/>
              </w:rPr>
              <w:t xml:space="preserve">BFE-Net</w:t>
            </w:r>
            <w:r>
              <w:rPr>
                <w:rFonts w:ascii="Times New Roman" w:cs="Times New Roman" w:eastAsia="Times New Roman" w:hAnsi="Times New Roman"/>
                <w:color w:val="1F4E9A"/>
                <w:sz w:val="17"/>
                <w:szCs w:val="17"/>
                <w:vertAlign w:val="superscript"/>
              </w:rPr>
              <w:t xml:space="preserve">13</w:t>
            </w:r>
          </w:p>
        </w:tc>
        <w:tc>
          <w:tcPr>
            <w:tcW w:type="dxa" w:w="2131"/>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7"/>
                <w:szCs w:val="17"/>
              </w:rPr>
              <w:t xml:space="preserve">SEED, SEED-IV</w:t>
            </w:r>
          </w:p>
        </w:tc>
        <w:tc>
          <w:tcPr>
            <w:tcW w:type="dxa" w:w="3148"/>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7"/>
                <w:szCs w:val="17"/>
              </w:rPr>
              <w:t xml:space="preserve">Frequency-band graph construction</w:t>
            </w:r>
          </w:p>
        </w:tc>
        <w:tc>
          <w:tcPr>
            <w:tcW w:type="dxa" w:w="2133"/>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7"/>
                <w:szCs w:val="17"/>
              </w:rPr>
              <w:t xml:space="preserve">79.81%</w:t>
            </w:r>
          </w:p>
        </w:tc>
      </w:tr>
      <w:tr>
        <w:trPr>
          <w:cantSplit/>
        </w:trPr>
        <w:tc>
          <w:tcPr>
            <w:tcW w:type="dxa" w:w="2334"/>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7"/>
                <w:szCs w:val="17"/>
              </w:rPr>
              <w:t xml:space="preserve">SS-EMERGE</w:t>
            </w:r>
            <w:r>
              <w:rPr>
                <w:rFonts w:ascii="Times New Roman" w:cs="Times New Roman" w:eastAsia="Times New Roman" w:hAnsi="Times New Roman"/>
                <w:color w:val="1F4E9A"/>
                <w:sz w:val="17"/>
                <w:szCs w:val="17"/>
                <w:vertAlign w:val="superscript"/>
              </w:rPr>
              <w:t xml:space="preserve">15</w:t>
            </w:r>
          </w:p>
        </w:tc>
        <w:tc>
          <w:tcPr>
            <w:tcW w:type="dxa" w:w="2131"/>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7"/>
                <w:szCs w:val="17"/>
              </w:rPr>
              <w:t xml:space="preserve">SEED, SEED-IV</w:t>
            </w:r>
          </w:p>
        </w:tc>
        <w:tc>
          <w:tcPr>
            <w:tcW w:type="dxa" w:w="3148"/>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7"/>
                <w:szCs w:val="17"/>
              </w:rPr>
              <w:t xml:space="preserve">Self-supervised graph attention</w:t>
            </w:r>
          </w:p>
        </w:tc>
        <w:tc>
          <w:tcPr>
            <w:tcW w:type="dxa" w:w="2133"/>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7"/>
                <w:szCs w:val="17"/>
              </w:rPr>
              <w:t xml:space="preserve">81.51%</w:t>
            </w:r>
          </w:p>
        </w:tc>
      </w:tr>
      <w:tr>
        <w:trPr>
          <w:cantSplit/>
        </w:trPr>
        <w:tc>
          <w:tcPr>
            <w:tcW w:type="dxa" w:w="2334"/>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7"/>
                <w:szCs w:val="17"/>
              </w:rPr>
              <w:t xml:space="preserve">This study (CLISA-EWU)</w:t>
            </w:r>
          </w:p>
        </w:tc>
        <w:tc>
          <w:tcPr>
            <w:tcW w:type="dxa" w:w="2131"/>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7"/>
                <w:szCs w:val="17"/>
              </w:rPr>
              <w:t xml:space="preserve">SEED-IV</w:t>
            </w:r>
          </w:p>
        </w:tc>
        <w:tc>
          <w:tcPr>
            <w:tcW w:type="dxa" w:w="3148"/>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7"/>
                <w:szCs w:val="17"/>
              </w:rPr>
              <w:t xml:space="preserve">Two-stage contrastive pretraining</w:t>
            </w:r>
          </w:p>
        </w:tc>
        <w:tc>
          <w:tcPr>
            <w:tcW w:type="dxa" w:w="2133"/>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7"/>
                <w:szCs w:val="17"/>
              </w:rPr>
              <w:t xml:space="preserve">48.5% zero-shot; 67.8% calibrated</w:t>
            </w:r>
          </w:p>
        </w:tc>
      </w:tr>
    </w:tbl>
    <w:p>
      <w:pPr>
        <w:pBdr>
          <w:bottom w:val="dotted" w:color="A6A6A6" w:sz="6" w:space="6"/>
        </w:pBdr>
        <w:spacing w:after="360" w:before="120" w:line="240"/>
        <w:ind w:left="1700"/>
        <w:jc w:val="left"/>
      </w:pPr>
      <w:r>
        <w:rPr>
          <w:rFonts w:ascii="Times New Roman" w:cs="Times New Roman" w:eastAsia="Times New Roman" w:hAnsi="Times New Roman"/>
          <w:b/>
          <w:bCs/>
          <w:sz w:val="19"/>
          <w:szCs w:val="19"/>
        </w:rPr>
        <w:t xml:space="preserve">Table 1</w:t>
      </w:r>
      <w:r>
        <w:rPr>
          <w:rFonts w:ascii="Times New Roman" w:cs="Times New Roman" w:eastAsia="Times New Roman" w:hAnsi="Times New Roman"/>
          <w:sz w:val="19"/>
          <w:szCs w:val="19"/>
        </w:rPr>
        <w:t xml:space="preserve">. Cross-participant EEG emotion recognition results reported in the literature. Values are as reported and are not directly comparable, because datasets, features, splitting, use of target-participant data and reporting unit differ </w:t>
      </w:r>
      <w:r>
        <w:rPr>
          <w:rFonts w:ascii="Times New Roman" w:cs="Times New Roman" w:eastAsia="Times New Roman" w:hAnsi="Times New Roman"/>
          <w:sz w:val="19"/>
          <w:szCs w:val="19"/>
          <w:highlight w:val="yellow"/>
          <w:highlightCs w:val="yellow"/>
        </w:rPr>
        <w:t xml:space="preserve">[verify every value against the original paper]</w:t>
      </w:r>
      <w:r>
        <w:rPr>
          <w:rFonts w:ascii="Times New Roman" w:cs="Times New Roman" w:eastAsia="Times New Roman" w:hAnsi="Times New Roman"/>
          <w:sz w:val="19"/>
          <w:szCs w:val="19"/>
        </w:rPr>
        <w:t xml:space="preserve">.</w:t>
      </w:r>
    </w:p>
    <w:p>
      <w:pPr>
        <w:spacing w:before="20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144"/>
        <w:gridCol w:w="2923"/>
        <w:gridCol w:w="2144"/>
        <w:gridCol w:w="2535"/>
      </w:tblGrid>
      <w:tr>
        <w:trPr>
          <w:tblHeader/>
        </w:trPr>
        <w:tc>
          <w:tcPr>
            <w:tcW w:type="dxa" w:w="2144"/>
            <w:tcBorders>
              <w:top w:val="single" w:color="000000" w:sz="4"/>
              <w:left w:val="single" w:color="000000" w:sz="4"/>
              <w:bottom w:val="single" w:color="000000" w:sz="4"/>
              <w:right w:val="single" w:color="000000" w:sz="4"/>
            </w:tcBorders>
            <w:shd w:fill="BFBFBF" w:color="auto" w:val="clear"/>
            <w:tcMar>
              <w:top w:type="dxa" w:w="25"/>
              <w:left w:type="dxa" w:w="50"/>
              <w:bottom w:type="dxa" w:w="25"/>
              <w:right w:type="dxa" w:w="50"/>
            </w:tcMar>
          </w:tcPr>
          <w:p>
            <w:r>
              <w:rPr>
                <w:rFonts w:ascii="Times New Roman" w:cs="Times New Roman" w:eastAsia="Times New Roman" w:hAnsi="Times New Roman"/>
                <w:b/>
                <w:bCs/>
                <w:sz w:val="17"/>
                <w:szCs w:val="17"/>
              </w:rPr>
              <w:t xml:space="preserve">Family</w:t>
            </w:r>
          </w:p>
        </w:tc>
        <w:tc>
          <w:tcPr>
            <w:tcW w:type="dxa" w:w="2923"/>
            <w:tcBorders>
              <w:top w:val="single" w:color="000000" w:sz="4"/>
              <w:left w:val="single" w:color="000000" w:sz="4"/>
              <w:bottom w:val="single" w:color="000000" w:sz="4"/>
              <w:right w:val="single" w:color="000000" w:sz="4"/>
            </w:tcBorders>
            <w:shd w:fill="BFBFBF" w:color="auto" w:val="clear"/>
            <w:tcMar>
              <w:top w:type="dxa" w:w="25"/>
              <w:left w:type="dxa" w:w="50"/>
              <w:bottom w:type="dxa" w:w="25"/>
              <w:right w:type="dxa" w:w="50"/>
            </w:tcMar>
          </w:tcPr>
          <w:p>
            <w:r>
              <w:rPr>
                <w:rFonts w:ascii="Times New Roman" w:cs="Times New Roman" w:eastAsia="Times New Roman" w:hAnsi="Times New Roman"/>
                <w:b/>
                <w:bCs/>
                <w:sz w:val="17"/>
                <w:szCs w:val="17"/>
              </w:rPr>
              <w:t xml:space="preserve">Representative work</w:t>
            </w:r>
          </w:p>
        </w:tc>
        <w:tc>
          <w:tcPr>
            <w:tcW w:type="dxa" w:w="2144"/>
            <w:tcBorders>
              <w:top w:val="single" w:color="000000" w:sz="4"/>
              <w:left w:val="single" w:color="000000" w:sz="4"/>
              <w:bottom w:val="single" w:color="000000" w:sz="4"/>
              <w:right w:val="single" w:color="000000" w:sz="4"/>
            </w:tcBorders>
            <w:shd w:fill="BFBFBF" w:color="auto" w:val="clear"/>
            <w:tcMar>
              <w:top w:type="dxa" w:w="25"/>
              <w:left w:type="dxa" w:w="50"/>
              <w:bottom w:type="dxa" w:w="25"/>
              <w:right w:type="dxa" w:w="50"/>
            </w:tcMar>
          </w:tcPr>
          <w:p>
            <w:r>
              <w:rPr>
                <w:rFonts w:ascii="Times New Roman" w:cs="Times New Roman" w:eastAsia="Times New Roman" w:hAnsi="Times New Roman"/>
                <w:b/>
                <w:bCs/>
                <w:sz w:val="17"/>
                <w:szCs w:val="17"/>
              </w:rPr>
              <w:t xml:space="preserve">Target data typically used</w:t>
            </w:r>
          </w:p>
        </w:tc>
        <w:tc>
          <w:tcPr>
            <w:tcW w:type="dxa" w:w="2535"/>
            <w:tcBorders>
              <w:top w:val="single" w:color="000000" w:sz="4"/>
              <w:left w:val="single" w:color="000000" w:sz="4"/>
              <w:bottom w:val="single" w:color="000000" w:sz="4"/>
              <w:right w:val="single" w:color="000000" w:sz="4"/>
            </w:tcBorders>
            <w:shd w:fill="BFBFBF" w:color="auto" w:val="clear"/>
            <w:tcMar>
              <w:top w:type="dxa" w:w="25"/>
              <w:left w:type="dxa" w:w="50"/>
              <w:bottom w:type="dxa" w:w="25"/>
              <w:right w:type="dxa" w:w="50"/>
            </w:tcMar>
          </w:tcPr>
          <w:p>
            <w:r>
              <w:rPr>
                <w:rFonts w:ascii="Times New Roman" w:cs="Times New Roman" w:eastAsia="Times New Roman" w:hAnsi="Times New Roman"/>
                <w:b/>
                <w:bCs/>
                <w:sz w:val="17"/>
                <w:szCs w:val="17"/>
              </w:rPr>
              <w:t xml:space="preserve">Main limitation</w:t>
            </w:r>
          </w:p>
        </w:tc>
      </w:tr>
      <w:tr>
        <w:trPr>
          <w:cantSplit/>
        </w:trPr>
        <w:tc>
          <w:tcPr>
            <w:tcW w:type="dxa" w:w="2144"/>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7"/>
                <w:szCs w:val="17"/>
              </w:rPr>
              <w:t xml:space="preserve">Hand-crafted features + classical classifiers</w:t>
            </w:r>
          </w:p>
        </w:tc>
        <w:tc>
          <w:tcPr>
            <w:tcW w:type="dxa" w:w="2923"/>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7"/>
                <w:szCs w:val="17"/>
              </w:rPr>
              <w:t xml:space="preserve">DE features</w:t>
            </w:r>
            <w:r>
              <w:rPr>
                <w:rFonts w:ascii="Times New Roman" w:cs="Times New Roman" w:eastAsia="Times New Roman" w:hAnsi="Times New Roman"/>
                <w:color w:val="1F4E9A"/>
                <w:sz w:val="17"/>
                <w:szCs w:val="17"/>
                <w:vertAlign w:val="superscript"/>
              </w:rPr>
              <w:t xml:space="preserve">3,28</w:t>
            </w:r>
            <w:r>
              <w:rPr>
                <w:rFonts w:ascii="Times New Roman" w:cs="Times New Roman" w:eastAsia="Times New Roman" w:hAnsi="Times New Roman"/>
                <w:sz w:val="17"/>
                <w:szCs w:val="17"/>
              </w:rPr>
              <w:t xml:space="preserve">; feature surveys</w:t>
            </w:r>
            <w:r>
              <w:rPr>
                <w:rFonts w:ascii="Times New Roman" w:cs="Times New Roman" w:eastAsia="Times New Roman" w:hAnsi="Times New Roman"/>
                <w:color w:val="1F4E9A"/>
                <w:sz w:val="17"/>
                <w:szCs w:val="17"/>
                <w:vertAlign w:val="superscript"/>
              </w:rPr>
              <w:t xml:space="preserve">23</w:t>
            </w:r>
          </w:p>
        </w:tc>
        <w:tc>
          <w:tcPr>
            <w:tcW w:type="dxa" w:w="2144"/>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7"/>
                <w:szCs w:val="17"/>
              </w:rPr>
              <w:t xml:space="preserve">None (zero-shot)</w:t>
            </w:r>
          </w:p>
        </w:tc>
        <w:tc>
          <w:tcPr>
            <w:tcW w:type="dxa" w:w="2535"/>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7"/>
                <w:szCs w:val="17"/>
              </w:rPr>
              <w:t xml:space="preserve">Limited capacity to model inter-participant variability</w:t>
            </w:r>
          </w:p>
        </w:tc>
      </w:tr>
      <w:tr>
        <w:trPr>
          <w:cantSplit/>
        </w:trPr>
        <w:tc>
          <w:tcPr>
            <w:tcW w:type="dxa" w:w="2144"/>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7"/>
                <w:szCs w:val="17"/>
              </w:rPr>
              <w:t xml:space="preserve">Graph and attention networks</w:t>
            </w:r>
          </w:p>
        </w:tc>
        <w:tc>
          <w:tcPr>
            <w:tcW w:type="dxa" w:w="2923"/>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7"/>
                <w:szCs w:val="17"/>
              </w:rPr>
              <w:t xml:space="preserve">DGCNN</w:t>
            </w:r>
            <w:r>
              <w:rPr>
                <w:rFonts w:ascii="Times New Roman" w:cs="Times New Roman" w:eastAsia="Times New Roman" w:hAnsi="Times New Roman"/>
                <w:color w:val="1F4E9A"/>
                <w:sz w:val="17"/>
                <w:szCs w:val="17"/>
                <w:vertAlign w:val="superscript"/>
              </w:rPr>
              <w:t xml:space="preserve">10</w:t>
            </w:r>
            <w:r>
              <w:rPr>
                <w:rFonts w:ascii="Times New Roman" w:cs="Times New Roman" w:eastAsia="Times New Roman" w:hAnsi="Times New Roman"/>
                <w:sz w:val="17"/>
                <w:szCs w:val="17"/>
              </w:rPr>
              <w:t xml:space="preserve">, RGNN</w:t>
            </w:r>
            <w:r>
              <w:rPr>
                <w:rFonts w:ascii="Times New Roman" w:cs="Times New Roman" w:eastAsia="Times New Roman" w:hAnsi="Times New Roman"/>
                <w:color w:val="1F4E9A"/>
                <w:sz w:val="17"/>
                <w:szCs w:val="17"/>
                <w:vertAlign w:val="superscript"/>
              </w:rPr>
              <w:t xml:space="preserve">11</w:t>
            </w:r>
            <w:r>
              <w:rPr>
                <w:rFonts w:ascii="Times New Roman" w:cs="Times New Roman" w:eastAsia="Times New Roman" w:hAnsi="Times New Roman"/>
                <w:sz w:val="17"/>
                <w:szCs w:val="17"/>
              </w:rPr>
              <w:t xml:space="preserve">, SOGNN</w:t>
            </w:r>
            <w:r>
              <w:rPr>
                <w:rFonts w:ascii="Times New Roman" w:cs="Times New Roman" w:eastAsia="Times New Roman" w:hAnsi="Times New Roman"/>
                <w:color w:val="1F4E9A"/>
                <w:sz w:val="17"/>
                <w:szCs w:val="17"/>
                <w:vertAlign w:val="superscript"/>
              </w:rPr>
              <w:t xml:space="preserve">12</w:t>
            </w:r>
            <w:r>
              <w:rPr>
                <w:rFonts w:ascii="Times New Roman" w:cs="Times New Roman" w:eastAsia="Times New Roman" w:hAnsi="Times New Roman"/>
                <w:sz w:val="17"/>
                <w:szCs w:val="17"/>
              </w:rPr>
              <w:t xml:space="preserve">, AttGraph</w:t>
            </w:r>
            <w:r>
              <w:rPr>
                <w:rFonts w:ascii="Times New Roman" w:cs="Times New Roman" w:eastAsia="Times New Roman" w:hAnsi="Times New Roman"/>
                <w:color w:val="1F4E9A"/>
                <w:sz w:val="17"/>
                <w:szCs w:val="17"/>
                <w:vertAlign w:val="superscript"/>
              </w:rPr>
              <w:t xml:space="preserve">14</w:t>
            </w:r>
          </w:p>
        </w:tc>
        <w:tc>
          <w:tcPr>
            <w:tcW w:type="dxa" w:w="2144"/>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7"/>
                <w:szCs w:val="17"/>
              </w:rPr>
              <w:t xml:space="preserve">Varies; often unlabelled target data</w:t>
            </w:r>
          </w:p>
        </w:tc>
        <w:tc>
          <w:tcPr>
            <w:tcW w:type="dxa" w:w="2535"/>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7"/>
                <w:szCs w:val="17"/>
              </w:rPr>
              <w:t xml:space="preserve">Protocol and reporting unit often unclear</w:t>
            </w:r>
          </w:p>
        </w:tc>
      </w:tr>
      <w:tr>
        <w:trPr>
          <w:cantSplit/>
        </w:trPr>
        <w:tc>
          <w:tcPr>
            <w:tcW w:type="dxa" w:w="2144"/>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7"/>
                <w:szCs w:val="17"/>
              </w:rPr>
              <w:t xml:space="preserve">Shallow transfer and alignment</w:t>
            </w:r>
          </w:p>
        </w:tc>
        <w:tc>
          <w:tcPr>
            <w:tcW w:type="dxa" w:w="2923"/>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7"/>
                <w:szCs w:val="17"/>
              </w:rPr>
              <w:t xml:space="preserve">TCA</w:t>
            </w:r>
            <w:r>
              <w:rPr>
                <w:rFonts w:ascii="Times New Roman" w:cs="Times New Roman" w:eastAsia="Times New Roman" w:hAnsi="Times New Roman"/>
                <w:color w:val="1F4E9A"/>
                <w:sz w:val="17"/>
                <w:szCs w:val="17"/>
                <w:vertAlign w:val="superscript"/>
              </w:rPr>
              <w:t xml:space="preserve">38</w:t>
            </w:r>
            <w:r>
              <w:rPr>
                <w:rFonts w:ascii="Times New Roman" w:cs="Times New Roman" w:eastAsia="Times New Roman" w:hAnsi="Times New Roman"/>
                <w:sz w:val="17"/>
                <w:szCs w:val="17"/>
              </w:rPr>
              <w:t xml:space="preserve">, Riemannian</w:t>
            </w:r>
            <w:r>
              <w:rPr>
                <w:rFonts w:ascii="Times New Roman" w:cs="Times New Roman" w:eastAsia="Times New Roman" w:hAnsi="Times New Roman"/>
                <w:color w:val="1F4E9A"/>
                <w:sz w:val="17"/>
                <w:szCs w:val="17"/>
                <w:vertAlign w:val="superscript"/>
              </w:rPr>
              <w:t xml:space="preserve">40</w:t>
            </w:r>
            <w:r>
              <w:rPr>
                <w:rFonts w:ascii="Times New Roman" w:cs="Times New Roman" w:eastAsia="Times New Roman" w:hAnsi="Times New Roman"/>
                <w:sz w:val="17"/>
                <w:szCs w:val="17"/>
              </w:rPr>
              <w:t xml:space="preserve"> and Euclidean</w:t>
            </w:r>
            <w:r>
              <w:rPr>
                <w:rFonts w:ascii="Times New Roman" w:cs="Times New Roman" w:eastAsia="Times New Roman" w:hAnsi="Times New Roman"/>
                <w:color w:val="1F4E9A"/>
                <w:sz w:val="17"/>
                <w:szCs w:val="17"/>
                <w:vertAlign w:val="superscript"/>
              </w:rPr>
              <w:t xml:space="preserve">41</w:t>
            </w:r>
            <w:r>
              <w:rPr>
                <w:rFonts w:ascii="Times New Roman" w:cs="Times New Roman" w:eastAsia="Times New Roman" w:hAnsi="Times New Roman"/>
                <w:sz w:val="17"/>
                <w:szCs w:val="17"/>
              </w:rPr>
              <w:t xml:space="preserve"> alignment</w:t>
            </w:r>
          </w:p>
        </w:tc>
        <w:tc>
          <w:tcPr>
            <w:tcW w:type="dxa" w:w="2144"/>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7"/>
                <w:szCs w:val="17"/>
              </w:rPr>
              <w:t xml:space="preserve">Unlabelled target data</w:t>
            </w:r>
          </w:p>
        </w:tc>
        <w:tc>
          <w:tcPr>
            <w:tcW w:type="dxa" w:w="2535"/>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7"/>
                <w:szCs w:val="17"/>
              </w:rPr>
              <w:t xml:space="preserve">Assumes a stable target distribution</w:t>
            </w:r>
          </w:p>
        </w:tc>
      </w:tr>
      <w:tr>
        <w:trPr>
          <w:cantSplit/>
        </w:trPr>
        <w:tc>
          <w:tcPr>
            <w:tcW w:type="dxa" w:w="2144"/>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7"/>
                <w:szCs w:val="17"/>
              </w:rPr>
              <w:t xml:space="preserve">Deep domain adaptation</w:t>
            </w:r>
          </w:p>
        </w:tc>
        <w:tc>
          <w:tcPr>
            <w:tcW w:type="dxa" w:w="2923"/>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7"/>
                <w:szCs w:val="17"/>
              </w:rPr>
              <w:t xml:space="preserve">DAN</w:t>
            </w:r>
            <w:r>
              <w:rPr>
                <w:rFonts w:ascii="Times New Roman" w:cs="Times New Roman" w:eastAsia="Times New Roman" w:hAnsi="Times New Roman"/>
                <w:color w:val="1F4E9A"/>
                <w:sz w:val="17"/>
                <w:szCs w:val="17"/>
                <w:vertAlign w:val="superscript"/>
              </w:rPr>
              <w:t xml:space="preserve">7</w:t>
            </w:r>
            <w:r>
              <w:rPr>
                <w:rFonts w:ascii="Times New Roman" w:cs="Times New Roman" w:eastAsia="Times New Roman" w:hAnsi="Times New Roman"/>
                <w:sz w:val="17"/>
                <w:szCs w:val="17"/>
              </w:rPr>
              <w:t xml:space="preserve">, DANN</w:t>
            </w:r>
            <w:r>
              <w:rPr>
                <w:rFonts w:ascii="Times New Roman" w:cs="Times New Roman" w:eastAsia="Times New Roman" w:hAnsi="Times New Roman"/>
                <w:color w:val="1F4E9A"/>
                <w:sz w:val="17"/>
                <w:szCs w:val="17"/>
                <w:vertAlign w:val="superscript"/>
              </w:rPr>
              <w:t xml:space="preserve">6</w:t>
            </w:r>
            <w:r>
              <w:rPr>
                <w:rFonts w:ascii="Times New Roman" w:cs="Times New Roman" w:eastAsia="Times New Roman" w:hAnsi="Times New Roman"/>
                <w:sz w:val="17"/>
                <w:szCs w:val="17"/>
              </w:rPr>
              <w:t xml:space="preserve">, BiDANN</w:t>
            </w:r>
            <w:r>
              <w:rPr>
                <w:rFonts w:ascii="Times New Roman" w:cs="Times New Roman" w:eastAsia="Times New Roman" w:hAnsi="Times New Roman"/>
                <w:color w:val="1F4E9A"/>
                <w:sz w:val="17"/>
                <w:szCs w:val="17"/>
                <w:vertAlign w:val="superscript"/>
              </w:rPr>
              <w:t xml:space="preserve">8</w:t>
            </w:r>
            <w:r>
              <w:rPr>
                <w:rFonts w:ascii="Times New Roman" w:cs="Times New Roman" w:eastAsia="Times New Roman" w:hAnsi="Times New Roman"/>
                <w:sz w:val="17"/>
                <w:szCs w:val="17"/>
              </w:rPr>
              <w:t xml:space="preserve">, plug-and-play DA</w:t>
            </w:r>
            <w:r>
              <w:rPr>
                <w:rFonts w:ascii="Times New Roman" w:cs="Times New Roman" w:eastAsia="Times New Roman" w:hAnsi="Times New Roman"/>
                <w:color w:val="1F4E9A"/>
                <w:sz w:val="17"/>
                <w:szCs w:val="17"/>
                <w:vertAlign w:val="superscript"/>
              </w:rPr>
              <w:t xml:space="preserve">44</w:t>
            </w:r>
          </w:p>
        </w:tc>
        <w:tc>
          <w:tcPr>
            <w:tcW w:type="dxa" w:w="2144"/>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7"/>
                <w:szCs w:val="17"/>
              </w:rPr>
              <w:t xml:space="preserve">Unlabelled or a few labelled target samples</w:t>
            </w:r>
          </w:p>
        </w:tc>
        <w:tc>
          <w:tcPr>
            <w:tcW w:type="dxa" w:w="2535"/>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7"/>
                <w:szCs w:val="17"/>
              </w:rPr>
              <w:t xml:space="preserve">Transductive; not zero-shot</w:t>
            </w:r>
          </w:p>
        </w:tc>
      </w:tr>
      <w:tr>
        <w:trPr>
          <w:cantSplit/>
        </w:trPr>
        <w:tc>
          <w:tcPr>
            <w:tcW w:type="dxa" w:w="2144"/>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7"/>
                <w:szCs w:val="17"/>
              </w:rPr>
              <w:t xml:space="preserve">Self-supervised and contrastive</w:t>
            </w:r>
          </w:p>
        </w:tc>
        <w:tc>
          <w:tcPr>
            <w:tcW w:type="dxa" w:w="2923"/>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7"/>
                <w:szCs w:val="17"/>
              </w:rPr>
              <w:t xml:space="preserve">SimCLR</w:t>
            </w:r>
            <w:r>
              <w:rPr>
                <w:rFonts w:ascii="Times New Roman" w:cs="Times New Roman" w:eastAsia="Times New Roman" w:hAnsi="Times New Roman"/>
                <w:color w:val="1F4E9A"/>
                <w:sz w:val="17"/>
                <w:szCs w:val="17"/>
                <w:vertAlign w:val="superscript"/>
              </w:rPr>
              <w:t xml:space="preserve">46</w:t>
            </w:r>
            <w:r>
              <w:rPr>
                <w:rFonts w:ascii="Times New Roman" w:cs="Times New Roman" w:eastAsia="Times New Roman" w:hAnsi="Times New Roman"/>
                <w:sz w:val="17"/>
                <w:szCs w:val="17"/>
              </w:rPr>
              <w:t xml:space="preserve">, BYOL</w:t>
            </w:r>
            <w:r>
              <w:rPr>
                <w:rFonts w:ascii="Times New Roman" w:cs="Times New Roman" w:eastAsia="Times New Roman" w:hAnsi="Times New Roman"/>
                <w:color w:val="1F4E9A"/>
                <w:sz w:val="17"/>
                <w:szCs w:val="17"/>
                <w:vertAlign w:val="superscript"/>
              </w:rPr>
              <w:t xml:space="preserve">47</w:t>
            </w:r>
            <w:r>
              <w:rPr>
                <w:rFonts w:ascii="Times New Roman" w:cs="Times New Roman" w:eastAsia="Times New Roman" w:hAnsi="Times New Roman"/>
                <w:sz w:val="17"/>
                <w:szCs w:val="17"/>
              </w:rPr>
              <w:t xml:space="preserve">, BENDR</w:t>
            </w:r>
            <w:r>
              <w:rPr>
                <w:rFonts w:ascii="Times New Roman" w:cs="Times New Roman" w:eastAsia="Times New Roman" w:hAnsi="Times New Roman"/>
                <w:color w:val="1F4E9A"/>
                <w:sz w:val="17"/>
                <w:szCs w:val="17"/>
                <w:vertAlign w:val="superscript"/>
              </w:rPr>
              <w:t xml:space="preserve">50</w:t>
            </w:r>
            <w:r>
              <w:rPr>
                <w:rFonts w:ascii="Times New Roman" w:cs="Times New Roman" w:eastAsia="Times New Roman" w:hAnsi="Times New Roman"/>
                <w:sz w:val="17"/>
                <w:szCs w:val="17"/>
              </w:rPr>
              <w:t xml:space="preserve">, CLISA</w:t>
            </w:r>
            <w:r>
              <w:rPr>
                <w:rFonts w:ascii="Times New Roman" w:cs="Times New Roman" w:eastAsia="Times New Roman" w:hAnsi="Times New Roman"/>
                <w:color w:val="1F4E9A"/>
                <w:sz w:val="17"/>
                <w:szCs w:val="17"/>
                <w:vertAlign w:val="superscript"/>
              </w:rPr>
              <w:t xml:space="preserve">5</w:t>
            </w:r>
          </w:p>
        </w:tc>
        <w:tc>
          <w:tcPr>
            <w:tcW w:type="dxa" w:w="2144"/>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7"/>
                <w:szCs w:val="17"/>
              </w:rPr>
              <w:t xml:space="preserve">None for pretraining; labels for fine-tuning</w:t>
            </w:r>
          </w:p>
        </w:tc>
        <w:tc>
          <w:tcPr>
            <w:tcW w:type="dxa" w:w="2535"/>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7"/>
                <w:szCs w:val="17"/>
              </w:rPr>
              <w:t xml:space="preserve">Gains often reported after fine-tuning or calibration</w:t>
            </w:r>
          </w:p>
        </w:tc>
      </w:tr>
      <w:tr>
        <w:trPr>
          <w:cantSplit/>
        </w:trPr>
        <w:tc>
          <w:tcPr>
            <w:tcW w:type="dxa" w:w="2144"/>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7"/>
                <w:szCs w:val="17"/>
              </w:rPr>
              <w:t xml:space="preserve">Semi-supervised</w:t>
            </w:r>
          </w:p>
        </w:tc>
        <w:tc>
          <w:tcPr>
            <w:tcW w:type="dxa" w:w="2923"/>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7"/>
                <w:szCs w:val="17"/>
              </w:rPr>
              <w:t xml:space="preserve">Pseudo-label</w:t>
            </w:r>
            <w:r>
              <w:rPr>
                <w:rFonts w:ascii="Times New Roman" w:cs="Times New Roman" w:eastAsia="Times New Roman" w:hAnsi="Times New Roman"/>
                <w:color w:val="1F4E9A"/>
                <w:sz w:val="17"/>
                <w:szCs w:val="17"/>
                <w:vertAlign w:val="superscript"/>
              </w:rPr>
              <w:t xml:space="preserve">51</w:t>
            </w:r>
            <w:r>
              <w:rPr>
                <w:rFonts w:ascii="Times New Roman" w:cs="Times New Roman" w:eastAsia="Times New Roman" w:hAnsi="Times New Roman"/>
                <w:sz w:val="17"/>
                <w:szCs w:val="17"/>
              </w:rPr>
              <w:t xml:space="preserve">, MixMatch</w:t>
            </w:r>
            <w:r>
              <w:rPr>
                <w:rFonts w:ascii="Times New Roman" w:cs="Times New Roman" w:eastAsia="Times New Roman" w:hAnsi="Times New Roman"/>
                <w:color w:val="1F4E9A"/>
                <w:sz w:val="17"/>
                <w:szCs w:val="17"/>
                <w:vertAlign w:val="superscript"/>
              </w:rPr>
              <w:t xml:space="preserve">52</w:t>
            </w:r>
          </w:p>
        </w:tc>
        <w:tc>
          <w:tcPr>
            <w:tcW w:type="dxa" w:w="2144"/>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7"/>
                <w:szCs w:val="17"/>
              </w:rPr>
              <w:t xml:space="preserve">Unlabelled target data when transductive</w:t>
            </w:r>
          </w:p>
        </w:tc>
        <w:tc>
          <w:tcPr>
            <w:tcW w:type="dxa" w:w="2535"/>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7"/>
                <w:szCs w:val="17"/>
              </w:rPr>
              <w:t xml:space="preserve">Transductive; confirmation bias</w:t>
            </w:r>
          </w:p>
        </w:tc>
      </w:tr>
      <w:tr>
        <w:trPr>
          <w:cantSplit/>
        </w:trPr>
        <w:tc>
          <w:tcPr>
            <w:tcW w:type="dxa" w:w="2144"/>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7"/>
                <w:szCs w:val="17"/>
              </w:rPr>
              <w:t xml:space="preserve">Reduced-electrode and distillation</w:t>
            </w:r>
          </w:p>
        </w:tc>
        <w:tc>
          <w:tcPr>
            <w:tcW w:type="dxa" w:w="2923"/>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7"/>
                <w:szCs w:val="17"/>
              </w:rPr>
              <w:t xml:space="preserve">Channel selection</w:t>
            </w:r>
            <w:r>
              <w:rPr>
                <w:rFonts w:ascii="Times New Roman" w:cs="Times New Roman" w:eastAsia="Times New Roman" w:hAnsi="Times New Roman"/>
                <w:color w:val="1F4E9A"/>
                <w:sz w:val="17"/>
                <w:szCs w:val="17"/>
                <w:vertAlign w:val="superscript"/>
              </w:rPr>
              <w:t xml:space="preserve">3</w:t>
            </w:r>
            <w:r>
              <w:rPr>
                <w:rFonts w:ascii="Times New Roman" w:cs="Times New Roman" w:eastAsia="Times New Roman" w:hAnsi="Times New Roman"/>
                <w:sz w:val="17"/>
                <w:szCs w:val="17"/>
              </w:rPr>
              <w:t xml:space="preserve">, distillation</w:t>
            </w:r>
            <w:r>
              <w:rPr>
                <w:rFonts w:ascii="Times New Roman" w:cs="Times New Roman" w:eastAsia="Times New Roman" w:hAnsi="Times New Roman"/>
                <w:color w:val="1F4E9A"/>
                <w:sz w:val="17"/>
                <w:szCs w:val="17"/>
                <w:vertAlign w:val="superscript"/>
              </w:rPr>
              <w:t xml:space="preserve">53</w:t>
            </w:r>
          </w:p>
        </w:tc>
        <w:tc>
          <w:tcPr>
            <w:tcW w:type="dxa" w:w="2144"/>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7"/>
                <w:szCs w:val="17"/>
              </w:rPr>
              <w:t xml:space="preserve">Varies</w:t>
            </w:r>
          </w:p>
        </w:tc>
        <w:tc>
          <w:tcPr>
            <w:tcW w:type="dxa" w:w="2535"/>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7"/>
                <w:szCs w:val="17"/>
              </w:rPr>
              <w:t xml:space="preserve">Mostly subject-dependent evaluation</w:t>
            </w:r>
          </w:p>
        </w:tc>
      </w:tr>
    </w:tbl>
    <w:p>
      <w:pPr>
        <w:pBdr>
          <w:bottom w:val="dotted" w:color="A6A6A6" w:sz="6" w:space="6"/>
        </w:pBdr>
        <w:spacing w:after="360" w:before="120" w:line="240"/>
        <w:ind w:left="1700"/>
        <w:jc w:val="left"/>
      </w:pPr>
      <w:r>
        <w:rPr>
          <w:rFonts w:ascii="Times New Roman" w:cs="Times New Roman" w:eastAsia="Times New Roman" w:hAnsi="Times New Roman"/>
          <w:b/>
          <w:bCs/>
          <w:sz w:val="19"/>
          <w:szCs w:val="19"/>
        </w:rPr>
        <w:t xml:space="preserve">Table 2</w:t>
      </w:r>
      <w:r>
        <w:rPr>
          <w:rFonts w:ascii="Times New Roman" w:cs="Times New Roman" w:eastAsia="Times New Roman" w:hAnsi="Times New Roman"/>
          <w:sz w:val="19"/>
          <w:szCs w:val="19"/>
        </w:rPr>
        <w:t xml:space="preserve">. Main families of cross-participant EEG emotion recognition methods, the target-participant data they typically use, and the main limitation relevant to this study.</w:t>
      </w:r>
    </w:p>
    <w:p>
      <w:pPr>
        <w:pStyle w:val="Heading2"/>
        <w:keepNext/>
        <w:spacing w:after="40" w:before="220"/>
        <w:ind w:left="1700"/>
      </w:pPr>
      <w:r>
        <w:rPr>
          <w:rFonts w:ascii="Arial" w:cs="Arial" w:eastAsia="Arial" w:hAnsi="Arial"/>
          <w:b/>
          <w:bCs/>
          <w:color w:val="000000"/>
          <w:sz w:val="21"/>
          <w:szCs w:val="21"/>
        </w:rPr>
        <w:t xml:space="preserve">2.1 Emotion models and EEG correlates of affect</w:t>
      </w:r>
    </w:p>
    <w:p>
      <w:pPr>
        <w:spacing w:after="0" w:line="252"/>
        <w:ind w:left="1700" w:firstLine="0"/>
        <w:jc w:val="both"/>
      </w:pPr>
      <w:r>
        <w:rPr>
          <w:rFonts w:ascii="Times New Roman" w:cs="Times New Roman" w:eastAsia="Times New Roman" w:hAnsi="Times New Roman"/>
          <w:sz w:val="20"/>
          <w:szCs w:val="20"/>
        </w:rPr>
        <w:t xml:space="preserve">Computational studies of emotion usually adopt either discrete categories, such as the neutral, sad, fear and happy states of SEED-IV, or dimensional models in which emotions are located in a space spanned by valence and arousal</w:t>
      </w:r>
      <w:r>
        <w:rPr>
          <w:rFonts w:ascii="Times New Roman" w:cs="Times New Roman" w:eastAsia="Times New Roman" w:hAnsi="Times New Roman"/>
          <w:color w:val="1F4E9A"/>
          <w:sz w:val="20"/>
          <w:szCs w:val="20"/>
          <w:vertAlign w:val="superscript"/>
        </w:rPr>
        <w:t xml:space="preserve">1</w:t>
      </w:r>
      <w:r>
        <w:rPr>
          <w:rFonts w:ascii="Times New Roman" w:cs="Times New Roman" w:eastAsia="Times New Roman" w:hAnsi="Times New Roman"/>
          <w:sz w:val="20"/>
          <w:szCs w:val="20"/>
        </w:rPr>
        <w:t xml:space="preserve">. The discrete view simplifies labelling with film clips, whereas the dimensional view underlies datasets such as DEAP</w:t>
      </w:r>
      <w:r>
        <w:rPr>
          <w:rFonts w:ascii="Times New Roman" w:cs="Times New Roman" w:eastAsia="Times New Roman" w:hAnsi="Times New Roman"/>
          <w:color w:val="1F4E9A"/>
          <w:sz w:val="20"/>
          <w:szCs w:val="20"/>
          <w:vertAlign w:val="superscript"/>
        </w:rPr>
        <w:t xml:space="preserve">4</w:t>
      </w:r>
      <w:r>
        <w:rPr>
          <w:rFonts w:ascii="Times New Roman" w:cs="Times New Roman" w:eastAsia="Times New Roman" w:hAnsi="Times New Roman"/>
          <w:sz w:val="20"/>
          <w:szCs w:val="20"/>
        </w:rPr>
        <w:t xml:space="preserve"> and DREAMER</w:t>
      </w:r>
      <w:r>
        <w:rPr>
          <w:rFonts w:ascii="Times New Roman" w:cs="Times New Roman" w:eastAsia="Times New Roman" w:hAnsi="Times New Roman"/>
          <w:color w:val="1F4E9A"/>
          <w:sz w:val="20"/>
          <w:szCs w:val="20"/>
          <w:vertAlign w:val="superscript"/>
        </w:rPr>
        <w:t xml:space="preserve">19</w:t>
      </w:r>
      <w:r>
        <w:rPr>
          <w:rFonts w:ascii="Times New Roman" w:cs="Times New Roman" w:eastAsia="Times New Roman" w:hAnsi="Times New Roman"/>
          <w:sz w:val="20"/>
          <w:szCs w:val="20"/>
        </w:rPr>
        <w:t xml:space="preserve">. Both rest on the observation that affective states modulate cortical oscillations. The best-established correlate is frontal alpha asymmetry, in which relatively greater left frontal activity accompanies approach-related, positive affect and greater right frontal activity accompanies withdrawal-related, negative affect</w:t>
      </w:r>
      <w:r>
        <w:rPr>
          <w:rFonts w:ascii="Times New Roman" w:cs="Times New Roman" w:eastAsia="Times New Roman" w:hAnsi="Times New Roman"/>
          <w:color w:val="1F4E9A"/>
          <w:sz w:val="20"/>
          <w:szCs w:val="20"/>
          <w:vertAlign w:val="superscript"/>
        </w:rPr>
        <w:t xml:space="preserve">20,21</w:t>
      </w:r>
      <w:r>
        <w:rPr>
          <w:rFonts w:ascii="Times New Roman" w:cs="Times New Roman" w:eastAsia="Times New Roman" w:hAnsi="Times New Roman"/>
          <w:sz w:val="20"/>
          <w:szCs w:val="20"/>
        </w:rPr>
        <w:t xml:space="preserve">. Beyond the frontal lobes, emotion-related changes have been reported across theta, beta and gamma bands and in temporal and parietal regions, and high-frequency beta and gamma activity over lateral temporal sites has been found to be particularly discriminative for emotion</w:t>
      </w:r>
      <w:r>
        <w:rPr>
          <w:rFonts w:ascii="Times New Roman" w:cs="Times New Roman" w:eastAsia="Times New Roman" w:hAnsi="Times New Roman"/>
          <w:color w:val="1F4E9A"/>
          <w:sz w:val="20"/>
          <w:szCs w:val="20"/>
          <w:vertAlign w:val="superscript"/>
        </w:rPr>
        <w:t xml:space="preserve">3</w:t>
      </w:r>
      <w:r>
        <w:rPr>
          <w:rFonts w:ascii="Times New Roman" w:cs="Times New Roman" w:eastAsia="Times New Roman" w:hAnsi="Times New Roman"/>
          <w:sz w:val="20"/>
          <w:szCs w:val="20"/>
        </w:rPr>
        <w:t xml:space="preserve">.</w:t>
      </w:r>
    </w:p>
    <w:p>
      <w:pPr>
        <w:spacing w:after="0" w:line="252"/>
        <w:ind w:left="1700" w:firstLine="240"/>
        <w:jc w:val="both"/>
      </w:pPr>
      <w:r>
        <w:rPr>
          <w:rFonts w:ascii="Times New Roman" w:cs="Times New Roman" w:eastAsia="Times New Roman" w:hAnsi="Times New Roman"/>
          <w:sz w:val="20"/>
          <w:szCs w:val="20"/>
        </w:rPr>
        <w:t xml:space="preserve">Systematic surveys of EEG emotion recognition</w:t>
      </w:r>
      <w:r>
        <w:rPr>
          <w:rFonts w:ascii="Times New Roman" w:cs="Times New Roman" w:eastAsia="Times New Roman" w:hAnsi="Times New Roman"/>
          <w:color w:val="1F4E9A"/>
          <w:sz w:val="20"/>
          <w:szCs w:val="20"/>
          <w:vertAlign w:val="superscript"/>
        </w:rPr>
        <w:t xml:space="preserve">22,23</w:t>
      </w:r>
      <w:r>
        <w:rPr>
          <w:rFonts w:ascii="Times New Roman" w:cs="Times New Roman" w:eastAsia="Times New Roman" w:hAnsi="Times New Roman"/>
          <w:sz w:val="20"/>
          <w:szCs w:val="20"/>
        </w:rPr>
        <w:t xml:space="preserve"> highlight two consequences of this neurophysiology for machine learning. First, informative features are spread over many frequency bands and electrodes, which motivates multichannel spectral features and spatial models. Second, the same emotional stimulus evokes different spectral patterns in different people, so that a model trained on one group generalises poorly to another; this inter-participant variability is the central difficulty that the present study examines.</w:t>
      </w:r>
    </w:p>
    <w:p>
      <w:pPr>
        <w:pStyle w:val="Heading2"/>
        <w:keepNext/>
        <w:spacing w:after="40" w:before="220"/>
        <w:ind w:left="1700"/>
      </w:pPr>
      <w:r>
        <w:rPr>
          <w:rFonts w:ascii="Arial" w:cs="Arial" w:eastAsia="Arial" w:hAnsi="Arial"/>
          <w:b/>
          <w:bCs/>
          <w:color w:val="000000"/>
          <w:sz w:val="21"/>
          <w:szCs w:val="21"/>
        </w:rPr>
        <w:t xml:space="preserve">2.2 Datasets and the cross-participant problem</w:t>
      </w:r>
    </w:p>
    <w:p>
      <w:pPr>
        <w:spacing w:after="0" w:line="252"/>
        <w:ind w:left="1700" w:firstLine="0"/>
        <w:jc w:val="both"/>
      </w:pPr>
      <w:r>
        <w:rPr>
          <w:rFonts w:ascii="Times New Roman" w:cs="Times New Roman" w:eastAsia="Times New Roman" w:hAnsi="Times New Roman"/>
          <w:sz w:val="20"/>
          <w:szCs w:val="20"/>
        </w:rPr>
        <w:t xml:space="preserve">Public datasets have made controlled comparison possible. DEAP recorded 32-channel EEG from 32 participants watching music videos rated for valence and arousal</w:t>
      </w:r>
      <w:r>
        <w:rPr>
          <w:rFonts w:ascii="Times New Roman" w:cs="Times New Roman" w:eastAsia="Times New Roman" w:hAnsi="Times New Roman"/>
          <w:color w:val="1F4E9A"/>
          <w:sz w:val="20"/>
          <w:szCs w:val="20"/>
          <w:vertAlign w:val="superscript"/>
        </w:rPr>
        <w:t xml:space="preserve">4</w:t>
      </w:r>
      <w:r>
        <w:rPr>
          <w:rFonts w:ascii="Times New Roman" w:cs="Times New Roman" w:eastAsia="Times New Roman" w:hAnsi="Times New Roman"/>
          <w:sz w:val="20"/>
          <w:szCs w:val="20"/>
        </w:rPr>
        <w:t xml:space="preserve">; SEED recorded 62-channel EEG from 15 participants watching film clips eliciting positive, neutral and negative emotions</w:t>
      </w:r>
      <w:r>
        <w:rPr>
          <w:rFonts w:ascii="Times New Roman" w:cs="Times New Roman" w:eastAsia="Times New Roman" w:hAnsi="Times New Roman"/>
          <w:color w:val="1F4E9A"/>
          <w:sz w:val="20"/>
          <w:szCs w:val="20"/>
          <w:vertAlign w:val="superscript"/>
        </w:rPr>
        <w:t xml:space="preserve">3</w:t>
      </w:r>
      <w:r>
        <w:rPr>
          <w:rFonts w:ascii="Times New Roman" w:cs="Times New Roman" w:eastAsia="Times New Roman" w:hAnsi="Times New Roman"/>
          <w:sz w:val="20"/>
          <w:szCs w:val="20"/>
        </w:rPr>
        <w:t xml:space="preserve">; SEED-IV extended this design to four discrete emotions over three sessions</w:t>
      </w:r>
      <w:r>
        <w:rPr>
          <w:rFonts w:ascii="Times New Roman" w:cs="Times New Roman" w:eastAsia="Times New Roman" w:hAnsi="Times New Roman"/>
          <w:color w:val="1F4E9A"/>
          <w:sz w:val="20"/>
          <w:szCs w:val="20"/>
          <w:vertAlign w:val="superscript"/>
        </w:rPr>
        <w:t xml:space="preserve">2</w:t>
      </w:r>
      <w:r>
        <w:rPr>
          <w:rFonts w:ascii="Times New Roman" w:cs="Times New Roman" w:eastAsia="Times New Roman" w:hAnsi="Times New Roman"/>
          <w:sz w:val="20"/>
          <w:szCs w:val="20"/>
        </w:rPr>
        <w:t xml:space="preserve">; SEED-V added a fifth class</w:t>
      </w:r>
      <w:r>
        <w:rPr>
          <w:rFonts w:ascii="Times New Roman" w:cs="Times New Roman" w:eastAsia="Times New Roman" w:hAnsi="Times New Roman"/>
          <w:color w:val="1F4E9A"/>
          <w:sz w:val="20"/>
          <w:szCs w:val="20"/>
          <w:vertAlign w:val="superscript"/>
        </w:rPr>
        <w:t xml:space="preserve">24</w:t>
      </w:r>
      <w:r>
        <w:rPr>
          <w:rFonts w:ascii="Times New Roman" w:cs="Times New Roman" w:eastAsia="Times New Roman" w:hAnsi="Times New Roman"/>
          <w:sz w:val="20"/>
          <w:szCs w:val="20"/>
        </w:rPr>
        <w:t xml:space="preserve">; DREAMER used a 14-channel consumer headset</w:t>
      </w:r>
      <w:r>
        <w:rPr>
          <w:rFonts w:ascii="Times New Roman" w:cs="Times New Roman" w:eastAsia="Times New Roman" w:hAnsi="Times New Roman"/>
          <w:color w:val="1F4E9A"/>
          <w:sz w:val="20"/>
          <w:szCs w:val="20"/>
          <w:vertAlign w:val="superscript"/>
        </w:rPr>
        <w:t xml:space="preserve">19</w:t>
      </w:r>
      <w:r>
        <w:rPr>
          <w:rFonts w:ascii="Times New Roman" w:cs="Times New Roman" w:eastAsia="Times New Roman" w:hAnsi="Times New Roman"/>
          <w:sz w:val="20"/>
          <w:szCs w:val="20"/>
        </w:rPr>
        <w:t xml:space="preserve">; and FACED provides 32-channel recordings from 123 participants with nine fine-grained emotion categories</w:t>
      </w:r>
      <w:r>
        <w:rPr>
          <w:rFonts w:ascii="Times New Roman" w:cs="Times New Roman" w:eastAsia="Times New Roman" w:hAnsi="Times New Roman"/>
          <w:color w:val="1F4E9A"/>
          <w:sz w:val="20"/>
          <w:szCs w:val="20"/>
          <w:vertAlign w:val="superscript"/>
        </w:rPr>
        <w:t xml:space="preserve">25</w:t>
      </w:r>
      <w:r>
        <w:rPr>
          <w:rFonts w:ascii="Times New Roman" w:cs="Times New Roman" w:eastAsia="Times New Roman" w:hAnsi="Times New Roman"/>
          <w:sz w:val="20"/>
          <w:szCs w:val="20"/>
        </w:rPr>
        <w:t xml:space="preserve">. Because SEED and SEED-IV release precomputed differential-entropy features, they have become the de facto benchmarks for cross-participant studies.</w:t>
      </w:r>
    </w:p>
    <w:p>
      <w:pPr>
        <w:spacing w:after="0" w:line="252"/>
        <w:ind w:left="1700" w:firstLine="240"/>
        <w:jc w:val="both"/>
      </w:pPr>
      <w:r>
        <w:rPr>
          <w:rFonts w:ascii="Times New Roman" w:cs="Times New Roman" w:eastAsia="Times New Roman" w:hAnsi="Times New Roman"/>
          <w:sz w:val="20"/>
          <w:szCs w:val="20"/>
        </w:rPr>
        <w:t xml:space="preserve">In these datasets, each film clip yields many consecutive windows that share a label. This structure creates two distinct generalisation problems: generalisation to new windows or trials of a participant whose other data were used for training (subject-dependent), and generalisation to a participant whose data were never seen (subject-independent or cross-participant). Accuracies for the second problem are consistently and substantially lower than for the first</w:t>
      </w:r>
      <w:r>
        <w:rPr>
          <w:rFonts w:ascii="Times New Roman" w:cs="Times New Roman" w:eastAsia="Times New Roman" w:hAnsi="Times New Roman"/>
          <w:color w:val="1F4E9A"/>
          <w:sz w:val="20"/>
          <w:szCs w:val="20"/>
          <w:vertAlign w:val="superscript"/>
        </w:rPr>
        <w:t xml:space="preserve">26,27</w:t>
      </w:r>
      <w:r>
        <w:rPr>
          <w:rFonts w:ascii="Times New Roman" w:cs="Times New Roman" w:eastAsia="Times New Roman" w:hAnsi="Times New Roman"/>
          <w:sz w:val="20"/>
          <w:szCs w:val="20"/>
        </w:rPr>
        <w:t xml:space="preserve">, and it is the second that matters for deployment.</w:t>
      </w:r>
    </w:p>
    <w:p>
      <w:pPr>
        <w:pStyle w:val="Heading2"/>
        <w:keepNext/>
        <w:spacing w:after="40" w:before="220"/>
        <w:ind w:left="1700"/>
      </w:pPr>
      <w:r>
        <w:rPr>
          <w:rFonts w:ascii="Arial" w:cs="Arial" w:eastAsia="Arial" w:hAnsi="Arial"/>
          <w:b/>
          <w:bCs/>
          <w:color w:val="000000"/>
          <w:sz w:val="21"/>
          <w:szCs w:val="21"/>
        </w:rPr>
        <w:t xml:space="preserve">2.3 Hand-crafted features and classical classifiers</w:t>
      </w:r>
    </w:p>
    <w:p>
      <w:pPr>
        <w:spacing w:after="0" w:line="252"/>
        <w:ind w:left="1700" w:firstLine="0"/>
        <w:jc w:val="both"/>
      </w:pPr>
      <w:r>
        <w:rPr>
          <w:rFonts w:ascii="Times New Roman" w:cs="Times New Roman" w:eastAsia="Times New Roman" w:hAnsi="Times New Roman"/>
          <w:sz w:val="20"/>
          <w:szCs w:val="20"/>
        </w:rPr>
        <w:t xml:space="preserve">Early work relied on hand-crafted features. Jenke and colleagues compared a broad set of time-domain, frequency-domain and time–frequency features and found that band-power-related features and their combinations were among the most informative</w:t>
      </w:r>
      <w:r>
        <w:rPr>
          <w:rFonts w:ascii="Times New Roman" w:cs="Times New Roman" w:eastAsia="Times New Roman" w:hAnsi="Times New Roman"/>
          <w:color w:val="1F4E9A"/>
          <w:sz w:val="20"/>
          <w:szCs w:val="20"/>
          <w:vertAlign w:val="superscript"/>
        </w:rPr>
        <w:t xml:space="preserve">23</w:t>
      </w:r>
      <w:r>
        <w:rPr>
          <w:rFonts w:ascii="Times New Roman" w:cs="Times New Roman" w:eastAsia="Times New Roman" w:hAnsi="Times New Roman"/>
          <w:sz w:val="20"/>
          <w:szCs w:val="20"/>
        </w:rPr>
        <w:t xml:space="preserve">. Differential entropy (DE), the entropy of a band-limited signal, which for approximately Gaussian signals equals the logarithm of band power up to a constant, was introduced as a robust emotion feature</w:t>
      </w:r>
      <w:r>
        <w:rPr>
          <w:rFonts w:ascii="Times New Roman" w:cs="Times New Roman" w:eastAsia="Times New Roman" w:hAnsi="Times New Roman"/>
          <w:color w:val="1F4E9A"/>
          <w:sz w:val="20"/>
          <w:szCs w:val="20"/>
          <w:vertAlign w:val="superscript"/>
        </w:rPr>
        <w:t xml:space="preserve">28</w:t>
      </w:r>
      <w:r>
        <w:rPr>
          <w:rFonts w:ascii="Times New Roman" w:cs="Times New Roman" w:eastAsia="Times New Roman" w:hAnsi="Times New Roman"/>
          <w:sz w:val="20"/>
          <w:szCs w:val="20"/>
        </w:rPr>
        <w:t xml:space="preserve"> and outperformed band power in SEED</w:t>
      </w:r>
      <w:r>
        <w:rPr>
          <w:rFonts w:ascii="Times New Roman" w:cs="Times New Roman" w:eastAsia="Times New Roman" w:hAnsi="Times New Roman"/>
          <w:color w:val="1F4E9A"/>
          <w:sz w:val="20"/>
          <w:szCs w:val="20"/>
          <w:vertAlign w:val="superscript"/>
        </w:rPr>
        <w:t xml:space="preserve">3</w:t>
      </w:r>
      <w:r>
        <w:rPr>
          <w:rFonts w:ascii="Times New Roman" w:cs="Times New Roman" w:eastAsia="Times New Roman" w:hAnsi="Times New Roman"/>
          <w:sz w:val="20"/>
          <w:szCs w:val="20"/>
        </w:rPr>
        <w:t xml:space="preserve">. Smoothing the DE sequence with a linear dynamical system further improved accuracy by suppressing window-to-window noise</w:t>
      </w:r>
      <w:r>
        <w:rPr>
          <w:rFonts w:ascii="Times New Roman" w:cs="Times New Roman" w:eastAsia="Times New Roman" w:hAnsi="Times New Roman"/>
          <w:color w:val="1F4E9A"/>
          <w:sz w:val="20"/>
          <w:szCs w:val="20"/>
          <w:vertAlign w:val="superscript"/>
        </w:rPr>
        <w:t xml:space="preserve">3</w:t>
      </w:r>
      <w:r>
        <w:rPr>
          <w:rFonts w:ascii="Times New Roman" w:cs="Times New Roman" w:eastAsia="Times New Roman" w:hAnsi="Times New Roman"/>
          <w:sz w:val="20"/>
          <w:szCs w:val="20"/>
        </w:rPr>
        <w:t xml:space="preserve">, at the cost of introducing temporal dependence between neighbouring windows. Classical classifiers such as support vector machines, linear discriminant analysis and ensembles of decision trees remain strong baselines on these features</w:t>
      </w:r>
      <w:r>
        <w:rPr>
          <w:rFonts w:ascii="Times New Roman" w:cs="Times New Roman" w:eastAsia="Times New Roman" w:hAnsi="Times New Roman"/>
          <w:color w:val="1F4E9A"/>
          <w:sz w:val="20"/>
          <w:szCs w:val="20"/>
          <w:vertAlign w:val="superscript"/>
        </w:rPr>
        <w:t xml:space="preserve">29,30</w:t>
      </w:r>
      <w:r>
        <w:rPr>
          <w:rFonts w:ascii="Times New Roman" w:cs="Times New Roman" w:eastAsia="Times New Roman" w:hAnsi="Times New Roman"/>
          <w:sz w:val="20"/>
          <w:szCs w:val="20"/>
        </w:rPr>
        <w:t xml:space="preserve">, and our own classical benchmark confirms that they carry emotion information across participants.</w:t>
      </w:r>
    </w:p>
    <w:p>
      <w:pPr>
        <w:pStyle w:val="Heading2"/>
        <w:keepNext/>
        <w:spacing w:after="40" w:before="220"/>
        <w:ind w:left="1700"/>
      </w:pPr>
      <w:r>
        <w:rPr>
          <w:rFonts w:ascii="Arial" w:cs="Arial" w:eastAsia="Arial" w:hAnsi="Arial"/>
          <w:b/>
          <w:bCs/>
          <w:color w:val="000000"/>
          <w:sz w:val="21"/>
          <w:szCs w:val="21"/>
        </w:rPr>
        <w:t xml:space="preserve">2.4 Deep architectures for EEG emotion recognition</w:t>
      </w:r>
    </w:p>
    <w:p>
      <w:pPr>
        <w:spacing w:after="0" w:line="252"/>
        <w:ind w:left="1700" w:firstLine="0"/>
        <w:jc w:val="both"/>
      </w:pPr>
      <w:r>
        <w:rPr>
          <w:rFonts w:ascii="Times New Roman" w:cs="Times New Roman" w:eastAsia="Times New Roman" w:hAnsi="Times New Roman"/>
          <w:sz w:val="20"/>
          <w:szCs w:val="20"/>
        </w:rPr>
        <w:t xml:space="preserve">Deep learning has been applied both to raw EEG and to spectral features</w:t>
      </w:r>
      <w:r>
        <w:rPr>
          <w:rFonts w:ascii="Times New Roman" w:cs="Times New Roman" w:eastAsia="Times New Roman" w:hAnsi="Times New Roman"/>
          <w:color w:val="1F4E9A"/>
          <w:sz w:val="20"/>
          <w:szCs w:val="20"/>
          <w:vertAlign w:val="superscript"/>
        </w:rPr>
        <w:t xml:space="preserve">31,32</w:t>
      </w:r>
      <w:r>
        <w:rPr>
          <w:rFonts w:ascii="Times New Roman" w:cs="Times New Roman" w:eastAsia="Times New Roman" w:hAnsi="Times New Roman"/>
          <w:sz w:val="20"/>
          <w:szCs w:val="20"/>
        </w:rPr>
        <w:t xml:space="preserve">. Convolutional architectures designed for raw EEG, such as the deep and shallow ConvNets of Schirrmeister and colleagues</w:t>
      </w:r>
      <w:r>
        <w:rPr>
          <w:rFonts w:ascii="Times New Roman" w:cs="Times New Roman" w:eastAsia="Times New Roman" w:hAnsi="Times New Roman"/>
          <w:color w:val="1F4E9A"/>
          <w:sz w:val="20"/>
          <w:szCs w:val="20"/>
          <w:vertAlign w:val="superscript"/>
        </w:rPr>
        <w:t xml:space="preserve">33</w:t>
      </w:r>
      <w:r>
        <w:rPr>
          <w:rFonts w:ascii="Times New Roman" w:cs="Times New Roman" w:eastAsia="Times New Roman" w:hAnsi="Times New Roman"/>
          <w:sz w:val="20"/>
          <w:szCs w:val="20"/>
        </w:rPr>
        <w:t xml:space="preserve"> and the compact EEGNet</w:t>
      </w:r>
      <w:r>
        <w:rPr>
          <w:rFonts w:ascii="Times New Roman" w:cs="Times New Roman" w:eastAsia="Times New Roman" w:hAnsi="Times New Roman"/>
          <w:color w:val="1F4E9A"/>
          <w:sz w:val="20"/>
          <w:szCs w:val="20"/>
          <w:vertAlign w:val="superscript"/>
        </w:rPr>
        <w:t xml:space="preserve">34</w:t>
      </w:r>
      <w:r>
        <w:rPr>
          <w:rFonts w:ascii="Times New Roman" w:cs="Times New Roman" w:eastAsia="Times New Roman" w:hAnsi="Times New Roman"/>
          <w:sz w:val="20"/>
          <w:szCs w:val="20"/>
        </w:rPr>
        <w:t xml:space="preserve">, learn temporal and spatial filters end to end, and transformer-based models such as EEG Conformer add global self-attention</w:t>
      </w:r>
      <w:r>
        <w:rPr>
          <w:rFonts w:ascii="Times New Roman" w:cs="Times New Roman" w:eastAsia="Times New Roman" w:hAnsi="Times New Roman"/>
          <w:color w:val="1F4E9A"/>
          <w:sz w:val="20"/>
          <w:szCs w:val="20"/>
          <w:vertAlign w:val="superscript"/>
        </w:rPr>
        <w:t xml:space="preserve">35,36</w:t>
      </w:r>
      <w:r>
        <w:rPr>
          <w:rFonts w:ascii="Times New Roman" w:cs="Times New Roman" w:eastAsia="Times New Roman" w:hAnsi="Times New Roman"/>
          <w:sz w:val="20"/>
          <w:szCs w:val="20"/>
        </w:rPr>
        <w:t xml:space="preserve">. For DE features, which are organised by electrode and band, graph neural networks have been particularly influential. DGCNN learns an adjacency matrix between electrodes</w:t>
      </w:r>
      <w:r>
        <w:rPr>
          <w:rFonts w:ascii="Times New Roman" w:cs="Times New Roman" w:eastAsia="Times New Roman" w:hAnsi="Times New Roman"/>
          <w:color w:val="1F4E9A"/>
          <w:sz w:val="20"/>
          <w:szCs w:val="20"/>
          <w:vertAlign w:val="superscript"/>
        </w:rPr>
        <w:t xml:space="preserve">10</w:t>
      </w:r>
      <w:r>
        <w:rPr>
          <w:rFonts w:ascii="Times New Roman" w:cs="Times New Roman" w:eastAsia="Times New Roman" w:hAnsi="Times New Roman"/>
          <w:sz w:val="20"/>
          <w:szCs w:val="20"/>
        </w:rPr>
        <w:t xml:space="preserve">; RGNN regularises this graph with anatomical connectivity and node-wise domain adversarial training</w:t>
      </w:r>
      <w:r>
        <w:rPr>
          <w:rFonts w:ascii="Times New Roman" w:cs="Times New Roman" w:eastAsia="Times New Roman" w:hAnsi="Times New Roman"/>
          <w:color w:val="1F4E9A"/>
          <w:sz w:val="20"/>
          <w:szCs w:val="20"/>
          <w:vertAlign w:val="superscript"/>
        </w:rPr>
        <w:t xml:space="preserve">11</w:t>
      </w:r>
      <w:r>
        <w:rPr>
          <w:rFonts w:ascii="Times New Roman" w:cs="Times New Roman" w:eastAsia="Times New Roman" w:hAnsi="Times New Roman"/>
          <w:sz w:val="20"/>
          <w:szCs w:val="20"/>
        </w:rPr>
        <w:t xml:space="preserve">; SOGNN constructs a sample-specific graph</w:t>
      </w:r>
      <w:r>
        <w:rPr>
          <w:rFonts w:ascii="Times New Roman" w:cs="Times New Roman" w:eastAsia="Times New Roman" w:hAnsi="Times New Roman"/>
          <w:color w:val="1F4E9A"/>
          <w:sz w:val="20"/>
          <w:szCs w:val="20"/>
          <w:vertAlign w:val="superscript"/>
        </w:rPr>
        <w:t xml:space="preserve">12</w:t>
      </w:r>
      <w:r>
        <w:rPr>
          <w:rFonts w:ascii="Times New Roman" w:cs="Times New Roman" w:eastAsia="Times New Roman" w:hAnsi="Times New Roman"/>
          <w:sz w:val="20"/>
          <w:szCs w:val="20"/>
        </w:rPr>
        <w:t xml:space="preserve">; and hierarchical spatial–temporal models aggregate regional and global brain information</w:t>
      </w:r>
      <w:r>
        <w:rPr>
          <w:rFonts w:ascii="Times New Roman" w:cs="Times New Roman" w:eastAsia="Times New Roman" w:hAnsi="Times New Roman"/>
          <w:color w:val="1F4E9A"/>
          <w:sz w:val="20"/>
          <w:szCs w:val="20"/>
          <w:vertAlign w:val="superscript"/>
        </w:rPr>
        <w:t xml:space="preserve">37</w:t>
      </w:r>
      <w:r>
        <w:rPr>
          <w:rFonts w:ascii="Times New Roman" w:cs="Times New Roman" w:eastAsia="Times New Roman" w:hAnsi="Times New Roman"/>
          <w:sz w:val="20"/>
          <w:szCs w:val="20"/>
        </w:rPr>
        <w:t xml:space="preserve">. More recent attention-based and frequency-band graph models</w:t>
      </w:r>
      <w:r>
        <w:rPr>
          <w:rFonts w:ascii="Times New Roman" w:cs="Times New Roman" w:eastAsia="Times New Roman" w:hAnsi="Times New Roman"/>
          <w:color w:val="1F4E9A"/>
          <w:sz w:val="20"/>
          <w:szCs w:val="20"/>
          <w:vertAlign w:val="superscript"/>
        </w:rPr>
        <w:t xml:space="preserve">13,14</w:t>
      </w:r>
      <w:r>
        <w:rPr>
          <w:rFonts w:ascii="Times New Roman" w:cs="Times New Roman" w:eastAsia="Times New Roman" w:hAnsi="Times New Roman"/>
          <w:sz w:val="20"/>
          <w:szCs w:val="20"/>
        </w:rPr>
        <w:t xml:space="preserve"> and self-supervised graph models</w:t>
      </w:r>
      <w:r>
        <w:rPr>
          <w:rFonts w:ascii="Times New Roman" w:cs="Times New Roman" w:eastAsia="Times New Roman" w:hAnsi="Times New Roman"/>
          <w:color w:val="1F4E9A"/>
          <w:sz w:val="20"/>
          <w:szCs w:val="20"/>
          <w:vertAlign w:val="superscript"/>
        </w:rPr>
        <w:t xml:space="preserve">15</w:t>
      </w:r>
      <w:r>
        <w:rPr>
          <w:rFonts w:ascii="Times New Roman" w:cs="Times New Roman" w:eastAsia="Times New Roman" w:hAnsi="Times New Roman"/>
          <w:sz w:val="20"/>
          <w:szCs w:val="20"/>
        </w:rPr>
        <w:t xml:space="preserve"> report the highest SEED-IV accuracies (Table 1).</w:t>
      </w:r>
    </w:p>
    <w:p>
      <w:pPr>
        <w:spacing w:after="0" w:line="252"/>
        <w:ind w:left="1700" w:firstLine="240"/>
        <w:jc w:val="both"/>
      </w:pPr>
      <w:r>
        <w:rPr>
          <w:rFonts w:ascii="Times New Roman" w:cs="Times New Roman" w:eastAsia="Times New Roman" w:hAnsi="Times New Roman"/>
          <w:sz w:val="20"/>
          <w:szCs w:val="20"/>
        </w:rPr>
        <w:t xml:space="preserve">Two observations temper these advances. First, systematic reviews have noted that the reported gains of deep models over classical pipelines vary widely, depend strongly on the evaluation protocol and are often obtained with within-participant evaluation</w:t>
      </w:r>
      <w:r>
        <w:rPr>
          <w:rFonts w:ascii="Times New Roman" w:cs="Times New Roman" w:eastAsia="Times New Roman" w:hAnsi="Times New Roman"/>
          <w:color w:val="1F4E9A"/>
          <w:sz w:val="20"/>
          <w:szCs w:val="20"/>
          <w:vertAlign w:val="superscript"/>
        </w:rPr>
        <w:t xml:space="preserve">31,32</w:t>
      </w:r>
      <w:r>
        <w:rPr>
          <w:rFonts w:ascii="Times New Roman" w:cs="Times New Roman" w:eastAsia="Times New Roman" w:hAnsi="Times New Roman"/>
          <w:sz w:val="20"/>
          <w:szCs w:val="20"/>
        </w:rPr>
        <w:t xml:space="preserve">. Second, the architectural gains reported on SEED-IV are entangled with differences in evaluation protocol, as discussed below, so that the contribution of the architecture itself is difficult to isolate.</w:t>
      </w:r>
    </w:p>
    <w:p>
      <w:pPr>
        <w:pStyle w:val="Heading2"/>
        <w:keepNext/>
        <w:spacing w:after="40" w:before="220"/>
        <w:ind w:left="1700"/>
      </w:pPr>
      <w:r>
        <w:rPr>
          <w:rFonts w:ascii="Arial" w:cs="Arial" w:eastAsia="Arial" w:hAnsi="Arial"/>
          <w:b/>
          <w:bCs/>
          <w:color w:val="000000"/>
          <w:sz w:val="21"/>
          <w:szCs w:val="21"/>
        </w:rPr>
        <w:t xml:space="preserve">2.5 Transfer learning and domain adaptation across participants</w:t>
      </w:r>
    </w:p>
    <w:p>
      <w:pPr>
        <w:spacing w:after="0" w:line="252"/>
        <w:ind w:left="1700" w:firstLine="0"/>
        <w:jc w:val="both"/>
      </w:pPr>
      <w:r>
        <w:rPr>
          <w:rFonts w:ascii="Times New Roman" w:cs="Times New Roman" w:eastAsia="Times New Roman" w:hAnsi="Times New Roman"/>
          <w:sz w:val="20"/>
          <w:szCs w:val="20"/>
        </w:rPr>
        <w:t xml:space="preserve">Because inter-participant variability resembles a shift between data distributions, cross-participant EEG has been framed as a transfer-learning or domain-adaptation problem</w:t>
      </w:r>
      <w:r>
        <w:rPr>
          <w:rFonts w:ascii="Times New Roman" w:cs="Times New Roman" w:eastAsia="Times New Roman" w:hAnsi="Times New Roman"/>
          <w:color w:val="1F4E9A"/>
          <w:sz w:val="20"/>
          <w:szCs w:val="20"/>
          <w:vertAlign w:val="superscript"/>
        </w:rPr>
        <w:t xml:space="preserve">26,27</w:t>
      </w:r>
      <w:r>
        <w:rPr>
          <w:rFonts w:ascii="Times New Roman" w:cs="Times New Roman" w:eastAsia="Times New Roman" w:hAnsi="Times New Roman"/>
          <w:sz w:val="20"/>
          <w:szCs w:val="20"/>
        </w:rPr>
        <w:t xml:space="preserve">. Shallow approaches align feature distributions directly, for example with transfer component analysis</w:t>
      </w:r>
      <w:r>
        <w:rPr>
          <w:rFonts w:ascii="Times New Roman" w:cs="Times New Roman" w:eastAsia="Times New Roman" w:hAnsi="Times New Roman"/>
          <w:color w:val="1F4E9A"/>
          <w:sz w:val="20"/>
          <w:szCs w:val="20"/>
          <w:vertAlign w:val="superscript"/>
        </w:rPr>
        <w:t xml:space="preserve">38</w:t>
      </w:r>
      <w:r>
        <w:rPr>
          <w:rFonts w:ascii="Times New Roman" w:cs="Times New Roman" w:eastAsia="Times New Roman" w:hAnsi="Times New Roman"/>
          <w:sz w:val="20"/>
          <w:szCs w:val="20"/>
        </w:rPr>
        <w:t xml:space="preserve">, and early EEG studies showed that personalising models through transfer learning improves accuracy on new participants</w:t>
      </w:r>
      <w:r>
        <w:rPr>
          <w:rFonts w:ascii="Times New Roman" w:cs="Times New Roman" w:eastAsia="Times New Roman" w:hAnsi="Times New Roman"/>
          <w:color w:val="1F4E9A"/>
          <w:sz w:val="20"/>
          <w:szCs w:val="20"/>
          <w:vertAlign w:val="superscript"/>
        </w:rPr>
        <w:t xml:space="preserve">39</w:t>
      </w:r>
      <w:r>
        <w:rPr>
          <w:rFonts w:ascii="Times New Roman" w:cs="Times New Roman" w:eastAsia="Times New Roman" w:hAnsi="Times New Roman"/>
          <w:sz w:val="20"/>
          <w:szCs w:val="20"/>
        </w:rPr>
        <w:t xml:space="preserve">. In brain–computer interfaces more broadly, Riemannian re-centring of covariance matrices</w:t>
      </w:r>
      <w:r>
        <w:rPr>
          <w:rFonts w:ascii="Times New Roman" w:cs="Times New Roman" w:eastAsia="Times New Roman" w:hAnsi="Times New Roman"/>
          <w:color w:val="1F4E9A"/>
          <w:sz w:val="20"/>
          <w:szCs w:val="20"/>
          <w:vertAlign w:val="superscript"/>
        </w:rPr>
        <w:t xml:space="preserve">40</w:t>
      </w:r>
      <w:r>
        <w:rPr>
          <w:rFonts w:ascii="Times New Roman" w:cs="Times New Roman" w:eastAsia="Times New Roman" w:hAnsi="Times New Roman"/>
          <w:sz w:val="20"/>
          <w:szCs w:val="20"/>
        </w:rPr>
        <w:t xml:space="preserve"> and Euclidean alignment of each participant’s data</w:t>
      </w:r>
      <w:r>
        <w:rPr>
          <w:rFonts w:ascii="Times New Roman" w:cs="Times New Roman" w:eastAsia="Times New Roman" w:hAnsi="Times New Roman"/>
          <w:color w:val="1F4E9A"/>
          <w:sz w:val="20"/>
          <w:szCs w:val="20"/>
          <w:vertAlign w:val="superscript"/>
        </w:rPr>
        <w:t xml:space="preserve">41</w:t>
      </w:r>
      <w:r>
        <w:rPr>
          <w:rFonts w:ascii="Times New Roman" w:cs="Times New Roman" w:eastAsia="Times New Roman" w:hAnsi="Times New Roman"/>
          <w:sz w:val="20"/>
          <w:szCs w:val="20"/>
        </w:rPr>
        <w:t xml:space="preserve"> reduce inter-participant shift with little or no labelled target data.</w:t>
      </w:r>
    </w:p>
    <w:p>
      <w:pPr>
        <w:spacing w:after="0" w:line="252"/>
        <w:ind w:left="1700" w:firstLine="240"/>
        <w:jc w:val="both"/>
      </w:pPr>
      <w:r>
        <w:rPr>
          <w:rFonts w:ascii="Times New Roman" w:cs="Times New Roman" w:eastAsia="Times New Roman" w:hAnsi="Times New Roman"/>
          <w:sz w:val="20"/>
          <w:szCs w:val="20"/>
        </w:rPr>
        <w:t xml:space="preserve">Deep domain adaptation extends these ideas to learned representations. Deep adaptation networks minimise a maximum mean discrepancy between source and target features</w:t>
      </w:r>
      <w:r>
        <w:rPr>
          <w:rFonts w:ascii="Times New Roman" w:cs="Times New Roman" w:eastAsia="Times New Roman" w:hAnsi="Times New Roman"/>
          <w:color w:val="1F4E9A"/>
          <w:sz w:val="20"/>
          <w:szCs w:val="20"/>
          <w:vertAlign w:val="superscript"/>
        </w:rPr>
        <w:t xml:space="preserve">42</w:t>
      </w:r>
      <w:r>
        <w:rPr>
          <w:rFonts w:ascii="Times New Roman" w:cs="Times New Roman" w:eastAsia="Times New Roman" w:hAnsi="Times New Roman"/>
          <w:sz w:val="20"/>
          <w:szCs w:val="20"/>
        </w:rPr>
        <w:t xml:space="preserve">, and their application to SEED and SEED-IV improved cross-participant accuracy</w:t>
      </w:r>
      <w:r>
        <w:rPr>
          <w:rFonts w:ascii="Times New Roman" w:cs="Times New Roman" w:eastAsia="Times New Roman" w:hAnsi="Times New Roman"/>
          <w:color w:val="1F4E9A"/>
          <w:sz w:val="20"/>
          <w:szCs w:val="20"/>
          <w:vertAlign w:val="superscript"/>
        </w:rPr>
        <w:t xml:space="preserve">7</w:t>
      </w:r>
      <w:r>
        <w:rPr>
          <w:rFonts w:ascii="Times New Roman" w:cs="Times New Roman" w:eastAsia="Times New Roman" w:hAnsi="Times New Roman"/>
          <w:sz w:val="20"/>
          <w:szCs w:val="20"/>
        </w:rPr>
        <w:t xml:space="preserve">. Domain-adversarial training removes domain information with a gradient-reversal layer</w:t>
      </w:r>
      <w:r>
        <w:rPr>
          <w:rFonts w:ascii="Times New Roman" w:cs="Times New Roman" w:eastAsia="Times New Roman" w:hAnsi="Times New Roman"/>
          <w:color w:val="1F4E9A"/>
          <w:sz w:val="20"/>
          <w:szCs w:val="20"/>
          <w:vertAlign w:val="superscript"/>
        </w:rPr>
        <w:t xml:space="preserve">6</w:t>
      </w:r>
      <w:r>
        <w:rPr>
          <w:rFonts w:ascii="Times New Roman" w:cs="Times New Roman" w:eastAsia="Times New Roman" w:hAnsi="Times New Roman"/>
          <w:sz w:val="20"/>
          <w:szCs w:val="20"/>
        </w:rPr>
        <w:t xml:space="preserve"> and has been combined with bi-hemispheric models</w:t>
      </w:r>
      <w:r>
        <w:rPr>
          <w:rFonts w:ascii="Times New Roman" w:cs="Times New Roman" w:eastAsia="Times New Roman" w:hAnsi="Times New Roman"/>
          <w:color w:val="1F4E9A"/>
          <w:sz w:val="20"/>
          <w:szCs w:val="20"/>
          <w:vertAlign w:val="superscript"/>
        </w:rPr>
        <w:t xml:space="preserve">8,9</w:t>
      </w:r>
      <w:r>
        <w:rPr>
          <w:rFonts w:ascii="Times New Roman" w:cs="Times New Roman" w:eastAsia="Times New Roman" w:hAnsi="Times New Roman"/>
          <w:sz w:val="20"/>
          <w:szCs w:val="20"/>
        </w:rPr>
        <w:t xml:space="preserve">. Multisource transfer selects and weights the most similar source participants</w:t>
      </w:r>
      <w:r>
        <w:rPr>
          <w:rFonts w:ascii="Times New Roman" w:cs="Times New Roman" w:eastAsia="Times New Roman" w:hAnsi="Times New Roman"/>
          <w:color w:val="1F4E9A"/>
          <w:sz w:val="20"/>
          <w:szCs w:val="20"/>
          <w:vertAlign w:val="superscript"/>
        </w:rPr>
        <w:t xml:space="preserve">43</w:t>
      </w:r>
      <w:r>
        <w:rPr>
          <w:rFonts w:ascii="Times New Roman" w:cs="Times New Roman" w:eastAsia="Times New Roman" w:hAnsi="Times New Roman"/>
          <w:sz w:val="20"/>
          <w:szCs w:val="20"/>
        </w:rPr>
        <w:t xml:space="preserve">, and plug-and-play domain adaptation adapts a pretrained model to a new participant with a small amount of target data</w:t>
      </w:r>
      <w:r>
        <w:rPr>
          <w:rFonts w:ascii="Times New Roman" w:cs="Times New Roman" w:eastAsia="Times New Roman" w:hAnsi="Times New Roman"/>
          <w:color w:val="1F4E9A"/>
          <w:sz w:val="20"/>
          <w:szCs w:val="20"/>
          <w:vertAlign w:val="superscript"/>
        </w:rPr>
        <w:t xml:space="preserve">44</w:t>
      </w:r>
      <w:r>
        <w:rPr>
          <w:rFonts w:ascii="Times New Roman" w:cs="Times New Roman" w:eastAsia="Times New Roman" w:hAnsi="Times New Roman"/>
          <w:sz w:val="20"/>
          <w:szCs w:val="20"/>
        </w:rPr>
        <w:t xml:space="preserve">. A simpler mechanism, adaptive batch normalisation, re-estimates normalisation statistics on target data without changing the learned weights</w:t>
      </w:r>
      <w:r>
        <w:rPr>
          <w:rFonts w:ascii="Times New Roman" w:cs="Times New Roman" w:eastAsia="Times New Roman" w:hAnsi="Times New Roman"/>
          <w:color w:val="1F4E9A"/>
          <w:sz w:val="20"/>
          <w:szCs w:val="20"/>
          <w:vertAlign w:val="superscript"/>
        </w:rPr>
        <w:t xml:space="preserve">45</w:t>
      </w:r>
      <w:r>
        <w:rPr>
          <w:rFonts w:ascii="Times New Roman" w:cs="Times New Roman" w:eastAsia="Times New Roman" w:hAnsi="Times New Roman"/>
          <w:sz w:val="20"/>
          <w:szCs w:val="20"/>
        </w:rPr>
        <w:t xml:space="preserve">. A common feature of most of these methods is that they use data from the test participant: unlabelled data in the transductive setting, or a small labelled set in the calibration setting. Their reported accuracies therefore measure a different quantity from zero-shot generalisation, a distinction that is rarely made explicit.</w:t>
      </w:r>
    </w:p>
    <w:p>
      <w:pPr>
        <w:pStyle w:val="Heading2"/>
        <w:keepNext/>
        <w:spacing w:after="40" w:before="220"/>
        <w:ind w:left="1700"/>
      </w:pPr>
      <w:r>
        <w:rPr>
          <w:rFonts w:ascii="Arial" w:cs="Arial" w:eastAsia="Arial" w:hAnsi="Arial"/>
          <w:b/>
          <w:bCs/>
          <w:color w:val="000000"/>
          <w:sz w:val="21"/>
          <w:szCs w:val="21"/>
        </w:rPr>
        <w:t xml:space="preserve">2.6 Self-supervised, contrastive and semi-supervised learning</w:t>
      </w:r>
    </w:p>
    <w:p>
      <w:pPr>
        <w:spacing w:after="0" w:line="252"/>
        <w:ind w:left="1700" w:firstLine="0"/>
        <w:jc w:val="both"/>
      </w:pPr>
      <w:r>
        <w:rPr>
          <w:rFonts w:ascii="Times New Roman" w:cs="Times New Roman" w:eastAsia="Times New Roman" w:hAnsi="Times New Roman"/>
          <w:sz w:val="20"/>
          <w:szCs w:val="20"/>
        </w:rPr>
        <w:t xml:space="preserve">Self-supervised learning offers a way to learn representations without labels. Contrastive methods such as SimCLR pull together two augmented views of the same sample and push apart other samples</w:t>
      </w:r>
      <w:r>
        <w:rPr>
          <w:rFonts w:ascii="Times New Roman" w:cs="Times New Roman" w:eastAsia="Times New Roman" w:hAnsi="Times New Roman"/>
          <w:color w:val="1F4E9A"/>
          <w:sz w:val="20"/>
          <w:szCs w:val="20"/>
          <w:vertAlign w:val="superscript"/>
        </w:rPr>
        <w:t xml:space="preserve">46</w:t>
      </w:r>
      <w:r>
        <w:rPr>
          <w:rFonts w:ascii="Times New Roman" w:cs="Times New Roman" w:eastAsia="Times New Roman" w:hAnsi="Times New Roman"/>
          <w:sz w:val="20"/>
          <w:szCs w:val="20"/>
        </w:rPr>
        <w:t xml:space="preserve">, while BYOL avoids negative pairs by predicting one view from another with a slowly updated target network</w:t>
      </w:r>
      <w:r>
        <w:rPr>
          <w:rFonts w:ascii="Times New Roman" w:cs="Times New Roman" w:eastAsia="Times New Roman" w:hAnsi="Times New Roman"/>
          <w:color w:val="1F4E9A"/>
          <w:sz w:val="20"/>
          <w:szCs w:val="20"/>
          <w:vertAlign w:val="superscript"/>
        </w:rPr>
        <w:t xml:space="preserve">47</w:t>
      </w:r>
      <w:r>
        <w:rPr>
          <w:rFonts w:ascii="Times New Roman" w:cs="Times New Roman" w:eastAsia="Times New Roman" w:hAnsi="Times New Roman"/>
          <w:sz w:val="20"/>
          <w:szCs w:val="20"/>
        </w:rPr>
        <w:t xml:space="preserve">. For EEG, contrastive pretraining with signal-specific augmentations</w:t>
      </w:r>
      <w:r>
        <w:rPr>
          <w:rFonts w:ascii="Times New Roman" w:cs="Times New Roman" w:eastAsia="Times New Roman" w:hAnsi="Times New Roman"/>
          <w:color w:val="1F4E9A"/>
          <w:sz w:val="20"/>
          <w:szCs w:val="20"/>
          <w:vertAlign w:val="superscript"/>
        </w:rPr>
        <w:t xml:space="preserve">48</w:t>
      </w:r>
      <w:r>
        <w:rPr>
          <w:rFonts w:ascii="Times New Roman" w:cs="Times New Roman" w:eastAsia="Times New Roman" w:hAnsi="Times New Roman"/>
          <w:sz w:val="20"/>
          <w:szCs w:val="20"/>
        </w:rPr>
        <w:t xml:space="preserve">, relative-positioning and temporal-shuffling pretext tasks</w:t>
      </w:r>
      <w:r>
        <w:rPr>
          <w:rFonts w:ascii="Times New Roman" w:cs="Times New Roman" w:eastAsia="Times New Roman" w:hAnsi="Times New Roman"/>
          <w:color w:val="1F4E9A"/>
          <w:sz w:val="20"/>
          <w:szCs w:val="20"/>
          <w:vertAlign w:val="superscript"/>
        </w:rPr>
        <w:t xml:space="preserve">49</w:t>
      </w:r>
      <w:r>
        <w:rPr>
          <w:rFonts w:ascii="Times New Roman" w:cs="Times New Roman" w:eastAsia="Times New Roman" w:hAnsi="Times New Roman"/>
          <w:sz w:val="20"/>
          <w:szCs w:val="20"/>
        </w:rPr>
        <w:t xml:space="preserve"> and transformer-based contrastive pretraining on large unlabelled corpora</w:t>
      </w:r>
      <w:r>
        <w:rPr>
          <w:rFonts w:ascii="Times New Roman" w:cs="Times New Roman" w:eastAsia="Times New Roman" w:hAnsi="Times New Roman"/>
          <w:color w:val="1F4E9A"/>
          <w:sz w:val="20"/>
          <w:szCs w:val="20"/>
          <w:vertAlign w:val="superscript"/>
        </w:rPr>
        <w:t xml:space="preserve">50</w:t>
      </w:r>
      <w:r>
        <w:rPr>
          <w:rFonts w:ascii="Times New Roman" w:cs="Times New Roman" w:eastAsia="Times New Roman" w:hAnsi="Times New Roman"/>
          <w:sz w:val="20"/>
          <w:szCs w:val="20"/>
        </w:rPr>
        <w:t xml:space="preserve"> have all produced representations that transfer to downstream tasks. CLISA adapted contrastive learning specifically to cross-participant emotion recognition by treating the time-aligned responses of different participants to the same stimulus as positive pairs, explicitly encouraging inter-participant alignment</w:t>
      </w:r>
      <w:r>
        <w:rPr>
          <w:rFonts w:ascii="Times New Roman" w:cs="Times New Roman" w:eastAsia="Times New Roman" w:hAnsi="Times New Roman"/>
          <w:color w:val="1F4E9A"/>
          <w:sz w:val="20"/>
          <w:szCs w:val="20"/>
          <w:vertAlign w:val="superscript"/>
        </w:rPr>
        <w:t xml:space="preserve">5</w:t>
      </w:r>
      <w:r>
        <w:rPr>
          <w:rFonts w:ascii="Times New Roman" w:cs="Times New Roman" w:eastAsia="Times New Roman" w:hAnsi="Times New Roman"/>
          <w:sz w:val="20"/>
          <w:szCs w:val="20"/>
        </w:rPr>
        <w:t xml:space="preserve">.</w:t>
      </w:r>
    </w:p>
    <w:p>
      <w:pPr>
        <w:spacing w:after="0" w:line="252"/>
        <w:ind w:left="1700" w:firstLine="240"/>
        <w:jc w:val="both"/>
      </w:pPr>
      <w:r>
        <w:rPr>
          <w:rFonts w:ascii="Times New Roman" w:cs="Times New Roman" w:eastAsia="Times New Roman" w:hAnsi="Times New Roman"/>
          <w:sz w:val="20"/>
          <w:szCs w:val="20"/>
        </w:rPr>
        <w:t xml:space="preserve">Semi-supervised methods exploit unlabelled data during supervised training. Pseudo-labelling adds confident predictions on unlabelled data as training targets</w:t>
      </w:r>
      <w:r>
        <w:rPr>
          <w:rFonts w:ascii="Times New Roman" w:cs="Times New Roman" w:eastAsia="Times New Roman" w:hAnsi="Times New Roman"/>
          <w:color w:val="1F4E9A"/>
          <w:sz w:val="20"/>
          <w:szCs w:val="20"/>
          <w:vertAlign w:val="superscript"/>
        </w:rPr>
        <w:t xml:space="preserve">51</w:t>
      </w:r>
      <w:r>
        <w:rPr>
          <w:rFonts w:ascii="Times New Roman" w:cs="Times New Roman" w:eastAsia="Times New Roman" w:hAnsi="Times New Roman"/>
          <w:sz w:val="20"/>
          <w:szCs w:val="20"/>
        </w:rPr>
        <w:t xml:space="preserve">, and MixMatch combines consistency regularisation, entropy minimisation and mixing</w:t>
      </w:r>
      <w:r>
        <w:rPr>
          <w:rFonts w:ascii="Times New Roman" w:cs="Times New Roman" w:eastAsia="Times New Roman" w:hAnsi="Times New Roman"/>
          <w:color w:val="1F4E9A"/>
          <w:sz w:val="20"/>
          <w:szCs w:val="20"/>
          <w:vertAlign w:val="superscript"/>
        </w:rPr>
        <w:t xml:space="preserve">52</w:t>
      </w:r>
      <w:r>
        <w:rPr>
          <w:rFonts w:ascii="Times New Roman" w:cs="Times New Roman" w:eastAsia="Times New Roman" w:hAnsi="Times New Roman"/>
          <w:sz w:val="20"/>
          <w:szCs w:val="20"/>
        </w:rPr>
        <w:t xml:space="preserve">. When the unlabelled data come from the test participant, these methods become transductive. Knowledge distillation</w:t>
      </w:r>
      <w:r>
        <w:rPr>
          <w:rFonts w:ascii="Times New Roman" w:cs="Times New Roman" w:eastAsia="Times New Roman" w:hAnsi="Times New Roman"/>
          <w:color w:val="1F4E9A"/>
          <w:sz w:val="20"/>
          <w:szCs w:val="20"/>
          <w:vertAlign w:val="superscript"/>
        </w:rPr>
        <w:t xml:space="preserve">53</w:t>
      </w:r>
      <w:r>
        <w:rPr>
          <w:rFonts w:ascii="Times New Roman" w:cs="Times New Roman" w:eastAsia="Times New Roman" w:hAnsi="Times New Roman"/>
          <w:sz w:val="20"/>
          <w:szCs w:val="20"/>
        </w:rPr>
        <w:t xml:space="preserve"> has been used to transfer information from a large teacher to a compact student and is relevant when moving from dense to sparse electrode montages.</w:t>
      </w:r>
    </w:p>
    <w:p>
      <w:pPr>
        <w:pStyle w:val="Heading2"/>
        <w:keepNext/>
        <w:spacing w:after="40" w:before="220"/>
        <w:ind w:left="1700"/>
      </w:pPr>
      <w:r>
        <w:rPr>
          <w:rFonts w:ascii="Arial" w:cs="Arial" w:eastAsia="Arial" w:hAnsi="Arial"/>
          <w:b/>
          <w:bCs/>
          <w:color w:val="000000"/>
          <w:sz w:val="21"/>
          <w:szCs w:val="21"/>
        </w:rPr>
        <w:t xml:space="preserve">2.7 Calibration, evaluation protocols and reporting</w:t>
      </w:r>
    </w:p>
    <w:p>
      <w:pPr>
        <w:spacing w:after="0" w:line="252"/>
        <w:ind w:left="1700" w:firstLine="0"/>
        <w:jc w:val="both"/>
      </w:pPr>
      <w:r>
        <w:rPr>
          <w:rFonts w:ascii="Times New Roman" w:cs="Times New Roman" w:eastAsia="Times New Roman" w:hAnsi="Times New Roman"/>
          <w:sz w:val="20"/>
          <w:szCs w:val="20"/>
        </w:rPr>
        <w:t xml:space="preserve">In motor-imagery and event-related brain–computer interfaces, a short calibration session for each new user is standard practice, and transfer learning is primarily used to shorten it</w:t>
      </w:r>
      <w:r>
        <w:rPr>
          <w:rFonts w:ascii="Times New Roman" w:cs="Times New Roman" w:eastAsia="Times New Roman" w:hAnsi="Times New Roman"/>
          <w:color w:val="1F4E9A"/>
          <w:sz w:val="20"/>
          <w:szCs w:val="20"/>
          <w:vertAlign w:val="superscript"/>
        </w:rPr>
        <w:t xml:space="preserve">26,27,29</w:t>
      </w:r>
      <w:r>
        <w:rPr>
          <w:rFonts w:ascii="Times New Roman" w:cs="Times New Roman" w:eastAsia="Times New Roman" w:hAnsi="Times New Roman"/>
          <w:sz w:val="20"/>
          <w:szCs w:val="20"/>
        </w:rPr>
        <w:t xml:space="preserve">. In EEG emotion recognition, by contrast, results labelled as cross-participant or subject-independent may be zero-shot, transductive or calibrated, and the protocol is often described only implicitly. The amount of target data and how it is selected are rarely reported, even though, as the present study shows, they can dominate the outcome.</w:t>
      </w:r>
    </w:p>
    <w:p>
      <w:pPr>
        <w:spacing w:after="0" w:line="252"/>
        <w:ind w:left="1700" w:firstLine="240"/>
        <w:jc w:val="both"/>
      </w:pPr>
      <w:r>
        <w:rPr>
          <w:rFonts w:ascii="Times New Roman" w:cs="Times New Roman" w:eastAsia="Times New Roman" w:hAnsi="Times New Roman"/>
          <w:sz w:val="20"/>
          <w:szCs w:val="20"/>
        </w:rPr>
        <w:t xml:space="preserve">Data splitting raises related concerns. When windows from the same participant or trial appear in both training and test data, models can exploit participant identity or temporal autocorrelation rather than the effect of interest, inflating accuracy</w:t>
      </w:r>
      <w:r>
        <w:rPr>
          <w:rFonts w:ascii="Times New Roman" w:cs="Times New Roman" w:eastAsia="Times New Roman" w:hAnsi="Times New Roman"/>
          <w:color w:val="1F4E9A"/>
          <w:sz w:val="20"/>
          <w:szCs w:val="20"/>
          <w:vertAlign w:val="superscript"/>
        </w:rPr>
        <w:t xml:space="preserve">16,17</w:t>
      </w:r>
      <w:r>
        <w:rPr>
          <w:rFonts w:ascii="Times New Roman" w:cs="Times New Roman" w:eastAsia="Times New Roman" w:hAnsi="Times New Roman"/>
          <w:sz w:val="20"/>
          <w:szCs w:val="20"/>
        </w:rPr>
        <w:t xml:space="preserve">. In EEG, block designs in which all samples of a class are recorded together allow classifiers to learn slow temporal drifts instead of class-specific responses</w:t>
      </w:r>
      <w:r>
        <w:rPr>
          <w:rFonts w:ascii="Times New Roman" w:cs="Times New Roman" w:eastAsia="Times New Roman" w:hAnsi="Times New Roman"/>
          <w:color w:val="1F4E9A"/>
          <w:sz w:val="20"/>
          <w:szCs w:val="20"/>
          <w:vertAlign w:val="superscript"/>
        </w:rPr>
        <w:t xml:space="preserve">18</w:t>
      </w:r>
      <w:r>
        <w:rPr>
          <w:rFonts w:ascii="Times New Roman" w:cs="Times New Roman" w:eastAsia="Times New Roman" w:hAnsi="Times New Roman"/>
          <w:sz w:val="20"/>
          <w:szCs w:val="20"/>
        </w:rPr>
        <w:t xml:space="preserve">. Finally, many studies report the mean of a small number of runs without participant-level uncertainty, and some report the best fold, which is not an estimate of expected performance. Reporting guidelines for prediction models, such as TRIPOD+AI</w:t>
      </w:r>
      <w:r>
        <w:rPr>
          <w:rFonts w:ascii="Times New Roman" w:cs="Times New Roman" w:eastAsia="Times New Roman" w:hAnsi="Times New Roman"/>
          <w:color w:val="1F4E9A"/>
          <w:sz w:val="20"/>
          <w:szCs w:val="20"/>
          <w:vertAlign w:val="superscript"/>
        </w:rPr>
        <w:t xml:space="preserve">54</w:t>
      </w:r>
      <w:r>
        <w:rPr>
          <w:rFonts w:ascii="Times New Roman" w:cs="Times New Roman" w:eastAsia="Times New Roman" w:hAnsi="Times New Roman"/>
          <w:sz w:val="20"/>
          <w:szCs w:val="20"/>
        </w:rPr>
        <w:t xml:space="preserve">, and statistical procedures for comparing classifiers across data sets</w:t>
      </w:r>
      <w:r>
        <w:rPr>
          <w:rFonts w:ascii="Times New Roman" w:cs="Times New Roman" w:eastAsia="Times New Roman" w:hAnsi="Times New Roman"/>
          <w:color w:val="1F4E9A"/>
          <w:sz w:val="20"/>
          <w:szCs w:val="20"/>
          <w:vertAlign w:val="superscript"/>
        </w:rPr>
        <w:t xml:space="preserve">55</w:t>
      </w:r>
      <w:r>
        <w:rPr>
          <w:rFonts w:ascii="Times New Roman" w:cs="Times New Roman" w:eastAsia="Times New Roman" w:hAnsi="Times New Roman"/>
          <w:sz w:val="20"/>
          <w:szCs w:val="20"/>
        </w:rPr>
        <w:t xml:space="preserve"> provide a framework for addressing these issues that has seldom been applied to EEG emotion recognition.</w:t>
      </w:r>
    </w:p>
    <w:p>
      <w:pPr>
        <w:pStyle w:val="Heading2"/>
        <w:keepNext/>
        <w:spacing w:after="40" w:before="220"/>
        <w:ind w:left="1700"/>
      </w:pPr>
      <w:r>
        <w:rPr>
          <w:rFonts w:ascii="Arial" w:cs="Arial" w:eastAsia="Arial" w:hAnsi="Arial"/>
          <w:b/>
          <w:bCs/>
          <w:color w:val="000000"/>
          <w:sz w:val="21"/>
          <w:szCs w:val="21"/>
        </w:rPr>
        <w:t xml:space="preserve">2.8 Reduced-electrode and wearable EEG</w:t>
      </w:r>
    </w:p>
    <w:p>
      <w:pPr>
        <w:spacing w:after="0" w:line="252"/>
        <w:ind w:left="1700" w:firstLine="0"/>
        <w:jc w:val="both"/>
      </w:pPr>
      <w:r>
        <w:rPr>
          <w:rFonts w:ascii="Times New Roman" w:cs="Times New Roman" w:eastAsia="Times New Roman" w:hAnsi="Times New Roman"/>
          <w:sz w:val="20"/>
          <w:szCs w:val="20"/>
        </w:rPr>
        <w:t xml:space="preserve">Practical affective interfaces require few electrodes. Consumer headsets such as the 14-channel device used in DREAMER</w:t>
      </w:r>
      <w:r>
        <w:rPr>
          <w:rFonts w:ascii="Times New Roman" w:cs="Times New Roman" w:eastAsia="Times New Roman" w:hAnsi="Times New Roman"/>
          <w:color w:val="1F4E9A"/>
          <w:sz w:val="20"/>
          <w:szCs w:val="20"/>
          <w:vertAlign w:val="superscript"/>
        </w:rPr>
        <w:t xml:space="preserve">19</w:t>
      </w:r>
      <w:r>
        <w:rPr>
          <w:rFonts w:ascii="Times New Roman" w:cs="Times New Roman" w:eastAsia="Times New Roman" w:hAnsi="Times New Roman"/>
          <w:sz w:val="20"/>
          <w:szCs w:val="20"/>
        </w:rPr>
        <w:t xml:space="preserve"> and four-channel forehead-and-ear headbands have been validated for some research purposes</w:t>
      </w:r>
      <w:r>
        <w:rPr>
          <w:rFonts w:ascii="Times New Roman" w:cs="Times New Roman" w:eastAsia="Times New Roman" w:hAnsi="Times New Roman"/>
          <w:color w:val="1F4E9A"/>
          <w:sz w:val="20"/>
          <w:szCs w:val="20"/>
          <w:vertAlign w:val="superscript"/>
        </w:rPr>
        <w:t xml:space="preserve">56</w:t>
      </w:r>
      <w:r>
        <w:rPr>
          <w:rFonts w:ascii="Times New Roman" w:cs="Times New Roman" w:eastAsia="Times New Roman" w:hAnsi="Times New Roman"/>
          <w:sz w:val="20"/>
          <w:szCs w:val="20"/>
        </w:rPr>
        <w:t xml:space="preserve">, and wearable EEG is an active area of engineering development</w:t>
      </w:r>
      <w:r>
        <w:rPr>
          <w:rFonts w:ascii="Times New Roman" w:cs="Times New Roman" w:eastAsia="Times New Roman" w:hAnsi="Times New Roman"/>
          <w:color w:val="1F4E9A"/>
          <w:sz w:val="20"/>
          <w:szCs w:val="20"/>
          <w:vertAlign w:val="superscript"/>
        </w:rPr>
        <w:t xml:space="preserve">57</w:t>
      </w:r>
      <w:r>
        <w:rPr>
          <w:rFonts w:ascii="Times New Roman" w:cs="Times New Roman" w:eastAsia="Times New Roman" w:hAnsi="Times New Roman"/>
          <w:sz w:val="20"/>
          <w:szCs w:val="20"/>
        </w:rPr>
        <w:t xml:space="preserve">. In SEED, Zheng and Lu showed that selected subsets of four to six lateral temporal electrodes retained accuracy close to the full montage in subject-dependent classification</w:t>
      </w:r>
      <w:r>
        <w:rPr>
          <w:rFonts w:ascii="Times New Roman" w:cs="Times New Roman" w:eastAsia="Times New Roman" w:hAnsi="Times New Roman"/>
          <w:color w:val="1F4E9A"/>
          <w:sz w:val="20"/>
          <w:szCs w:val="20"/>
          <w:vertAlign w:val="superscript"/>
        </w:rPr>
        <w:t xml:space="preserve">3</w:t>
      </w:r>
      <w:r>
        <w:rPr>
          <w:rFonts w:ascii="Times New Roman" w:cs="Times New Roman" w:eastAsia="Times New Roman" w:hAnsi="Times New Roman"/>
          <w:sz w:val="20"/>
          <w:szCs w:val="20"/>
        </w:rPr>
        <w:t xml:space="preserve">, consistent with the emotion-related information carried by frontal and temporal sites</w:t>
      </w:r>
      <w:r>
        <w:rPr>
          <w:rFonts w:ascii="Times New Roman" w:cs="Times New Roman" w:eastAsia="Times New Roman" w:hAnsi="Times New Roman"/>
          <w:color w:val="1F4E9A"/>
          <w:sz w:val="20"/>
          <w:szCs w:val="20"/>
          <w:vertAlign w:val="superscript"/>
        </w:rPr>
        <w:t xml:space="preserve">20,21</w:t>
      </w:r>
      <w:r>
        <w:rPr>
          <w:rFonts w:ascii="Times New Roman" w:cs="Times New Roman" w:eastAsia="Times New Roman" w:hAnsi="Times New Roman"/>
          <w:sz w:val="20"/>
          <w:szCs w:val="20"/>
        </w:rPr>
        <w:t xml:space="preserve">. Knowledge distillation from dense to sparse montages has also been proposed</w:t>
      </w:r>
      <w:r>
        <w:rPr>
          <w:rFonts w:ascii="Times New Roman" w:cs="Times New Roman" w:eastAsia="Times New Roman" w:hAnsi="Times New Roman"/>
          <w:color w:val="1F4E9A"/>
          <w:sz w:val="20"/>
          <w:szCs w:val="20"/>
          <w:vertAlign w:val="superscript"/>
        </w:rPr>
        <w:t xml:space="preserve">53</w:t>
      </w:r>
      <w:r>
        <w:rPr>
          <w:rFonts w:ascii="Times New Roman" w:cs="Times New Roman" w:eastAsia="Times New Roman" w:hAnsi="Times New Roman"/>
          <w:sz w:val="20"/>
          <w:szCs w:val="20"/>
        </w:rPr>
        <w:t xml:space="preserve">.</w:t>
      </w:r>
    </w:p>
    <w:p>
      <w:pPr>
        <w:spacing w:after="0" w:line="252"/>
        <w:ind w:left="1700" w:firstLine="240"/>
        <w:jc w:val="both"/>
      </w:pPr>
      <w:r>
        <w:rPr>
          <w:rFonts w:ascii="Times New Roman" w:cs="Times New Roman" w:eastAsia="Times New Roman" w:hAnsi="Times New Roman"/>
          <w:sz w:val="20"/>
          <w:szCs w:val="20"/>
        </w:rPr>
        <w:t xml:space="preserve">However, most reduced-electrode studies evaluate subject-dependent performance, select electrodes using data from the same participants on which they are tested, or compare different models across montages. How much cross-participant performance survives electrode reduction when the same models and the same protocol are used, and how this depends on calibration, has not been quantified with participant-level uncertainty.</w:t>
      </w:r>
    </w:p>
    <w:p>
      <w:pPr>
        <w:pStyle w:val="Heading2"/>
        <w:keepNext/>
        <w:spacing w:after="40" w:before="220"/>
        <w:ind w:left="1700"/>
      </w:pPr>
      <w:r>
        <w:rPr>
          <w:rFonts w:ascii="Arial" w:cs="Arial" w:eastAsia="Arial" w:hAnsi="Arial"/>
          <w:b/>
          <w:bCs/>
          <w:color w:val="000000"/>
          <w:sz w:val="21"/>
          <w:szCs w:val="21"/>
        </w:rPr>
        <w:t xml:space="preserve">2.9 Research gap</w:t>
      </w:r>
    </w:p>
    <w:p>
      <w:pPr>
        <w:spacing w:after="0" w:line="252"/>
        <w:ind w:left="1700" w:firstLine="0"/>
        <w:jc w:val="both"/>
      </w:pPr>
      <w:r>
        <w:rPr>
          <w:rFonts w:ascii="Times New Roman" w:cs="Times New Roman" w:eastAsia="Times New Roman" w:hAnsi="Times New Roman"/>
          <w:sz w:val="20"/>
          <w:szCs w:val="20"/>
        </w:rPr>
        <w:t xml:space="preserve">Four gaps emerge from this literature. First, reported cross-participant accuracies mix zero-shot, transductive and calibrated protocols and are sometimes summarised as a best fold rather than a participant mean, so they cannot be compared (Table 1). Second, no study has separated, under one protocol, how much of the performance of classical, supervised, self-supervised, adversarial and semi-supervised models (Table 2) comes from labelled data of the new user. Third, the consequences of temporal dependence between windows for calibration and validation are rarely considered. Fourth, electrode reduction is rarely quantified with the same models, the same protocol and participant-level uncertainty. The present study addresses these gaps with a 26-model benchmark that reports zero-shot and calibrated performance separately, uses participant-level statistics, documents the limitations of its own calibration protocol, and evaluates a six-electrode wearable-compatible montage under identical conditions.</w:t>
      </w:r>
    </w:p>
    <w:p>
      <w:pPr>
        <w:pStyle w:val="Heading1"/>
        <w:keepNext/>
        <w:spacing w:after="40" w:before="300"/>
        <w:ind w:left="1700"/>
      </w:pPr>
      <w:r>
        <w:rPr>
          <w:rFonts w:ascii="Arial" w:cs="Arial" w:eastAsia="Arial" w:hAnsi="Arial"/>
          <w:b/>
          <w:bCs/>
          <w:color w:val="000000"/>
          <w:sz w:val="26"/>
          <w:szCs w:val="26"/>
        </w:rPr>
        <w:t xml:space="preserve">3 Materials and Methods</w:t>
      </w:r>
    </w:p>
    <w:p>
      <w:pPr>
        <w:spacing w:after="0" w:line="252"/>
        <w:ind w:left="1700" w:firstLine="0"/>
        <w:jc w:val="both"/>
      </w:pPr>
      <w:r>
        <w:rPr>
          <w:rFonts w:ascii="Times New Roman" w:cs="Times New Roman" w:eastAsia="Times New Roman" w:hAnsi="Times New Roman"/>
          <w:sz w:val="20"/>
          <w:szCs w:val="20"/>
        </w:rPr>
        <w:t xml:space="preserve">In this section, the dataset, evaluation protocol, model families, the CLISA-EWU architecture, evaluation metrics and statistical analysis are described. The overall workflow of the study is shown in Fig. 1.</w:t>
      </w:r>
    </w:p>
    <w:p>
      <w:pPr>
        <w:keepNext/>
        <w:spacing w:before="240"/>
        <w:jc w:val="center"/>
      </w:pPr>
      <w:r>
        <w:drawing>
          <wp:inline distT="0" distB="0" distL="0" distR="0">
            <wp:extent cx="4638675" cy="5334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638675" cy="5334000"/>
                    </a:xfrm>
                    <a:prstGeom prst="rect">
                      <a:avLst/>
                    </a:prstGeom>
                  </pic:spPr>
                </pic:pic>
              </a:graphicData>
            </a:graphic>
          </wp:inline>
        </w:drawing>
      </w:r>
    </w:p>
    <w:p>
      <w:pPr>
        <w:pBdr>
          <w:bottom w:val="dotted" w:color="A6A6A6" w:sz="6" w:space="6"/>
        </w:pBdr>
        <w:spacing w:after="360" w:before="120" w:line="240"/>
        <w:ind w:left="1700"/>
        <w:jc w:val="left"/>
      </w:pPr>
      <w:r>
        <w:rPr>
          <w:rFonts w:ascii="Times New Roman" w:cs="Times New Roman" w:eastAsia="Times New Roman" w:hAnsi="Times New Roman"/>
          <w:b/>
          <w:bCs/>
          <w:sz w:val="19"/>
          <w:szCs w:val="19"/>
        </w:rPr>
        <w:t xml:space="preserve">Fig. 1</w:t>
      </w:r>
      <w:r>
        <w:rPr>
          <w:rFonts w:ascii="Times New Roman" w:cs="Times New Roman" w:eastAsia="Times New Roman" w:hAnsi="Times New Roman"/>
          <w:sz w:val="19"/>
          <w:szCs w:val="19"/>
        </w:rPr>
        <w:t xml:space="preserve">. Experimental workflow. Exploratory data analysis; leave-one-participant-out splitting with three seeds; classical, supervised, self-supervised, semi-supervised and domain-adversarial model families; electrode selection for the six-electrode montage; and zero-shot and calibrated evaluation with accuracy, macro F1, confusion matrices and t-SNE.</w:t>
      </w:r>
    </w:p>
    <w:p>
      <w:pPr>
        <w:pStyle w:val="Heading2"/>
        <w:keepNext/>
        <w:spacing w:after="40" w:before="220"/>
        <w:ind w:left="1700"/>
      </w:pPr>
      <w:r>
        <w:rPr>
          <w:rFonts w:ascii="Arial" w:cs="Arial" w:eastAsia="Arial" w:hAnsi="Arial"/>
          <w:b/>
          <w:bCs/>
          <w:color w:val="000000"/>
          <w:sz w:val="21"/>
          <w:szCs w:val="21"/>
        </w:rPr>
        <w:t xml:space="preserve">3.1 Data description</w:t>
      </w:r>
    </w:p>
    <w:p>
      <w:pPr>
        <w:spacing w:after="0" w:line="252"/>
        <w:ind w:left="1700" w:firstLine="0"/>
        <w:jc w:val="both"/>
      </w:pPr>
      <w:r>
        <w:rPr>
          <w:rFonts w:ascii="Times New Roman" w:cs="Times New Roman" w:eastAsia="Times New Roman" w:hAnsi="Times New Roman"/>
          <w:sz w:val="20"/>
          <w:szCs w:val="20"/>
        </w:rPr>
        <w:t xml:space="preserve">The public SEED-IV dataset</w:t>
      </w:r>
      <w:r>
        <w:rPr>
          <w:rFonts w:ascii="Times New Roman" w:cs="Times New Roman" w:eastAsia="Times New Roman" w:hAnsi="Times New Roman"/>
          <w:color w:val="1F4E9A"/>
          <w:sz w:val="20"/>
          <w:szCs w:val="20"/>
          <w:vertAlign w:val="superscript"/>
        </w:rPr>
        <w:t xml:space="preserve">2</w:t>
      </w:r>
      <w:r>
        <w:rPr>
          <w:rFonts w:ascii="Times New Roman" w:cs="Times New Roman" w:eastAsia="Times New Roman" w:hAnsi="Times New Roman"/>
          <w:sz w:val="20"/>
          <w:szCs w:val="20"/>
        </w:rPr>
        <w:t xml:space="preserve"> was used. Fifteen healthy adults </w:t>
      </w:r>
      <w:r>
        <w:rPr>
          <w:rFonts w:ascii="Times New Roman" w:cs="Times New Roman" w:eastAsia="Times New Roman" w:hAnsi="Times New Roman"/>
          <w:sz w:val="20"/>
          <w:szCs w:val="20"/>
          <w:highlight w:val="yellow"/>
          <w:highlightCs w:val="yellow"/>
        </w:rPr>
        <w:t xml:space="preserve">[report sex and age range from the dataset paper]</w:t>
      </w:r>
      <w:r>
        <w:rPr>
          <w:rFonts w:ascii="Times New Roman" w:cs="Times New Roman" w:eastAsia="Times New Roman" w:hAnsi="Times New Roman"/>
          <w:sz w:val="20"/>
          <w:szCs w:val="20"/>
        </w:rPr>
        <w:t xml:space="preserve"> watched 72 film clips (24 per session, three sessions on different days) selected to elicit neutral, sad, fear and happy states while 62-channel EEG was recorded according to the international 10–20 system. The released feature set contains 37,575 four-second windows, 2505 per participant, with 10,170 neutral (27.1%), 10,245 sad (27.3%), 9225 fear (24.6%) and 7935 happy (21.1%) windows (Fig. 2); the classes are therefore close to balanced. Labels are assigned per film clip, so all windows of a trial share one label.</w:t>
      </w:r>
    </w:p>
    <w:p>
      <w:pPr>
        <w:keepNext/>
        <w:spacing w:before="240"/>
        <w:jc w:val="center"/>
      </w:pPr>
      <w:r>
        <w:drawing>
          <wp:inline distT="0" distB="0" distL="0" distR="0">
            <wp:extent cx="6096000" cy="2276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096000" cy="2276475"/>
                    </a:xfrm>
                    <a:prstGeom prst="rect">
                      <a:avLst/>
                    </a:prstGeom>
                  </pic:spPr>
                </pic:pic>
              </a:graphicData>
            </a:graphic>
          </wp:inline>
        </w:drawing>
      </w:r>
    </w:p>
    <w:p>
      <w:pPr>
        <w:pBdr>
          <w:bottom w:val="dotted" w:color="A6A6A6" w:sz="6" w:space="6"/>
        </w:pBdr>
        <w:spacing w:after="360" w:before="120" w:line="240"/>
        <w:ind w:left="1700"/>
        <w:jc w:val="left"/>
      </w:pPr>
      <w:r>
        <w:rPr>
          <w:rFonts w:ascii="Times New Roman" w:cs="Times New Roman" w:eastAsia="Times New Roman" w:hAnsi="Times New Roman"/>
          <w:b/>
          <w:bCs/>
          <w:sz w:val="19"/>
          <w:szCs w:val="19"/>
        </w:rPr>
        <w:t xml:space="preserve">Fig. 2</w:t>
      </w:r>
      <w:r>
        <w:rPr>
          <w:rFonts w:ascii="Times New Roman" w:cs="Times New Roman" w:eastAsia="Times New Roman" w:hAnsi="Times New Roman"/>
          <w:sz w:val="19"/>
          <w:szCs w:val="19"/>
        </w:rPr>
        <w:t xml:space="preserve">. SEED-IV differential-entropy dataset composition. (a) Windows per participant (2505 each; 37,575 in total). (b) Windows per emotion class.</w:t>
      </w:r>
    </w:p>
    <w:p>
      <w:pPr>
        <w:spacing w:after="0" w:line="252"/>
        <w:ind w:left="1700" w:firstLine="240"/>
        <w:jc w:val="both"/>
      </w:pPr>
      <w:r>
        <w:rPr>
          <w:rFonts w:ascii="Times New Roman" w:cs="Times New Roman" w:eastAsia="Times New Roman" w:hAnsi="Times New Roman"/>
          <w:sz w:val="20"/>
          <w:szCs w:val="20"/>
        </w:rPr>
        <w:t xml:space="preserve">This study used only the publicly available, de-identified SEED-IV dataset. Data collection was approved by the providers’ institutional ethics committee and all participants gave informed consent; no new human data were collected. All methods were carried out in accordance with relevant guidelines and regulations.</w:t>
      </w:r>
    </w:p>
    <w:p>
      <w:pPr>
        <w:pStyle w:val="Heading2"/>
        <w:keepNext/>
        <w:spacing w:after="40" w:before="220"/>
        <w:ind w:left="1700"/>
      </w:pPr>
      <w:r>
        <w:rPr>
          <w:rFonts w:ascii="Arial" w:cs="Arial" w:eastAsia="Arial" w:hAnsi="Arial"/>
          <w:b/>
          <w:bCs/>
          <w:color w:val="000000"/>
          <w:sz w:val="21"/>
          <w:szCs w:val="21"/>
        </w:rPr>
        <w:t xml:space="preserve">3.2 Data preprocessing and feature extraction</w:t>
      </w:r>
    </w:p>
    <w:p>
      <w:pPr>
        <w:spacing w:after="0" w:line="252"/>
        <w:ind w:left="1700" w:firstLine="0"/>
        <w:jc w:val="both"/>
      </w:pPr>
      <w:r>
        <w:rPr>
          <w:rFonts w:ascii="Times New Roman" w:cs="Times New Roman" w:eastAsia="Times New Roman" w:hAnsi="Times New Roman"/>
          <w:sz w:val="20"/>
          <w:szCs w:val="20"/>
        </w:rPr>
        <w:t xml:space="preserve">The EEG in SEED-IV was downsampled to 200 Hz and band-pass filtered by the dataset providers</w:t>
      </w:r>
      <w:r>
        <w:rPr>
          <w:rFonts w:ascii="Times New Roman" w:cs="Times New Roman" w:eastAsia="Times New Roman" w:hAnsi="Times New Roman"/>
          <w:color w:val="1F4E9A"/>
          <w:sz w:val="20"/>
          <w:szCs w:val="20"/>
          <w:vertAlign w:val="superscript"/>
        </w:rPr>
        <w:t xml:space="preserve">2,3</w:t>
      </w:r>
      <w:r>
        <w:rPr>
          <w:rFonts w:ascii="Times New Roman" w:cs="Times New Roman" w:eastAsia="Times New Roman" w:hAnsi="Times New Roman"/>
          <w:sz w:val="20"/>
          <w:szCs w:val="20"/>
        </w:rPr>
        <w:t xml:space="preserve">. Differential entropy (DE) features were computed in non-overlapping 4-s windows for five frequency bands (delta, theta, alpha, beta and gamma) </w:t>
      </w:r>
      <w:r>
        <w:rPr>
          <w:rFonts w:ascii="Times New Roman" w:cs="Times New Roman" w:eastAsia="Times New Roman" w:hAnsi="Times New Roman"/>
          <w:sz w:val="20"/>
          <w:szCs w:val="20"/>
          <w:highlight w:val="yellow"/>
          <w:highlightCs w:val="yellow"/>
        </w:rPr>
        <w:t xml:space="preserve">[confirm band limits against the dataset documentation]</w:t>
      </w:r>
      <w:r>
        <w:rPr>
          <w:rFonts w:ascii="Times New Roman" w:cs="Times New Roman" w:eastAsia="Times New Roman" w:hAnsi="Times New Roman"/>
          <w:sz w:val="20"/>
          <w:szCs w:val="20"/>
        </w:rPr>
        <w:t xml:space="preserve">. For a band-limited signal that is approximately Gaussian with variance σ², the differential entropy reduces to a function of band power:</w:t>
      </w:r>
    </w:p>
    <w:p>
      <w:pPr>
        <w:keepLines/>
        <w:tabs>
          <w:tab w:val="center" w:pos="4023"/>
          <w:tab w:val="right" w:pos="8046"/>
        </w:tabs>
        <w:spacing w:after="120" w:before="120"/>
        <w:ind w:left="1700"/>
      </w:pPr>
      <w:r>
        <w:rPr>
          <w:rFonts w:ascii="Times New Roman" w:cs="Times New Roman" w:eastAsia="Times New Roman" w:hAnsi="Times New Roman"/>
        </w:rPr>
        <w:t xml:space="preserve">	</w:t>
      </w:r>
      <w:r>
        <w:drawing>
          <wp:inline distT="0" distB="0" distL="0" distR="0">
            <wp:extent cx="2647950" cy="390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647950" cy="390525"/>
                    </a:xfrm>
                    <a:prstGeom prst="rect">
                      <a:avLst/>
                    </a:prstGeom>
                  </pic:spPr>
                </pic:pic>
              </a:graphicData>
            </a:graphic>
          </wp:inline>
        </w:drawing>
      </w:r>
      <w:r>
        <w:rPr>
          <w:rFonts w:ascii="Times New Roman" w:cs="Times New Roman" w:eastAsia="Times New Roman" w:hAnsi="Times New Roman"/>
          <w:sz w:val="20"/>
          <w:szCs w:val="20"/>
        </w:rPr>
        <w:t xml:space="preserve">	(1)</w:t>
      </w:r>
    </w:p>
    <w:p>
      <w:pPr>
        <w:spacing w:after="0" w:line="252"/>
        <w:ind w:left="1700" w:firstLine="240"/>
        <w:jc w:val="both"/>
      </w:pPr>
      <w:r>
        <w:rPr>
          <w:rFonts w:ascii="Times New Roman" w:cs="Times New Roman" w:eastAsia="Times New Roman" w:hAnsi="Times New Roman"/>
          <w:sz w:val="20"/>
          <w:szCs w:val="20"/>
        </w:rPr>
        <w:t xml:space="preserve">The released DE features were smoothed over time with a linear dynamical system (de_LDS)</w:t>
      </w:r>
      <w:r>
        <w:rPr>
          <w:rFonts w:ascii="Times New Roman" w:cs="Times New Roman" w:eastAsia="Times New Roman" w:hAnsi="Times New Roman"/>
          <w:color w:val="1F4E9A"/>
          <w:sz w:val="20"/>
          <w:szCs w:val="20"/>
          <w:vertAlign w:val="superscript"/>
        </w:rPr>
        <w:t xml:space="preserve">3</w:t>
      </w:r>
      <w:r>
        <w:rPr>
          <w:rFonts w:ascii="Times New Roman" w:cs="Times New Roman" w:eastAsia="Times New Roman" w:hAnsi="Times New Roman"/>
          <w:sz w:val="20"/>
          <w:szCs w:val="20"/>
        </w:rPr>
        <w:t xml:space="preserve">, which reduces window-to-window noise but also increases the correlation between neighbouring windows of a trial. For each window the 62 × 5 DE matrix was flattened into a 310-dimensional vector. Each feature </w:t>
      </w:r>
      <w:r>
        <w:rPr>
          <w:rFonts w:ascii="Times New Roman" w:cs="Times New Roman" w:eastAsia="Times New Roman" w:hAnsi="Times New Roman"/>
          <w:i/>
          <w:iCs/>
          <w:sz w:val="20"/>
          <w:szCs w:val="20"/>
        </w:rPr>
        <w:t xml:space="preserve">j</w:t>
      </w:r>
      <w:r>
        <w:rPr>
          <w:rFonts w:ascii="Times New Roman" w:cs="Times New Roman" w:eastAsia="Times New Roman" w:hAnsi="Times New Roman"/>
          <w:sz w:val="20"/>
          <w:szCs w:val="20"/>
        </w:rPr>
        <w:t xml:space="preserve"> was z-standardised,</w:t>
      </w:r>
    </w:p>
    <w:p>
      <w:pPr>
        <w:keepLines/>
        <w:tabs>
          <w:tab w:val="center" w:pos="4023"/>
          <w:tab w:val="right" w:pos="8046"/>
        </w:tabs>
        <w:spacing w:after="120" w:before="120"/>
        <w:ind w:left="1700"/>
      </w:pPr>
      <w:r>
        <w:rPr>
          <w:rFonts w:ascii="Times New Roman" w:cs="Times New Roman" w:eastAsia="Times New Roman" w:hAnsi="Times New Roman"/>
        </w:rPr>
        <w:t xml:space="preserve">	</w:t>
      </w:r>
      <w:r>
        <w:drawing>
          <wp:inline distT="0" distB="0" distL="0" distR="0">
            <wp:extent cx="1781175" cy="400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1781175" cy="400050"/>
                    </a:xfrm>
                    <a:prstGeom prst="rect">
                      <a:avLst/>
                    </a:prstGeom>
                  </pic:spPr>
                </pic:pic>
              </a:graphicData>
            </a:graphic>
          </wp:inline>
        </w:drawing>
      </w:r>
      <w:r>
        <w:rPr>
          <w:rFonts w:ascii="Times New Roman" w:cs="Times New Roman" w:eastAsia="Times New Roman" w:hAnsi="Times New Roman"/>
          <w:sz w:val="20"/>
          <w:szCs w:val="20"/>
        </w:rPr>
        <w:t xml:space="preserve">	(2)</w:t>
      </w:r>
    </w:p>
    <w:p>
      <w:pPr>
        <w:spacing w:after="0" w:line="252"/>
        <w:ind w:left="1700" w:firstLine="240"/>
        <w:jc w:val="both"/>
      </w:pPr>
      <w:r>
        <w:rPr>
          <w:rFonts w:ascii="Times New Roman" w:cs="Times New Roman" w:eastAsia="Times New Roman" w:hAnsi="Times New Roman"/>
          <w:sz w:val="20"/>
          <w:szCs w:val="20"/>
        </w:rPr>
        <w:t xml:space="preserve">where μ</w:t>
      </w:r>
      <w:r>
        <w:rPr>
          <w:rFonts w:ascii="Times New Roman" w:cs="Times New Roman" w:eastAsia="Times New Roman" w:hAnsi="Times New Roman"/>
          <w:sz w:val="20"/>
          <w:szCs w:val="20"/>
          <w:vertAlign w:val="subscript"/>
        </w:rPr>
        <w:t xml:space="preserve">j</w:t>
      </w:r>
      <w:r>
        <w:rPr>
          <w:rFonts w:ascii="Times New Roman" w:cs="Times New Roman" w:eastAsia="Times New Roman" w:hAnsi="Times New Roman"/>
          <w:sz w:val="20"/>
          <w:szCs w:val="20"/>
        </w:rPr>
        <w:t xml:space="preserve"> and σ</w:t>
      </w:r>
      <w:r>
        <w:rPr>
          <w:rFonts w:ascii="Times New Roman" w:cs="Times New Roman" w:eastAsia="Times New Roman" w:hAnsi="Times New Roman"/>
          <w:sz w:val="20"/>
          <w:szCs w:val="20"/>
          <w:vertAlign w:val="subscript"/>
        </w:rPr>
        <w:t xml:space="preserve">j</w:t>
      </w:r>
      <w:r>
        <w:rPr>
          <w:rFonts w:ascii="Times New Roman" w:cs="Times New Roman" w:eastAsia="Times New Roman" w:hAnsi="Times New Roman"/>
          <w:sz w:val="20"/>
          <w:szCs w:val="20"/>
        </w:rPr>
        <w:t xml:space="preserve"> are the mean and standard deviation of feature </w:t>
      </w:r>
      <w:r>
        <w:rPr>
          <w:rFonts w:ascii="Times New Roman" w:cs="Times New Roman" w:eastAsia="Times New Roman" w:hAnsi="Times New Roman"/>
          <w:i/>
          <w:iCs/>
          <w:sz w:val="20"/>
          <w:szCs w:val="20"/>
        </w:rPr>
        <w:t xml:space="preserve">j</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highlight w:val="yellow"/>
          <w:highlightCs w:val="yellow"/>
        </w:rPr>
        <w:t xml:space="preserve">[confirm that μ and σ are computed on the training participants of each fold; if they were computed on all 15 participants, re-run with fold-wise statistics]</w:t>
      </w:r>
      <w:r>
        <w:rPr>
          <w:rFonts w:ascii="Times New Roman" w:cs="Times New Roman" w:eastAsia="Times New Roman" w:hAnsi="Times New Roman"/>
          <w:sz w:val="20"/>
          <w:szCs w:val="20"/>
        </w:rPr>
        <w:t xml:space="preserve">. No further normalisation was applied.</w:t>
      </w:r>
    </w:p>
    <w:p>
      <w:pPr>
        <w:pStyle w:val="Heading2"/>
        <w:keepNext/>
        <w:spacing w:after="40" w:before="220"/>
        <w:ind w:left="1700"/>
      </w:pPr>
      <w:r>
        <w:rPr>
          <w:rFonts w:ascii="Arial" w:cs="Arial" w:eastAsia="Arial" w:hAnsi="Arial"/>
          <w:b/>
          <w:bCs/>
          <w:color w:val="000000"/>
          <w:sz w:val="21"/>
          <w:szCs w:val="21"/>
        </w:rPr>
        <w:t xml:space="preserve">3.3 Electrode montages</w:t>
      </w:r>
    </w:p>
    <w:p>
      <w:pPr>
        <w:spacing w:after="0" w:line="252"/>
        <w:ind w:left="1700" w:firstLine="0"/>
        <w:jc w:val="both"/>
      </w:pPr>
      <w:r>
        <w:rPr>
          <w:rFonts w:ascii="Times New Roman" w:cs="Times New Roman" w:eastAsia="Times New Roman" w:hAnsi="Times New Roman"/>
          <w:sz w:val="20"/>
          <w:szCs w:val="20"/>
        </w:rPr>
        <w:t xml:space="preserve">Two electrode configurations were compared. The full montage used all 62 electrodes (310 features). The wearable-compatible montage used six electrodes reachable by a forehead-and-temple band, FP1, FP2, F7, F8, T7 and T8, giving 30 features (6 electrodes × 5 bands). The six-electrode features are an exact column subset of the full feature matrix (indices 0, 2, 5, 13, 23 and 31 of the 62-channel ordering), so the two configurations differ only in electrode density and not in preprocessing.</w:t>
      </w:r>
    </w:p>
    <w:p>
      <w:pPr>
        <w:pStyle w:val="Heading2"/>
        <w:keepNext/>
        <w:spacing w:after="40" w:before="220"/>
        <w:ind w:left="1700"/>
      </w:pPr>
      <w:r>
        <w:rPr>
          <w:rFonts w:ascii="Arial" w:cs="Arial" w:eastAsia="Arial" w:hAnsi="Arial"/>
          <w:b/>
          <w:bCs/>
          <w:color w:val="000000"/>
          <w:sz w:val="21"/>
          <w:szCs w:val="21"/>
        </w:rPr>
        <w:t xml:space="preserve">3.4 Data augmentation and class balancing</w:t>
      </w:r>
    </w:p>
    <w:p>
      <w:pPr>
        <w:spacing w:after="0" w:line="252"/>
        <w:ind w:left="1700" w:firstLine="0"/>
        <w:jc w:val="both"/>
      </w:pPr>
      <w:r>
        <w:rPr>
          <w:rFonts w:ascii="Times New Roman" w:cs="Times New Roman" w:eastAsia="Times New Roman" w:hAnsi="Times New Roman"/>
          <w:sz w:val="20"/>
          <w:szCs w:val="20"/>
        </w:rPr>
        <w:t xml:space="preserve">Data augmentation was used to create the two views required by contrastive pretraining. For a standardised window </w:t>
      </w:r>
      <w:r>
        <w:rPr>
          <w:rFonts w:ascii="Times New Roman" w:cs="Times New Roman" w:eastAsia="Times New Roman" w:hAnsi="Times New Roman"/>
          <w:i/>
          <w:iCs/>
          <w:sz w:val="20"/>
          <w:szCs w:val="20"/>
        </w:rPr>
        <w:t xml:space="preserve">x</w:t>
      </w:r>
      <w:r>
        <w:rPr>
          <w:rFonts w:ascii="Times New Roman" w:cs="Times New Roman" w:eastAsia="Times New Roman" w:hAnsi="Times New Roman"/>
          <w:sz w:val="20"/>
          <w:szCs w:val="20"/>
        </w:rPr>
        <w:t xml:space="preserve">, the first view adds isotropic Gaussian noise, and the second view masks whole electrodes across all five bands with a random binary mask </w:t>
      </w:r>
      <w:r>
        <w:rPr>
          <w:rFonts w:ascii="Times New Roman" w:cs="Times New Roman" w:eastAsia="Times New Roman" w:hAnsi="Times New Roman"/>
          <w:i/>
          <w:iCs/>
          <w:sz w:val="20"/>
          <w:szCs w:val="20"/>
        </w:rPr>
        <w:t xml:space="preserve">m</w:t>
      </w:r>
      <w:r>
        <w:rPr>
          <w:rFonts w:ascii="Times New Roman" w:cs="Times New Roman" w:eastAsia="Times New Roman" w:hAnsi="Times New Roman"/>
          <w:sz w:val="20"/>
          <w:szCs w:val="20"/>
        </w:rPr>
        <w:t xml:space="preserve">, each electrode being kept with probability 0.7:</w:t>
      </w:r>
    </w:p>
    <w:p>
      <w:pPr>
        <w:keepLines/>
        <w:tabs>
          <w:tab w:val="center" w:pos="4023"/>
          <w:tab w:val="right" w:pos="8046"/>
        </w:tabs>
        <w:spacing w:after="120" w:before="120"/>
        <w:ind w:left="1700"/>
      </w:pPr>
      <w:r>
        <w:rPr>
          <w:rFonts w:ascii="Times New Roman" w:cs="Times New Roman" w:eastAsia="Times New Roman" w:hAnsi="Times New Roman"/>
        </w:rPr>
        <w:t xml:space="preserve">	</w:t>
      </w:r>
      <w:r>
        <w:drawing>
          <wp:inline distT="0" distB="0" distL="0" distR="0">
            <wp:extent cx="466725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667250" cy="228600"/>
                    </a:xfrm>
                    <a:prstGeom prst="rect">
                      <a:avLst/>
                    </a:prstGeom>
                  </pic:spPr>
                </pic:pic>
              </a:graphicData>
            </a:graphic>
          </wp:inline>
        </w:drawing>
      </w:r>
      <w:r>
        <w:rPr>
          <w:rFonts w:ascii="Times New Roman" w:cs="Times New Roman" w:eastAsia="Times New Roman" w:hAnsi="Times New Roman"/>
          <w:sz w:val="20"/>
          <w:szCs w:val="20"/>
        </w:rPr>
        <w:t xml:space="preserve">	(3)</w:t>
      </w:r>
    </w:p>
    <w:p>
      <w:pPr>
        <w:spacing w:after="0" w:line="252"/>
        <w:ind w:left="1700" w:firstLine="240"/>
        <w:jc w:val="both"/>
      </w:pPr>
      <w:r>
        <w:rPr>
          <w:rFonts w:ascii="Times New Roman" w:cs="Times New Roman" w:eastAsia="Times New Roman" w:hAnsi="Times New Roman"/>
          <w:sz w:val="20"/>
          <w:szCs w:val="20"/>
        </w:rPr>
        <w:t xml:space="preserve">The noise view encourages invariance to small amplitude perturbations, and the masking view encourages invariance to missing or poorly contacting electrodes, a frequent problem with wearable headsets. Augmentation was applied on the fly to each mini-batch during stage 1 only; supervised fine-tuning and evaluation used unaugmented windows. To counter the mild class imbalance, training mini-batches were drawn with a class-balanced sampler whose sampling weight for a window of class </w:t>
      </w:r>
      <w:r>
        <w:rPr>
          <w:rFonts w:ascii="Times New Roman" w:cs="Times New Roman" w:eastAsia="Times New Roman" w:hAnsi="Times New Roman"/>
          <w:i/>
          <w:iCs/>
          <w:sz w:val="20"/>
          <w:szCs w:val="20"/>
        </w:rPr>
        <w:t xml:space="preserve">i</w:t>
      </w:r>
      <w:r>
        <w:rPr>
          <w:rFonts w:ascii="Times New Roman" w:cs="Times New Roman" w:eastAsia="Times New Roman" w:hAnsi="Times New Roman"/>
          <w:sz w:val="20"/>
          <w:szCs w:val="20"/>
        </w:rPr>
        <w:t xml:space="preserve"> is proportional to 1/</w:t>
      </w:r>
      <w:r>
        <w:rPr>
          <w:rFonts w:ascii="Times New Roman" w:cs="Times New Roman" w:eastAsia="Times New Roman" w:hAnsi="Times New Roman"/>
          <w:i/>
          <w:iCs/>
          <w:sz w:val="20"/>
          <w:szCs w:val="20"/>
        </w:rPr>
        <w:t xml:space="preserve">n</w:t>
      </w:r>
      <w:r>
        <w:rPr>
          <w:rFonts w:ascii="Times New Roman" w:cs="Times New Roman" w:eastAsia="Times New Roman" w:hAnsi="Times New Roman"/>
          <w:sz w:val="20"/>
          <w:szCs w:val="20"/>
          <w:vertAlign w:val="subscript"/>
        </w:rPr>
        <w:t xml:space="preserve">i</w:t>
      </w:r>
      <w:r>
        <w:rPr>
          <w:rFonts w:ascii="Times New Roman" w:cs="Times New Roman" w:eastAsia="Times New Roman" w:hAnsi="Times New Roman"/>
          <w:sz w:val="20"/>
          <w:szCs w:val="20"/>
        </w:rPr>
        <w:t xml:space="preserve">.</w:t>
      </w:r>
    </w:p>
    <w:p>
      <w:pPr>
        <w:pStyle w:val="Heading2"/>
        <w:keepNext/>
        <w:spacing w:after="40" w:before="220"/>
        <w:ind w:left="1700"/>
      </w:pPr>
      <w:r>
        <w:rPr>
          <w:rFonts w:ascii="Arial" w:cs="Arial" w:eastAsia="Arial" w:hAnsi="Arial"/>
          <w:b/>
          <w:bCs/>
          <w:color w:val="000000"/>
          <w:sz w:val="21"/>
          <w:szCs w:val="21"/>
        </w:rPr>
        <w:t xml:space="preserve">3.5 Data splitting and evaluation protocol</w:t>
      </w:r>
    </w:p>
    <w:p>
      <w:pPr>
        <w:spacing w:after="0" w:line="252"/>
        <w:ind w:left="1700" w:firstLine="0"/>
        <w:jc w:val="both"/>
      </w:pPr>
      <w:r>
        <w:rPr>
          <w:rFonts w:ascii="Times New Roman" w:cs="Times New Roman" w:eastAsia="Times New Roman" w:hAnsi="Times New Roman"/>
          <w:sz w:val="20"/>
          <w:szCs w:val="20"/>
        </w:rPr>
        <w:t xml:space="preserve">We used leave-one-participant-out (LOSO) cross-validation. In each of 15 folds one participant was held out entirely, and the windows of the remaining 14 were split at random into training (85%, about 29,810 windows) and validation (15%, about 5260 windows) sets (Fig. 3). The procedure was repeated with seeds 1, 7 and 21, giving 45 runs per model and montage (Table 3). The complete workflow is shown in Fig. 1.</w:t>
      </w:r>
    </w:p>
    <w:p>
      <w:pPr>
        <w:spacing w:before="20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435"/>
        <w:gridCol w:w="7311"/>
      </w:tblGrid>
      <w:tr>
        <w:trPr>
          <w:tblHeader/>
        </w:trPr>
        <w:tc>
          <w:tcPr>
            <w:tcW w:type="dxa" w:w="2435"/>
            <w:tcBorders>
              <w:top w:val="single" w:color="000000" w:sz="4"/>
              <w:left w:val="single" w:color="000000" w:sz="4"/>
              <w:bottom w:val="single" w:color="000000" w:sz="4"/>
              <w:right w:val="single" w:color="000000" w:sz="4"/>
            </w:tcBorders>
            <w:shd w:fill="BFBFBF" w:color="auto" w:val="clear"/>
            <w:tcMar>
              <w:top w:type="dxa" w:w="25"/>
              <w:left w:type="dxa" w:w="50"/>
              <w:bottom w:type="dxa" w:w="25"/>
              <w:right w:type="dxa" w:w="50"/>
            </w:tcMar>
          </w:tcPr>
          <w:p>
            <w:r>
              <w:rPr>
                <w:rFonts w:ascii="Times New Roman" w:cs="Times New Roman" w:eastAsia="Times New Roman" w:hAnsi="Times New Roman"/>
                <w:b/>
                <w:bCs/>
                <w:sz w:val="17"/>
                <w:szCs w:val="17"/>
              </w:rPr>
              <w:t xml:space="preserve">Item</w:t>
            </w:r>
          </w:p>
        </w:tc>
        <w:tc>
          <w:tcPr>
            <w:tcW w:type="dxa" w:w="7311"/>
            <w:tcBorders>
              <w:top w:val="single" w:color="000000" w:sz="4"/>
              <w:left w:val="single" w:color="000000" w:sz="4"/>
              <w:bottom w:val="single" w:color="000000" w:sz="4"/>
              <w:right w:val="single" w:color="000000" w:sz="4"/>
            </w:tcBorders>
            <w:shd w:fill="BFBFBF" w:color="auto" w:val="clear"/>
            <w:tcMar>
              <w:top w:type="dxa" w:w="25"/>
              <w:left w:type="dxa" w:w="50"/>
              <w:bottom w:type="dxa" w:w="25"/>
              <w:right w:type="dxa" w:w="50"/>
            </w:tcMar>
          </w:tcPr>
          <w:p>
            <w:r>
              <w:rPr>
                <w:rFonts w:ascii="Times New Roman" w:cs="Times New Roman" w:eastAsia="Times New Roman" w:hAnsi="Times New Roman"/>
                <w:b/>
                <w:bCs/>
                <w:sz w:val="17"/>
                <w:szCs w:val="17"/>
              </w:rPr>
              <w:t xml:space="preserve">Setting</w:t>
            </w:r>
          </w:p>
        </w:tc>
      </w:tr>
      <w:tr>
        <w:trPr>
          <w:cantSplit/>
        </w:trPr>
        <w:tc>
          <w:tcPr>
            <w:tcW w:type="dxa" w:w="2435"/>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7"/>
                <w:szCs w:val="17"/>
              </w:rPr>
              <w:t xml:space="preserve">Dataset</w:t>
            </w:r>
          </w:p>
        </w:tc>
        <w:tc>
          <w:tcPr>
            <w:tcW w:type="dxa" w:w="7311"/>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7"/>
                <w:szCs w:val="17"/>
              </w:rPr>
              <w:t xml:space="preserve">SEED-IV, 15 participants, 3 sessions, 72 trials per participant</w:t>
            </w:r>
          </w:p>
        </w:tc>
      </w:tr>
      <w:tr>
        <w:trPr>
          <w:cantSplit/>
        </w:trPr>
        <w:tc>
          <w:tcPr>
            <w:tcW w:type="dxa" w:w="2435"/>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7"/>
                <w:szCs w:val="17"/>
              </w:rPr>
              <w:t xml:space="preserve">Classes</w:t>
            </w:r>
          </w:p>
        </w:tc>
        <w:tc>
          <w:tcPr>
            <w:tcW w:type="dxa" w:w="7311"/>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7"/>
                <w:szCs w:val="17"/>
              </w:rPr>
              <w:t xml:space="preserve">Neutral, sad, fear, happy (four-class)</w:t>
            </w:r>
          </w:p>
        </w:tc>
      </w:tr>
      <w:tr>
        <w:trPr>
          <w:cantSplit/>
        </w:trPr>
        <w:tc>
          <w:tcPr>
            <w:tcW w:type="dxa" w:w="2435"/>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7"/>
                <w:szCs w:val="17"/>
              </w:rPr>
              <w:t xml:space="preserve">Features</w:t>
            </w:r>
          </w:p>
        </w:tc>
        <w:tc>
          <w:tcPr>
            <w:tcW w:type="dxa" w:w="7311"/>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7"/>
                <w:szCs w:val="17"/>
              </w:rPr>
              <w:t xml:space="preserve">Differential entropy (de_LDS), 4-s windows, five bands</w:t>
            </w:r>
          </w:p>
        </w:tc>
      </w:tr>
      <w:tr>
        <w:trPr>
          <w:cantSplit/>
        </w:trPr>
        <w:tc>
          <w:tcPr>
            <w:tcW w:type="dxa" w:w="2435"/>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7"/>
                <w:szCs w:val="17"/>
              </w:rPr>
              <w:t xml:space="preserve">Full montage</w:t>
            </w:r>
          </w:p>
        </w:tc>
        <w:tc>
          <w:tcPr>
            <w:tcW w:type="dxa" w:w="7311"/>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7"/>
                <w:szCs w:val="17"/>
              </w:rPr>
              <w:t xml:space="preserve">62 electrodes, 310 features</w:t>
            </w:r>
          </w:p>
        </w:tc>
      </w:tr>
      <w:tr>
        <w:trPr>
          <w:cantSplit/>
        </w:trPr>
        <w:tc>
          <w:tcPr>
            <w:tcW w:type="dxa" w:w="2435"/>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7"/>
                <w:szCs w:val="17"/>
              </w:rPr>
              <w:t xml:space="preserve">Wearable montage</w:t>
            </w:r>
          </w:p>
        </w:tc>
        <w:tc>
          <w:tcPr>
            <w:tcW w:type="dxa" w:w="7311"/>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7"/>
                <w:szCs w:val="17"/>
              </w:rPr>
              <w:t xml:space="preserve">FP1, FP2, F7, F8, T7, T8; 30 features</w:t>
            </w:r>
          </w:p>
        </w:tc>
      </w:tr>
      <w:tr>
        <w:trPr>
          <w:cantSplit/>
        </w:trPr>
        <w:tc>
          <w:tcPr>
            <w:tcW w:type="dxa" w:w="2435"/>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7"/>
                <w:szCs w:val="17"/>
              </w:rPr>
              <w:t xml:space="preserve">Split</w:t>
            </w:r>
          </w:p>
        </w:tc>
        <w:tc>
          <w:tcPr>
            <w:tcW w:type="dxa" w:w="7311"/>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7"/>
                <w:szCs w:val="17"/>
              </w:rPr>
              <w:t xml:space="preserve">Leave-one-participant-out, 15 folds; 85/15 random train/validation split of the 14 training participants</w:t>
            </w:r>
          </w:p>
        </w:tc>
      </w:tr>
      <w:tr>
        <w:trPr>
          <w:cantSplit/>
        </w:trPr>
        <w:tc>
          <w:tcPr>
            <w:tcW w:type="dxa" w:w="2435"/>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7"/>
                <w:szCs w:val="17"/>
              </w:rPr>
              <w:t xml:space="preserve">Seeds</w:t>
            </w:r>
          </w:p>
        </w:tc>
        <w:tc>
          <w:tcPr>
            <w:tcW w:type="dxa" w:w="7311"/>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7"/>
                <w:szCs w:val="17"/>
              </w:rPr>
              <w:t xml:space="preserve">1, 7, 21 (45 runs per model and montage)</w:t>
            </w:r>
          </w:p>
        </w:tc>
      </w:tr>
      <w:tr>
        <w:trPr>
          <w:cantSplit/>
        </w:trPr>
        <w:tc>
          <w:tcPr>
            <w:tcW w:type="dxa" w:w="2435"/>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7"/>
                <w:szCs w:val="17"/>
              </w:rPr>
              <w:t xml:space="preserve">Protocols</w:t>
            </w:r>
          </w:p>
        </w:tc>
        <w:tc>
          <w:tcPr>
            <w:tcW w:type="dxa" w:w="7311"/>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7"/>
                <w:szCs w:val="17"/>
              </w:rPr>
              <w:t xml:space="preserve">Zero-shot; few-shot calibration with 20 labelled target windows</w:t>
            </w:r>
          </w:p>
        </w:tc>
      </w:tr>
      <w:tr>
        <w:trPr>
          <w:cantSplit/>
        </w:trPr>
        <w:tc>
          <w:tcPr>
            <w:tcW w:type="dxa" w:w="2435"/>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7"/>
                <w:szCs w:val="17"/>
              </w:rPr>
              <w:t xml:space="preserve">Metrics</w:t>
            </w:r>
          </w:p>
        </w:tc>
        <w:tc>
          <w:tcPr>
            <w:tcW w:type="dxa" w:w="7311"/>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7"/>
                <w:szCs w:val="17"/>
              </w:rPr>
              <w:t xml:space="preserve">Accuracy and macro F1 (all models); balanced accuracy, precision, specificity, weighted F1, Cohen’s κ, MCC, G-mean and ITR (CLISA-EWU and DANN)</w:t>
            </w:r>
          </w:p>
        </w:tc>
      </w:tr>
      <w:tr>
        <w:trPr>
          <w:cantSplit/>
        </w:trPr>
        <w:tc>
          <w:tcPr>
            <w:tcW w:type="dxa" w:w="2435"/>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7"/>
                <w:szCs w:val="17"/>
              </w:rPr>
              <w:t xml:space="preserve">Statistics</w:t>
            </w:r>
          </w:p>
        </w:tc>
        <w:tc>
          <w:tcPr>
            <w:tcW w:type="dxa" w:w="7311"/>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7"/>
                <w:szCs w:val="17"/>
              </w:rPr>
              <w:t xml:space="preserve">Participant-level means, bootstrap 95% CI, paired Wilcoxon signed-rank tests, Holm correction</w:t>
            </w:r>
          </w:p>
        </w:tc>
      </w:tr>
    </w:tbl>
    <w:p>
      <w:pPr>
        <w:pBdr>
          <w:bottom w:val="dotted" w:color="A6A6A6" w:sz="6" w:space="6"/>
        </w:pBdr>
        <w:spacing w:after="360" w:before="120" w:line="240"/>
        <w:ind w:left="1700"/>
        <w:jc w:val="left"/>
      </w:pPr>
      <w:r>
        <w:rPr>
          <w:rFonts w:ascii="Times New Roman" w:cs="Times New Roman" w:eastAsia="Times New Roman" w:hAnsi="Times New Roman"/>
          <w:b/>
          <w:bCs/>
          <w:sz w:val="19"/>
          <w:szCs w:val="19"/>
        </w:rPr>
        <w:t xml:space="preserve">Table 3</w:t>
      </w:r>
      <w:r>
        <w:rPr>
          <w:rFonts w:ascii="Times New Roman" w:cs="Times New Roman" w:eastAsia="Times New Roman" w:hAnsi="Times New Roman"/>
          <w:sz w:val="19"/>
          <w:szCs w:val="19"/>
        </w:rPr>
        <w:t xml:space="preserve">. Dataset, feature and evaluation protocol summary.</w:t>
      </w:r>
    </w:p>
    <w:p>
      <w:pPr>
        <w:keepNext/>
        <w:spacing w:before="240"/>
        <w:jc w:val="center"/>
      </w:pPr>
      <w:r>
        <w:drawing>
          <wp:inline distT="0" distB="0" distL="0" distR="0">
            <wp:extent cx="5629275" cy="5334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629275" cy="5334000"/>
                    </a:xfrm>
                    <a:prstGeom prst="rect">
                      <a:avLst/>
                    </a:prstGeom>
                  </pic:spPr>
                </pic:pic>
              </a:graphicData>
            </a:graphic>
          </wp:inline>
        </w:drawing>
      </w:r>
    </w:p>
    <w:p>
      <w:pPr>
        <w:pBdr>
          <w:bottom w:val="dotted" w:color="A6A6A6" w:sz="6" w:space="6"/>
        </w:pBdr>
        <w:spacing w:after="360" w:before="120" w:line="240"/>
        <w:ind w:left="1700"/>
        <w:jc w:val="left"/>
      </w:pPr>
      <w:r>
        <w:rPr>
          <w:rFonts w:ascii="Times New Roman" w:cs="Times New Roman" w:eastAsia="Times New Roman" w:hAnsi="Times New Roman"/>
          <w:b/>
          <w:bCs/>
          <w:sz w:val="19"/>
          <w:szCs w:val="19"/>
        </w:rPr>
        <w:t xml:space="preserve">Fig. 3</w:t>
      </w:r>
      <w:r>
        <w:rPr>
          <w:rFonts w:ascii="Times New Roman" w:cs="Times New Roman" w:eastAsia="Times New Roman" w:hAnsi="Times New Roman"/>
          <w:sz w:val="19"/>
          <w:szCs w:val="19"/>
        </w:rPr>
        <w:t xml:space="preserve">. Composition of one leave-one-participant-out fold. Windows of the 14 training participants were split at random into training (79.3% of all windows) and validation (14.0%) sets; all 2505 windows of the held-out participant (6.7%) formed the test set. Validation windows share participants and trials with training windows.</w:t>
      </w:r>
    </w:p>
    <w:p>
      <w:pPr>
        <w:keepNext/>
        <w:spacing w:after="0" w:before="200"/>
        <w:ind w:left="1700"/>
      </w:pPr>
      <w:r>
        <w:rPr>
          <w:rFonts w:ascii="Times New Roman" w:cs="Times New Roman" w:eastAsia="Times New Roman" w:hAnsi="Times New Roman"/>
          <w:i/>
          <w:iCs/>
          <w:sz w:val="20"/>
          <w:szCs w:val="20"/>
        </w:rPr>
        <w:t xml:space="preserve">Strategy 1: zero-shot evaluation</w:t>
      </w:r>
    </w:p>
    <w:p>
      <w:pPr>
        <w:spacing w:after="0" w:line="252"/>
        <w:ind w:left="1700" w:firstLine="0"/>
        <w:jc w:val="both"/>
      </w:pPr>
      <w:r>
        <w:rPr>
          <w:rFonts w:ascii="Times New Roman" w:cs="Times New Roman" w:eastAsia="Times New Roman" w:hAnsi="Times New Roman"/>
          <w:sz w:val="20"/>
          <w:szCs w:val="20"/>
        </w:rPr>
        <w:t xml:space="preserve">The trained model predicts all 2505 windows of the held-out participant without access to any of their labels or unlabelled EEG (except for PseudoLabel, which uses unlabelled held-out EEG during training by design). This protocol measures true cross-participant generalization.</w:t>
      </w:r>
    </w:p>
    <w:p>
      <w:pPr>
        <w:keepNext/>
        <w:spacing w:after="0" w:before="200"/>
        <w:ind w:left="1700"/>
      </w:pPr>
      <w:r>
        <w:rPr>
          <w:rFonts w:ascii="Times New Roman" w:cs="Times New Roman" w:eastAsia="Times New Roman" w:hAnsi="Times New Roman"/>
          <w:i/>
          <w:iCs/>
          <w:sz w:val="20"/>
          <w:szCs w:val="20"/>
        </w:rPr>
        <w:t xml:space="preserve">Strategy 2: few-shot calibration</w:t>
      </w:r>
    </w:p>
    <w:p>
      <w:pPr>
        <w:spacing w:after="0" w:line="252"/>
        <w:ind w:left="1700" w:firstLine="0"/>
        <w:jc w:val="both"/>
      </w:pPr>
      <w:r>
        <w:rPr>
          <w:rFonts w:ascii="Times New Roman" w:cs="Times New Roman" w:eastAsia="Times New Roman" w:hAnsi="Times New Roman"/>
          <w:sz w:val="20"/>
          <w:szCs w:val="20"/>
        </w:rPr>
        <w:t xml:space="preserve">Twenty windows of the held-out participant are drawn at random, all network parameters are fine-tuned on them for 10 epochs (Adam, learning rate 10</w:t>
      </w:r>
      <w:r>
        <w:rPr>
          <w:rFonts w:ascii="Times New Roman" w:cs="Times New Roman" w:eastAsia="Times New Roman" w:hAnsi="Times New Roman"/>
          <w:sz w:val="20"/>
          <w:szCs w:val="20"/>
          <w:vertAlign w:val="superscript"/>
        </w:rPr>
        <w:t xml:space="preserve">−3</w:t>
      </w:r>
      <w:r>
        <w:rPr>
          <w:rFonts w:ascii="Times New Roman" w:cs="Times New Roman" w:eastAsia="Times New Roman" w:hAnsi="Times New Roman"/>
          <w:sz w:val="20"/>
          <w:szCs w:val="20"/>
        </w:rPr>
        <w:t xml:space="preserve">), and performance is measured on the remaining 2485 windows. Twenty windows correspond to about 80 s of EEG, or 0.8% of the participant’s data, and emulate a short user-calibration session.</w:t>
      </w:r>
    </w:p>
    <w:p>
      <w:pPr>
        <w:spacing w:after="0" w:line="252"/>
        <w:ind w:left="1700" w:firstLine="240"/>
        <w:jc w:val="both"/>
      </w:pPr>
      <w:r>
        <w:rPr>
          <w:rFonts w:ascii="Times New Roman" w:cs="Times New Roman" w:eastAsia="Times New Roman" w:hAnsi="Times New Roman"/>
          <w:sz w:val="20"/>
          <w:szCs w:val="20"/>
        </w:rPr>
        <w:t xml:space="preserve">Because calibration windows were sampled across trials, a calibration window and a test window could come from the same film-clip trial; with temporally smoothed features such windows are correlated, so calibrated estimates may be optimistic</w:t>
      </w:r>
      <w:r>
        <w:rPr>
          <w:rFonts w:ascii="Times New Roman" w:cs="Times New Roman" w:eastAsia="Times New Roman" w:hAnsi="Times New Roman"/>
          <w:color w:val="1F4E9A"/>
          <w:sz w:val="20"/>
          <w:szCs w:val="20"/>
          <w:vertAlign w:val="superscript"/>
        </w:rPr>
        <w:t xml:space="preserve">18</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highlight w:val="yellow"/>
          <w:highlightCs w:val="yellow"/>
        </w:rPr>
        <w:t xml:space="preserve">[pending: trial-held-out calibration (calibrate on session 1, test on sessions 2–3) and a calibration-budget curve of 5–200 windows]</w:t>
      </w:r>
      <w:r>
        <w:rPr>
          <w:rFonts w:ascii="Times New Roman" w:cs="Times New Roman" w:eastAsia="Times New Roman" w:hAnsi="Times New Roman"/>
          <w:sz w:val="20"/>
          <w:szCs w:val="20"/>
        </w:rPr>
        <w:t xml:space="preserve">. Validation windows came from the same participants and trials as training windows, so validation scores were near ceiling (median macro F1 1.00 for supervised models) and early stopping effectively selected late epochs; this does not compromise the independence of the held-out participant.</w:t>
      </w:r>
    </w:p>
    <w:p>
      <w:pPr>
        <w:pStyle w:val="Heading2"/>
        <w:keepNext/>
        <w:spacing w:after="40" w:before="220"/>
        <w:ind w:left="1700"/>
      </w:pPr>
      <w:r>
        <w:rPr>
          <w:rFonts w:ascii="Arial" w:cs="Arial" w:eastAsia="Arial" w:hAnsi="Arial"/>
          <w:b/>
          <w:bCs/>
          <w:color w:val="000000"/>
          <w:sz w:val="21"/>
          <w:szCs w:val="21"/>
        </w:rPr>
        <w:t xml:space="preserve">3.6 Baseline models</w:t>
      </w:r>
    </w:p>
    <w:p>
      <w:pPr>
        <w:spacing w:after="0" w:line="252"/>
        <w:ind w:left="1700" w:firstLine="0"/>
        <w:jc w:val="both"/>
      </w:pPr>
      <w:r>
        <w:rPr>
          <w:rFonts w:ascii="Times New Roman" w:cs="Times New Roman" w:eastAsia="Times New Roman" w:hAnsi="Times New Roman"/>
          <w:sz w:val="20"/>
          <w:szCs w:val="20"/>
        </w:rPr>
        <w:t xml:space="preserve">We evaluated ten classical classifiers (linear discriminant analysis, support vector machine with radial basis kernel, random forest, extra trees, gradient boosting, XGBoost</w:t>
      </w:r>
      <w:r>
        <w:rPr>
          <w:rFonts w:ascii="Times New Roman" w:cs="Times New Roman" w:eastAsia="Times New Roman" w:hAnsi="Times New Roman"/>
          <w:color w:val="1F4E9A"/>
          <w:sz w:val="20"/>
          <w:szCs w:val="20"/>
          <w:vertAlign w:val="superscript"/>
        </w:rPr>
        <w:t xml:space="preserve">30</w:t>
      </w:r>
      <w:r>
        <w:rPr>
          <w:rFonts w:ascii="Times New Roman" w:cs="Times New Roman" w:eastAsia="Times New Roman" w:hAnsi="Times New Roman"/>
          <w:sz w:val="20"/>
          <w:szCs w:val="20"/>
        </w:rPr>
        <w:t xml:space="preserve">, k-nearest neighbours, logistic regression, naive Bayes and a scikit-learn multilayer perceptron) and 16 deep models in five families (Table 4): supervised networks (two-layer and deep perceptrons, LSTM, GRU, one-dimensional CNN, transformer</w:t>
      </w:r>
      <w:r>
        <w:rPr>
          <w:rFonts w:ascii="Times New Roman" w:cs="Times New Roman" w:eastAsia="Times New Roman" w:hAnsi="Times New Roman"/>
          <w:color w:val="1F4E9A"/>
          <w:sz w:val="20"/>
          <w:szCs w:val="20"/>
          <w:vertAlign w:val="superscript"/>
        </w:rPr>
        <w:t xml:space="preserve">36</w:t>
      </w:r>
      <w:r>
        <w:rPr>
          <w:rFonts w:ascii="Times New Roman" w:cs="Times New Roman" w:eastAsia="Times New Roman" w:hAnsi="Times New Roman"/>
          <w:sz w:val="20"/>
          <w:szCs w:val="20"/>
        </w:rPr>
        <w:t xml:space="preserve">, EEG Conformer</w:t>
      </w:r>
      <w:r>
        <w:rPr>
          <w:rFonts w:ascii="Times New Roman" w:cs="Times New Roman" w:eastAsia="Times New Roman" w:hAnsi="Times New Roman"/>
          <w:color w:val="1F4E9A"/>
          <w:sz w:val="20"/>
          <w:szCs w:val="20"/>
          <w:vertAlign w:val="superscript"/>
        </w:rPr>
        <w:t xml:space="preserve">35</w:t>
      </w:r>
      <w:r>
        <w:rPr>
          <w:rFonts w:ascii="Times New Roman" w:cs="Times New Roman" w:eastAsia="Times New Roman" w:hAnsi="Times New Roman"/>
          <w:sz w:val="20"/>
          <w:szCs w:val="20"/>
        </w:rPr>
        <w:t xml:space="preserve"> and a channel-dropout transformer); a domain-adversarial network (DANN)</w:t>
      </w:r>
      <w:r>
        <w:rPr>
          <w:rFonts w:ascii="Times New Roman" w:cs="Times New Roman" w:eastAsia="Times New Roman" w:hAnsi="Times New Roman"/>
          <w:color w:val="1F4E9A"/>
          <w:sz w:val="20"/>
          <w:szCs w:val="20"/>
          <w:vertAlign w:val="superscript"/>
        </w:rPr>
        <w:t xml:space="preserve">6</w:t>
      </w:r>
      <w:r>
        <w:rPr>
          <w:rFonts w:ascii="Times New Roman" w:cs="Times New Roman" w:eastAsia="Times New Roman" w:hAnsi="Times New Roman"/>
          <w:sz w:val="20"/>
          <w:szCs w:val="20"/>
        </w:rPr>
        <w:t xml:space="preserve"> whose discriminator predicted training-participant identity through a gradient-reversal layer; self-supervised models (SimCLR</w:t>
      </w:r>
      <w:r>
        <w:rPr>
          <w:rFonts w:ascii="Times New Roman" w:cs="Times New Roman" w:eastAsia="Times New Roman" w:hAnsi="Times New Roman"/>
          <w:color w:val="1F4E9A"/>
          <w:sz w:val="20"/>
          <w:szCs w:val="20"/>
          <w:vertAlign w:val="superscript"/>
        </w:rPr>
        <w:t xml:space="preserve">46</w:t>
      </w:r>
      <w:r>
        <w:rPr>
          <w:rFonts w:ascii="Times New Roman" w:cs="Times New Roman" w:eastAsia="Times New Roman" w:hAnsi="Times New Roman"/>
          <w:sz w:val="20"/>
          <w:szCs w:val="20"/>
        </w:rPr>
        <w:t xml:space="preserve">, BYOL</w:t>
      </w:r>
      <w:r>
        <w:rPr>
          <w:rFonts w:ascii="Times New Roman" w:cs="Times New Roman" w:eastAsia="Times New Roman" w:hAnsi="Times New Roman"/>
          <w:color w:val="1F4E9A"/>
          <w:sz w:val="20"/>
          <w:szCs w:val="20"/>
          <w:vertAlign w:val="superscript"/>
        </w:rPr>
        <w:t xml:space="preserve">47</w:t>
      </w:r>
      <w:r>
        <w:rPr>
          <w:rFonts w:ascii="Times New Roman" w:cs="Times New Roman" w:eastAsia="Times New Roman" w:hAnsi="Times New Roman"/>
          <w:sz w:val="20"/>
          <w:szCs w:val="20"/>
        </w:rPr>
        <w:t xml:space="preserve">); semi-supervised models (PseudoLabel</w:t>
      </w:r>
      <w:r>
        <w:rPr>
          <w:rFonts w:ascii="Times New Roman" w:cs="Times New Roman" w:eastAsia="Times New Roman" w:hAnsi="Times New Roman"/>
          <w:color w:val="1F4E9A"/>
          <w:sz w:val="20"/>
          <w:szCs w:val="20"/>
          <w:vertAlign w:val="superscript"/>
        </w:rPr>
        <w:t xml:space="preserve">51</w:t>
      </w:r>
      <w:r>
        <w:rPr>
          <w:rFonts w:ascii="Times New Roman" w:cs="Times New Roman" w:eastAsia="Times New Roman" w:hAnsi="Times New Roman"/>
          <w:sz w:val="20"/>
          <w:szCs w:val="20"/>
        </w:rPr>
        <w:t xml:space="preserve">, which used confident predictions on the unlabelled held-out participant, and MixMatch</w:t>
      </w:r>
      <w:r>
        <w:rPr>
          <w:rFonts w:ascii="Times New Roman" w:cs="Times New Roman" w:eastAsia="Times New Roman" w:hAnsi="Times New Roman"/>
          <w:color w:val="1F4E9A"/>
          <w:sz w:val="20"/>
          <w:szCs w:val="20"/>
          <w:vertAlign w:val="superscript"/>
        </w:rPr>
        <w:t xml:space="preserve">52</w:t>
      </w:r>
      <w:r>
        <w:rPr>
          <w:rFonts w:ascii="Times New Roman" w:cs="Times New Roman" w:eastAsia="Times New Roman" w:hAnsi="Times New Roman"/>
          <w:sz w:val="20"/>
          <w:szCs w:val="20"/>
        </w:rPr>
        <w:t xml:space="preserve">); and a teacher–student distillation pair (DANCE)</w:t>
      </w:r>
      <w:r>
        <w:rPr>
          <w:rFonts w:ascii="Times New Roman" w:cs="Times New Roman" w:eastAsia="Times New Roman" w:hAnsi="Times New Roman"/>
          <w:color w:val="1F4E9A"/>
          <w:sz w:val="20"/>
          <w:szCs w:val="20"/>
          <w:vertAlign w:val="superscript"/>
        </w:rPr>
        <w:t xml:space="preserve">53</w:t>
      </w:r>
      <w:r>
        <w:rPr>
          <w:rFonts w:ascii="Times New Roman" w:cs="Times New Roman" w:eastAsia="Times New Roman" w:hAnsi="Times New Roman"/>
          <w:sz w:val="20"/>
          <w:szCs w:val="20"/>
        </w:rPr>
        <w:t xml:space="preserve">.</w:t>
      </w:r>
    </w:p>
    <w:p>
      <w:pPr>
        <w:spacing w:before="20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435"/>
        <w:gridCol w:w="4874"/>
        <w:gridCol w:w="2437"/>
      </w:tblGrid>
      <w:tr>
        <w:trPr>
          <w:tblHeader/>
        </w:trPr>
        <w:tc>
          <w:tcPr>
            <w:tcW w:type="dxa" w:w="2435"/>
            <w:tcBorders>
              <w:top w:val="single" w:color="000000" w:sz="4"/>
              <w:left w:val="single" w:color="000000" w:sz="4"/>
              <w:bottom w:val="single" w:color="000000" w:sz="4"/>
              <w:right w:val="single" w:color="000000" w:sz="4"/>
            </w:tcBorders>
            <w:shd w:fill="BFBFBF" w:color="auto" w:val="clear"/>
            <w:tcMar>
              <w:top w:type="dxa" w:w="25"/>
              <w:left w:type="dxa" w:w="50"/>
              <w:bottom w:type="dxa" w:w="25"/>
              <w:right w:type="dxa" w:w="50"/>
            </w:tcMar>
          </w:tcPr>
          <w:p>
            <w:r>
              <w:rPr>
                <w:rFonts w:ascii="Times New Roman" w:cs="Times New Roman" w:eastAsia="Times New Roman" w:hAnsi="Times New Roman"/>
                <w:b/>
                <w:bCs/>
                <w:sz w:val="17"/>
                <w:szCs w:val="17"/>
              </w:rPr>
              <w:t xml:space="preserve">Family</w:t>
            </w:r>
          </w:p>
        </w:tc>
        <w:tc>
          <w:tcPr>
            <w:tcW w:type="dxa" w:w="4874"/>
            <w:tcBorders>
              <w:top w:val="single" w:color="000000" w:sz="4"/>
              <w:left w:val="single" w:color="000000" w:sz="4"/>
              <w:bottom w:val="single" w:color="000000" w:sz="4"/>
              <w:right w:val="single" w:color="000000" w:sz="4"/>
            </w:tcBorders>
            <w:shd w:fill="BFBFBF" w:color="auto" w:val="clear"/>
            <w:tcMar>
              <w:top w:type="dxa" w:w="25"/>
              <w:left w:type="dxa" w:w="50"/>
              <w:bottom w:type="dxa" w:w="25"/>
              <w:right w:type="dxa" w:w="50"/>
            </w:tcMar>
          </w:tcPr>
          <w:p>
            <w:r>
              <w:rPr>
                <w:rFonts w:ascii="Times New Roman" w:cs="Times New Roman" w:eastAsia="Times New Roman" w:hAnsi="Times New Roman"/>
                <w:b/>
                <w:bCs/>
                <w:sz w:val="17"/>
                <w:szCs w:val="17"/>
              </w:rPr>
              <w:t xml:space="preserve">Models</w:t>
            </w:r>
          </w:p>
        </w:tc>
        <w:tc>
          <w:tcPr>
            <w:tcW w:type="dxa" w:w="2437"/>
            <w:tcBorders>
              <w:top w:val="single" w:color="000000" w:sz="4"/>
              <w:left w:val="single" w:color="000000" w:sz="4"/>
              <w:bottom w:val="single" w:color="000000" w:sz="4"/>
              <w:right w:val="single" w:color="000000" w:sz="4"/>
            </w:tcBorders>
            <w:shd w:fill="BFBFBF" w:color="auto" w:val="clear"/>
            <w:tcMar>
              <w:top w:type="dxa" w:w="25"/>
              <w:left w:type="dxa" w:w="50"/>
              <w:bottom w:type="dxa" w:w="25"/>
              <w:right w:type="dxa" w:w="50"/>
            </w:tcMar>
          </w:tcPr>
          <w:p>
            <w:r>
              <w:rPr>
                <w:rFonts w:ascii="Times New Roman" w:cs="Times New Roman" w:eastAsia="Times New Roman" w:hAnsi="Times New Roman"/>
                <w:b/>
                <w:bCs/>
                <w:sz w:val="17"/>
                <w:szCs w:val="17"/>
              </w:rPr>
              <w:t xml:space="preserve">Role</w:t>
            </w:r>
          </w:p>
        </w:tc>
      </w:tr>
      <w:tr>
        <w:trPr>
          <w:cantSplit/>
        </w:trPr>
        <w:tc>
          <w:tcPr>
            <w:tcW w:type="dxa" w:w="2435"/>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7"/>
                <w:szCs w:val="17"/>
              </w:rPr>
              <w:t xml:space="preserve">Classical machine learning</w:t>
            </w:r>
          </w:p>
        </w:tc>
        <w:tc>
          <w:tcPr>
            <w:tcW w:type="dxa" w:w="4874"/>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7"/>
                <w:szCs w:val="17"/>
              </w:rPr>
              <w:t xml:space="preserve">LDA, SVM, random forest, extra trees, gradient boosting, XGBoost, k-NN, logistic regression, naive Bayes, MLP (scikit-learn)</w:t>
            </w:r>
          </w:p>
        </w:tc>
        <w:tc>
          <w:tcPr>
            <w:tcW w:type="dxa" w:w="2437"/>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7"/>
                <w:szCs w:val="17"/>
              </w:rPr>
              <w:t xml:space="preserve">Non-deep baselines</w:t>
            </w:r>
          </w:p>
        </w:tc>
      </w:tr>
      <w:tr>
        <w:trPr>
          <w:cantSplit/>
        </w:trPr>
        <w:tc>
          <w:tcPr>
            <w:tcW w:type="dxa" w:w="2435"/>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7"/>
                <w:szCs w:val="17"/>
              </w:rPr>
              <w:t xml:space="preserve">Supervised deep learning</w:t>
            </w:r>
          </w:p>
        </w:tc>
        <w:tc>
          <w:tcPr>
            <w:tcW w:type="dxa" w:w="4874"/>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7"/>
                <w:szCs w:val="17"/>
              </w:rPr>
              <w:t xml:space="preserve">Two-layer perceptron, deep perceptron, LSTM, GRU, Conv1D, transformer, EEG Conformer, channel-dropout transformer</w:t>
            </w:r>
          </w:p>
        </w:tc>
        <w:tc>
          <w:tcPr>
            <w:tcW w:type="dxa" w:w="2437"/>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7"/>
                <w:szCs w:val="17"/>
              </w:rPr>
              <w:t xml:space="preserve">Supervised neural baselines</w:t>
            </w:r>
          </w:p>
        </w:tc>
      </w:tr>
      <w:tr>
        <w:trPr>
          <w:cantSplit/>
        </w:trPr>
        <w:tc>
          <w:tcPr>
            <w:tcW w:type="dxa" w:w="2435"/>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7"/>
                <w:szCs w:val="17"/>
              </w:rPr>
              <w:t xml:space="preserve">Domain-adversarial</w:t>
            </w:r>
          </w:p>
        </w:tc>
        <w:tc>
          <w:tcPr>
            <w:tcW w:type="dxa" w:w="4874"/>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7"/>
                <w:szCs w:val="17"/>
              </w:rPr>
              <w:t xml:space="preserve">DANN</w:t>
            </w:r>
          </w:p>
        </w:tc>
        <w:tc>
          <w:tcPr>
            <w:tcW w:type="dxa" w:w="2437"/>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7"/>
                <w:szCs w:val="17"/>
              </w:rPr>
              <w:t xml:space="preserve">Removes training-participant information</w:t>
            </w:r>
          </w:p>
        </w:tc>
      </w:tr>
      <w:tr>
        <w:trPr>
          <w:cantSplit/>
        </w:trPr>
        <w:tc>
          <w:tcPr>
            <w:tcW w:type="dxa" w:w="2435"/>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7"/>
                <w:szCs w:val="17"/>
              </w:rPr>
              <w:t xml:space="preserve">Self-supervised</w:t>
            </w:r>
          </w:p>
        </w:tc>
        <w:tc>
          <w:tcPr>
            <w:tcW w:type="dxa" w:w="4874"/>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7"/>
                <w:szCs w:val="17"/>
              </w:rPr>
              <w:t xml:space="preserve">SimCLR, BYOL</w:t>
            </w:r>
          </w:p>
        </w:tc>
        <w:tc>
          <w:tcPr>
            <w:tcW w:type="dxa" w:w="2437"/>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7"/>
                <w:szCs w:val="17"/>
              </w:rPr>
              <w:t xml:space="preserve">Contrastive and bootstrap pretraining</w:t>
            </w:r>
          </w:p>
        </w:tc>
      </w:tr>
      <w:tr>
        <w:trPr>
          <w:cantSplit/>
        </w:trPr>
        <w:tc>
          <w:tcPr>
            <w:tcW w:type="dxa" w:w="2435"/>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7"/>
                <w:szCs w:val="17"/>
              </w:rPr>
              <w:t xml:space="preserve">Semi-supervised</w:t>
            </w:r>
          </w:p>
        </w:tc>
        <w:tc>
          <w:tcPr>
            <w:tcW w:type="dxa" w:w="4874"/>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7"/>
                <w:szCs w:val="17"/>
              </w:rPr>
              <w:t xml:space="preserve">PseudoLabel (transductive), MixMatch</w:t>
            </w:r>
          </w:p>
        </w:tc>
        <w:tc>
          <w:tcPr>
            <w:tcW w:type="dxa" w:w="2437"/>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7"/>
                <w:szCs w:val="17"/>
              </w:rPr>
              <w:t xml:space="preserve">Exploits unlabelled data</w:t>
            </w:r>
          </w:p>
        </w:tc>
      </w:tr>
      <w:tr>
        <w:trPr>
          <w:cantSplit/>
        </w:trPr>
        <w:tc>
          <w:tcPr>
            <w:tcW w:type="dxa" w:w="2435"/>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7"/>
                <w:szCs w:val="17"/>
              </w:rPr>
              <w:t xml:space="preserve">Distillation</w:t>
            </w:r>
          </w:p>
        </w:tc>
        <w:tc>
          <w:tcPr>
            <w:tcW w:type="dxa" w:w="4874"/>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7"/>
                <w:szCs w:val="17"/>
              </w:rPr>
              <w:t xml:space="preserve">DANCE teacher (62) → student (6)</w:t>
            </w:r>
          </w:p>
        </w:tc>
        <w:tc>
          <w:tcPr>
            <w:tcW w:type="dxa" w:w="2437"/>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7"/>
                <w:szCs w:val="17"/>
              </w:rPr>
              <w:t xml:space="preserve">Secondary reference</w:t>
            </w:r>
          </w:p>
        </w:tc>
      </w:tr>
      <w:tr>
        <w:trPr>
          <w:cantSplit/>
        </w:trPr>
        <w:tc>
          <w:tcPr>
            <w:tcW w:type="dxa" w:w="2435"/>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7"/>
                <w:szCs w:val="17"/>
              </w:rPr>
              <w:t xml:space="preserve">Model of interest</w:t>
            </w:r>
          </w:p>
        </w:tc>
        <w:tc>
          <w:tcPr>
            <w:tcW w:type="dxa" w:w="4874"/>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7"/>
                <w:szCs w:val="17"/>
              </w:rPr>
              <w:t xml:space="preserve">CLISA-EWU</w:t>
            </w:r>
          </w:p>
        </w:tc>
        <w:tc>
          <w:tcPr>
            <w:tcW w:type="dxa" w:w="2437"/>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7"/>
                <w:szCs w:val="17"/>
              </w:rPr>
              <w:t xml:space="preserve">Two-stage contrastive pretraining and supervised fine-tuning</w:t>
            </w:r>
          </w:p>
        </w:tc>
      </w:tr>
    </w:tbl>
    <w:p>
      <w:pPr>
        <w:pBdr>
          <w:bottom w:val="dotted" w:color="A6A6A6" w:sz="6" w:space="6"/>
        </w:pBdr>
        <w:spacing w:after="360" w:before="120" w:line="240"/>
        <w:ind w:left="1700"/>
        <w:jc w:val="left"/>
      </w:pPr>
      <w:r>
        <w:rPr>
          <w:rFonts w:ascii="Times New Roman" w:cs="Times New Roman" w:eastAsia="Times New Roman" w:hAnsi="Times New Roman"/>
          <w:b/>
          <w:bCs/>
          <w:sz w:val="19"/>
          <w:szCs w:val="19"/>
        </w:rPr>
        <w:t xml:space="preserve">Table 4</w:t>
      </w:r>
      <w:r>
        <w:rPr>
          <w:rFonts w:ascii="Times New Roman" w:cs="Times New Roman" w:eastAsia="Times New Roman" w:hAnsi="Times New Roman"/>
          <w:sz w:val="19"/>
          <w:szCs w:val="19"/>
        </w:rPr>
        <w:t xml:space="preserve">. Model families evaluated in this study.</w:t>
      </w:r>
    </w:p>
    <w:p>
      <w:pPr>
        <w:pStyle w:val="Heading2"/>
        <w:keepNext/>
        <w:spacing w:after="40" w:before="220"/>
        <w:ind w:left="1700"/>
      </w:pPr>
      <w:r>
        <w:rPr>
          <w:rFonts w:ascii="Arial" w:cs="Arial" w:eastAsia="Arial" w:hAnsi="Arial"/>
          <w:b/>
          <w:bCs/>
          <w:color w:val="000000"/>
          <w:sz w:val="21"/>
          <w:szCs w:val="21"/>
        </w:rPr>
        <w:t xml:space="preserve">3.7 Proposed model: CLISA-EWU</w:t>
      </w:r>
    </w:p>
    <w:p>
      <w:pPr>
        <w:spacing w:after="0" w:line="252"/>
        <w:ind w:left="1700" w:firstLine="0"/>
        <w:jc w:val="both"/>
      </w:pPr>
      <w:r>
        <w:rPr>
          <w:rFonts w:ascii="Times New Roman" w:cs="Times New Roman" w:eastAsia="Times New Roman" w:hAnsi="Times New Roman"/>
          <w:sz w:val="20"/>
          <w:szCs w:val="20"/>
        </w:rPr>
        <w:t xml:space="preserve">CLISA-EWU (Fig. 4) consists of an encoder </w:t>
      </w:r>
      <w:r>
        <w:rPr>
          <w:rFonts w:ascii="Times New Roman" w:cs="Times New Roman" w:eastAsia="Times New Roman" w:hAnsi="Times New Roman"/>
          <w:i/>
          <w:iCs/>
          <w:sz w:val="20"/>
          <w:szCs w:val="20"/>
        </w:rPr>
        <w:t xml:space="preserve">f</w:t>
      </w:r>
      <w:r>
        <w:rPr>
          <w:rFonts w:ascii="Times New Roman" w:cs="Times New Roman" w:eastAsia="Times New Roman" w:hAnsi="Times New Roman"/>
          <w:sz w:val="20"/>
          <w:szCs w:val="20"/>
          <w:vertAlign w:val="subscript"/>
        </w:rPr>
        <w:t xml:space="preserve">θ</w:t>
      </w:r>
      <w:r>
        <w:rPr>
          <w:rFonts w:ascii="Times New Roman" w:cs="Times New Roman" w:eastAsia="Times New Roman" w:hAnsi="Times New Roman"/>
          <w:sz w:val="20"/>
          <w:szCs w:val="20"/>
        </w:rPr>
        <w:t xml:space="preserve">, a projection head </w:t>
      </w:r>
      <w:r>
        <w:rPr>
          <w:rFonts w:ascii="Times New Roman" w:cs="Times New Roman" w:eastAsia="Times New Roman" w:hAnsi="Times New Roman"/>
          <w:i/>
          <w:iCs/>
          <w:sz w:val="20"/>
          <w:szCs w:val="20"/>
        </w:rPr>
        <w:t xml:space="preserve">g</w:t>
      </w:r>
      <w:r>
        <w:rPr>
          <w:rFonts w:ascii="Times New Roman" w:cs="Times New Roman" w:eastAsia="Times New Roman" w:hAnsi="Times New Roman"/>
          <w:sz w:val="20"/>
          <w:szCs w:val="20"/>
          <w:vertAlign w:val="subscript"/>
        </w:rPr>
        <w:t xml:space="preserve">φ</w:t>
      </w:r>
      <w:r>
        <w:rPr>
          <w:rFonts w:ascii="Times New Roman" w:cs="Times New Roman" w:eastAsia="Times New Roman" w:hAnsi="Times New Roman"/>
          <w:sz w:val="20"/>
          <w:szCs w:val="20"/>
        </w:rPr>
        <w:t xml:space="preserve"> used only during pretraining, and a linear classifier. The encoder maps a window </w:t>
      </w:r>
      <w:r>
        <w:rPr>
          <w:rFonts w:ascii="Times New Roman" w:cs="Times New Roman" w:eastAsia="Times New Roman" w:hAnsi="Times New Roman"/>
          <w:i/>
          <w:iCs/>
          <w:sz w:val="20"/>
          <w:szCs w:val="20"/>
        </w:rPr>
        <w:t xml:space="preserve">x</w:t>
      </w:r>
      <w:r>
        <w:rPr>
          <w:rFonts w:ascii="Times New Roman" w:cs="Times New Roman" w:eastAsia="Times New Roman" w:hAnsi="Times New Roman"/>
          <w:sz w:val="20"/>
          <w:szCs w:val="20"/>
        </w:rPr>
        <w:t xml:space="preserve"> to a 128-dimensional representation </w:t>
      </w:r>
      <w:r>
        <w:rPr>
          <w:rFonts w:ascii="Times New Roman" w:cs="Times New Roman" w:eastAsia="Times New Roman" w:hAnsi="Times New Roman"/>
          <w:i/>
          <w:iCs/>
          <w:sz w:val="20"/>
          <w:szCs w:val="20"/>
        </w:rPr>
        <w:t xml:space="preserve">h</w:t>
      </w:r>
      <w:r>
        <w:rPr>
          <w:rFonts w:ascii="Times New Roman" w:cs="Times New Roman" w:eastAsia="Times New Roman" w:hAnsi="Times New Roman"/>
          <w:sz w:val="20"/>
          <w:szCs w:val="20"/>
        </w:rPr>
        <w:t xml:space="preserve">, and the projection head maps </w:t>
      </w:r>
      <w:r>
        <w:rPr>
          <w:rFonts w:ascii="Times New Roman" w:cs="Times New Roman" w:eastAsia="Times New Roman" w:hAnsi="Times New Roman"/>
          <w:i/>
          <w:iCs/>
          <w:sz w:val="20"/>
          <w:szCs w:val="20"/>
        </w:rPr>
        <w:t xml:space="preserve">h</w:t>
      </w:r>
      <w:r>
        <w:rPr>
          <w:rFonts w:ascii="Times New Roman" w:cs="Times New Roman" w:eastAsia="Times New Roman" w:hAnsi="Times New Roman"/>
          <w:sz w:val="20"/>
          <w:szCs w:val="20"/>
        </w:rPr>
        <w:t xml:space="preserve"> to a 64-dimensional unit vector </w:t>
      </w:r>
      <w:r>
        <w:rPr>
          <w:rFonts w:ascii="Times New Roman" w:cs="Times New Roman" w:eastAsia="Times New Roman" w:hAnsi="Times New Roman"/>
          <w:i/>
          <w:iCs/>
          <w:sz w:val="20"/>
          <w:szCs w:val="20"/>
        </w:rPr>
        <w:t xml:space="preserve">z</w:t>
      </w:r>
      <w:r>
        <w:rPr>
          <w:rFonts w:ascii="Times New Roman" w:cs="Times New Roman" w:eastAsia="Times New Roman" w:hAnsi="Times New Roman"/>
          <w:sz w:val="20"/>
          <w:szCs w:val="20"/>
        </w:rPr>
        <w:t xml:space="preserve">:</w:t>
      </w:r>
    </w:p>
    <w:p>
      <w:pPr>
        <w:keepNext/>
        <w:spacing w:before="240"/>
        <w:jc w:val="center"/>
      </w:pPr>
      <w:r>
        <w:drawing>
          <wp:inline distT="0" distB="0" distL="0" distR="0">
            <wp:extent cx="6096000" cy="4953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6096000" cy="4953000"/>
                    </a:xfrm>
                    <a:prstGeom prst="rect">
                      <a:avLst/>
                    </a:prstGeom>
                  </pic:spPr>
                </pic:pic>
              </a:graphicData>
            </a:graphic>
          </wp:inline>
        </w:drawing>
      </w:r>
    </w:p>
    <w:p>
      <w:pPr>
        <w:pBdr>
          <w:bottom w:val="dotted" w:color="A6A6A6" w:sz="6" w:space="6"/>
        </w:pBdr>
        <w:spacing w:after="360" w:before="120" w:line="240"/>
        <w:ind w:left="1700"/>
        <w:jc w:val="left"/>
      </w:pPr>
      <w:r>
        <w:rPr>
          <w:rFonts w:ascii="Times New Roman" w:cs="Times New Roman" w:eastAsia="Times New Roman" w:hAnsi="Times New Roman"/>
          <w:b/>
          <w:bCs/>
          <w:sz w:val="19"/>
          <w:szCs w:val="19"/>
        </w:rPr>
        <w:t xml:space="preserve">Fig. 4</w:t>
      </w:r>
      <w:r>
        <w:rPr>
          <w:rFonts w:ascii="Times New Roman" w:cs="Times New Roman" w:eastAsia="Times New Roman" w:hAnsi="Times New Roman"/>
          <w:sz w:val="19"/>
          <w:szCs w:val="19"/>
        </w:rPr>
        <w:t xml:space="preserve">. CLISA-EWU architecture. Stage 1: contrastive pretraining of the encoder and projector with the NT-Xent loss on a Gaussian-noise view and an electrode-masking view of each window (AdamW, cosine annealing). Stage 2: supervised fine-tuning of the encoder and linear classifier with cross-entropy. The model is evaluated zero-shot and after 20-window calibration.</w:t>
      </w:r>
    </w:p>
    <w:p>
      <w:pPr>
        <w:keepLines/>
        <w:tabs>
          <w:tab w:val="center" w:pos="4023"/>
          <w:tab w:val="right" w:pos="8046"/>
        </w:tabs>
        <w:spacing w:after="120" w:before="120"/>
        <w:ind w:left="1700"/>
      </w:pPr>
      <w:r>
        <w:rPr>
          <w:rFonts w:ascii="Times New Roman" w:cs="Times New Roman" w:eastAsia="Times New Roman" w:hAnsi="Times New Roman"/>
        </w:rPr>
        <w:t xml:space="preserve">	</w:t>
      </w:r>
      <w:r>
        <w:drawing>
          <wp:inline distT="0" distB="0" distL="0" distR="0">
            <wp:extent cx="4619625" cy="438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619625" cy="438150"/>
                    </a:xfrm>
                    <a:prstGeom prst="rect">
                      <a:avLst/>
                    </a:prstGeom>
                  </pic:spPr>
                </pic:pic>
              </a:graphicData>
            </a:graphic>
          </wp:inline>
        </w:drawing>
      </w:r>
      <w:r>
        <w:rPr>
          <w:rFonts w:ascii="Times New Roman" w:cs="Times New Roman" w:eastAsia="Times New Roman" w:hAnsi="Times New Roman"/>
          <w:sz w:val="20"/>
          <w:szCs w:val="20"/>
        </w:rPr>
        <w:t xml:space="preserve">	(4)</w:t>
      </w:r>
    </w:p>
    <w:p>
      <w:pPr>
        <w:spacing w:after="0" w:line="252"/>
        <w:ind w:left="1700" w:firstLine="240"/>
        <w:jc w:val="both"/>
      </w:pPr>
      <w:r>
        <w:rPr>
          <w:rFonts w:ascii="Times New Roman" w:cs="Times New Roman" w:eastAsia="Times New Roman" w:hAnsi="Times New Roman"/>
          <w:sz w:val="20"/>
          <w:szCs w:val="20"/>
        </w:rPr>
        <w:t xml:space="preserve">where </w:t>
      </w:r>
      <w:r>
        <w:rPr>
          <w:rFonts w:ascii="Times New Roman" w:cs="Times New Roman" w:eastAsia="Times New Roman" w:hAnsi="Times New Roman"/>
          <w:i/>
          <w:iCs/>
          <w:sz w:val="20"/>
          <w:szCs w:val="20"/>
        </w:rPr>
        <w:t xml:space="preserve">W</w:t>
      </w:r>
      <w:r>
        <w:rPr>
          <w:rFonts w:ascii="Times New Roman" w:cs="Times New Roman" w:eastAsia="Times New Roman" w:hAnsi="Times New Roman"/>
          <w:sz w:val="20"/>
          <w:szCs w:val="20"/>
          <w:vertAlign w:val="subscript"/>
        </w:rPr>
        <w:t xml:space="preserve">1</w:t>
      </w:r>
      <w:r>
        <w:rPr>
          <w:rFonts w:ascii="Times New Roman" w:cs="Times New Roman" w:eastAsia="Times New Roman" w:hAnsi="Times New Roman"/>
          <w:sz w:val="20"/>
          <w:szCs w:val="20"/>
        </w:rPr>
        <w:t xml:space="preserve"> ∈ ℝ</w:t>
      </w:r>
      <w:r>
        <w:rPr>
          <w:rFonts w:ascii="Times New Roman" w:cs="Times New Roman" w:eastAsia="Times New Roman" w:hAnsi="Times New Roman"/>
          <w:sz w:val="20"/>
          <w:szCs w:val="20"/>
          <w:vertAlign w:val="superscript"/>
        </w:rPr>
        <w:t xml:space="preserve">256×d</w:t>
      </w:r>
      <w:r>
        <w:rPr>
          <w:rFonts w:ascii="Times New Roman" w:cs="Times New Roman" w:eastAsia="Times New Roman" w:hAnsi="Times New Roman"/>
          <w:sz w:val="20"/>
          <w:szCs w:val="20"/>
        </w:rPr>
        <w:t xml:space="preserve"> and </w:t>
      </w:r>
      <w:r>
        <w:rPr>
          <w:rFonts w:ascii="Times New Roman" w:cs="Times New Roman" w:eastAsia="Times New Roman" w:hAnsi="Times New Roman"/>
          <w:i/>
          <w:iCs/>
          <w:sz w:val="20"/>
          <w:szCs w:val="20"/>
        </w:rPr>
        <w:t xml:space="preserve">W</w:t>
      </w:r>
      <w:r>
        <w:rPr>
          <w:rFonts w:ascii="Times New Roman" w:cs="Times New Roman" w:eastAsia="Times New Roman" w:hAnsi="Times New Roman"/>
          <w:sz w:val="20"/>
          <w:szCs w:val="20"/>
          <w:vertAlign w:val="subscript"/>
        </w:rPr>
        <w:t xml:space="preserve">2</w:t>
      </w:r>
      <w:r>
        <w:rPr>
          <w:rFonts w:ascii="Times New Roman" w:cs="Times New Roman" w:eastAsia="Times New Roman" w:hAnsi="Times New Roman"/>
          <w:sz w:val="20"/>
          <w:szCs w:val="20"/>
        </w:rPr>
        <w:t xml:space="preserve"> ∈ ℝ</w:t>
      </w:r>
      <w:r>
        <w:rPr>
          <w:rFonts w:ascii="Times New Roman" w:cs="Times New Roman" w:eastAsia="Times New Roman" w:hAnsi="Times New Roman"/>
          <w:sz w:val="20"/>
          <w:szCs w:val="20"/>
          <w:vertAlign w:val="superscript"/>
        </w:rPr>
        <w:t xml:space="preserve">128×256</w:t>
      </w: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d</w:t>
      </w:r>
      <w:r>
        <w:rPr>
          <w:rFonts w:ascii="Times New Roman" w:cs="Times New Roman" w:eastAsia="Times New Roman" w:hAnsi="Times New Roman"/>
          <w:sz w:val="20"/>
          <w:szCs w:val="20"/>
        </w:rPr>
        <w:t xml:space="preserve"> = 310 or 30), BN denotes batch normalisation and dropout has rate 0.3. The classifier outputs class probabilities ŷ = softmax(</w:t>
      </w:r>
      <w:r>
        <w:rPr>
          <w:rFonts w:ascii="Times New Roman" w:cs="Times New Roman" w:eastAsia="Times New Roman" w:hAnsi="Times New Roman"/>
          <w:i/>
          <w:iCs/>
          <w:sz w:val="20"/>
          <w:szCs w:val="20"/>
        </w:rPr>
        <w:t xml:space="preserve">W</w:t>
      </w:r>
      <w:r>
        <w:rPr>
          <w:rFonts w:ascii="Times New Roman" w:cs="Times New Roman" w:eastAsia="Times New Roman" w:hAnsi="Times New Roman"/>
          <w:sz w:val="20"/>
          <w:szCs w:val="20"/>
          <w:vertAlign w:val="subscript"/>
        </w:rPr>
        <w:t xml:space="preserve">c</w:t>
      </w:r>
      <w:r>
        <w:rPr>
          <w:rFonts w:ascii="Times New Roman" w:cs="Times New Roman" w:eastAsia="Times New Roman" w:hAnsi="Times New Roman"/>
          <w:i/>
          <w:iCs/>
          <w:sz w:val="20"/>
          <w:szCs w:val="20"/>
        </w:rPr>
        <w:t xml:space="preserve">h</w:t>
      </w:r>
      <w:r>
        <w:rPr>
          <w:rFonts w:ascii="Times New Roman" w:cs="Times New Roman" w:eastAsia="Times New Roman" w:hAnsi="Times New Roman"/>
          <w:sz w:val="20"/>
          <w:szCs w:val="20"/>
        </w:rPr>
        <w:t xml:space="preserve"> + </w:t>
      </w:r>
      <w:r>
        <w:rPr>
          <w:rFonts w:ascii="Times New Roman" w:cs="Times New Roman" w:eastAsia="Times New Roman" w:hAnsi="Times New Roman"/>
          <w:i/>
          <w:iCs/>
          <w:sz w:val="20"/>
          <w:szCs w:val="20"/>
        </w:rPr>
        <w:t xml:space="preserve">b</w:t>
      </w:r>
      <w:r>
        <w:rPr>
          <w:rFonts w:ascii="Times New Roman" w:cs="Times New Roman" w:eastAsia="Times New Roman" w:hAnsi="Times New Roman"/>
          <w:sz w:val="20"/>
          <w:szCs w:val="20"/>
          <w:vertAlign w:val="subscript"/>
        </w:rPr>
        <w:t xml:space="preserve">c</w:t>
      </w:r>
      <w:r>
        <w:rPr>
          <w:rFonts w:ascii="Times New Roman" w:cs="Times New Roman" w:eastAsia="Times New Roman" w:hAnsi="Times New Roman"/>
          <w:sz w:val="20"/>
          <w:szCs w:val="20"/>
        </w:rPr>
        <w:t xml:space="preserve">). Training has two stages. In stage 1, the encoder and projection head are trained with the NT-Xent contrastive loss</w:t>
      </w:r>
      <w:r>
        <w:rPr>
          <w:rFonts w:ascii="Times New Roman" w:cs="Times New Roman" w:eastAsia="Times New Roman" w:hAnsi="Times New Roman"/>
          <w:color w:val="1F4E9A"/>
          <w:sz w:val="20"/>
          <w:szCs w:val="20"/>
          <w:vertAlign w:val="superscript"/>
        </w:rPr>
        <w:t xml:space="preserve">46</w:t>
      </w:r>
      <w:r>
        <w:rPr>
          <w:rFonts w:ascii="Times New Roman" w:cs="Times New Roman" w:eastAsia="Times New Roman" w:hAnsi="Times New Roman"/>
          <w:sz w:val="20"/>
          <w:szCs w:val="20"/>
        </w:rPr>
        <w:t xml:space="preserve"> on the two augmented views. For a batch of </w:t>
      </w:r>
      <w:r>
        <w:rPr>
          <w:rFonts w:ascii="Times New Roman" w:cs="Times New Roman" w:eastAsia="Times New Roman" w:hAnsi="Times New Roman"/>
          <w:i/>
          <w:iCs/>
          <w:sz w:val="20"/>
          <w:szCs w:val="20"/>
        </w:rPr>
        <w:t xml:space="preserve">N</w:t>
      </w:r>
      <w:r>
        <w:rPr>
          <w:rFonts w:ascii="Times New Roman" w:cs="Times New Roman" w:eastAsia="Times New Roman" w:hAnsi="Times New Roman"/>
          <w:sz w:val="20"/>
          <w:szCs w:val="20"/>
        </w:rPr>
        <w:t xml:space="preserve"> windows, the views give 2</w:t>
      </w:r>
      <w:r>
        <w:rPr>
          <w:rFonts w:ascii="Times New Roman" w:cs="Times New Roman" w:eastAsia="Times New Roman" w:hAnsi="Times New Roman"/>
          <w:i/>
          <w:iCs/>
          <w:sz w:val="20"/>
          <w:szCs w:val="20"/>
        </w:rPr>
        <w:t xml:space="preserve">N</w:t>
      </w:r>
      <w:r>
        <w:rPr>
          <w:rFonts w:ascii="Times New Roman" w:cs="Times New Roman" w:eastAsia="Times New Roman" w:hAnsi="Times New Roman"/>
          <w:sz w:val="20"/>
          <w:szCs w:val="20"/>
        </w:rPr>
        <w:t xml:space="preserve"> projections, and for a positive pair (</w:t>
      </w:r>
      <w:r>
        <w:rPr>
          <w:rFonts w:ascii="Times New Roman" w:cs="Times New Roman" w:eastAsia="Times New Roman" w:hAnsi="Times New Roman"/>
          <w:i/>
          <w:iCs/>
          <w:sz w:val="20"/>
          <w:szCs w:val="20"/>
        </w:rPr>
        <w:t xml:space="preserve">i</w:t>
      </w: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j</w:t>
      </w:r>
      <w:r>
        <w:rPr>
          <w:rFonts w:ascii="Times New Roman" w:cs="Times New Roman" w:eastAsia="Times New Roman" w:hAnsi="Times New Roman"/>
          <w:sz w:val="20"/>
          <w:szCs w:val="20"/>
        </w:rPr>
        <w:t xml:space="preserve">) the loss is</w:t>
      </w:r>
    </w:p>
    <w:p>
      <w:pPr>
        <w:keepLines/>
        <w:tabs>
          <w:tab w:val="center" w:pos="4023"/>
          <w:tab w:val="right" w:pos="8046"/>
        </w:tabs>
        <w:spacing w:after="120" w:before="120"/>
        <w:ind w:left="1700"/>
      </w:pPr>
      <w:r>
        <w:rPr>
          <w:rFonts w:ascii="Times New Roman" w:cs="Times New Roman" w:eastAsia="Times New Roman" w:hAnsi="Times New Roman"/>
        </w:rPr>
        <w:t xml:space="preserve">	</w:t>
      </w:r>
      <w:r>
        <w:drawing>
          <wp:inline distT="0" distB="0" distL="0" distR="0">
            <wp:extent cx="230505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305050" cy="657225"/>
                    </a:xfrm>
                    <a:prstGeom prst="rect">
                      <a:avLst/>
                    </a:prstGeom>
                  </pic:spPr>
                </pic:pic>
              </a:graphicData>
            </a:graphic>
          </wp:inline>
        </w:drawing>
      </w:r>
      <w:r>
        <w:rPr>
          <w:rFonts w:ascii="Times New Roman" w:cs="Times New Roman" w:eastAsia="Times New Roman" w:hAnsi="Times New Roman"/>
          <w:sz w:val="20"/>
          <w:szCs w:val="20"/>
        </w:rPr>
        <w:t xml:space="preserve">	(5)</w:t>
      </w:r>
    </w:p>
    <w:p>
      <w:pPr>
        <w:spacing w:after="0" w:line="252"/>
        <w:ind w:left="1700" w:firstLine="240"/>
        <w:jc w:val="both"/>
      </w:pPr>
      <w:r>
        <w:rPr>
          <w:rFonts w:ascii="Times New Roman" w:cs="Times New Roman" w:eastAsia="Times New Roman" w:hAnsi="Times New Roman"/>
          <w:sz w:val="20"/>
          <w:szCs w:val="20"/>
        </w:rPr>
        <w:t xml:space="preserve">where sim(·,·) is cosine similarity and τ = 0.5. In stage 2, the encoder and classifier are fine-tuned with the cross-entropy loss over mini-batches B,</w:t>
      </w:r>
    </w:p>
    <w:p>
      <w:pPr>
        <w:keepLines/>
        <w:tabs>
          <w:tab w:val="center" w:pos="4023"/>
          <w:tab w:val="right" w:pos="8046"/>
        </w:tabs>
        <w:spacing w:after="120" w:before="120"/>
        <w:ind w:left="1700"/>
      </w:pPr>
      <w:r>
        <w:rPr>
          <w:rFonts w:ascii="Times New Roman" w:cs="Times New Roman" w:eastAsia="Times New Roman" w:hAnsi="Times New Roman"/>
        </w:rPr>
        <w:t xml:space="preserve">	</w:t>
      </w:r>
      <w:r>
        <w:drawing>
          <wp:inline distT="0" distB="0" distL="0" distR="0">
            <wp:extent cx="1876425" cy="41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1876425" cy="419100"/>
                    </a:xfrm>
                    <a:prstGeom prst="rect">
                      <a:avLst/>
                    </a:prstGeom>
                  </pic:spPr>
                </pic:pic>
              </a:graphicData>
            </a:graphic>
          </wp:inline>
        </w:drawing>
      </w:r>
      <w:r>
        <w:rPr>
          <w:rFonts w:ascii="Times New Roman" w:cs="Times New Roman" w:eastAsia="Times New Roman" w:hAnsi="Times New Roman"/>
          <w:sz w:val="20"/>
          <w:szCs w:val="20"/>
        </w:rPr>
        <w:t xml:space="preserve">	(6)</w:t>
      </w:r>
    </w:p>
    <w:p>
      <w:pPr>
        <w:spacing w:after="0" w:line="252"/>
        <w:ind w:left="1700" w:firstLine="240"/>
        <w:jc w:val="both"/>
      </w:pPr>
      <w:r>
        <w:rPr>
          <w:rFonts w:ascii="Times New Roman" w:cs="Times New Roman" w:eastAsia="Times New Roman" w:hAnsi="Times New Roman"/>
          <w:sz w:val="20"/>
          <w:szCs w:val="20"/>
        </w:rPr>
        <w:t xml:space="preserve">Unlike the original CLISA</w:t>
      </w:r>
      <w:r>
        <w:rPr>
          <w:rFonts w:ascii="Times New Roman" w:cs="Times New Roman" w:eastAsia="Times New Roman" w:hAnsi="Times New Roman"/>
          <w:color w:val="1F4E9A"/>
          <w:sz w:val="20"/>
          <w:szCs w:val="20"/>
          <w:vertAlign w:val="superscript"/>
        </w:rPr>
        <w:t xml:space="preserve">5</w:t>
      </w:r>
      <w:r>
        <w:rPr>
          <w:rFonts w:ascii="Times New Roman" w:cs="Times New Roman" w:eastAsia="Times New Roman" w:hAnsi="Times New Roman"/>
          <w:sz w:val="20"/>
          <w:szCs w:val="20"/>
        </w:rPr>
        <w:t xml:space="preserve">, which treats time-aligned responses of different participants to the same stimulus as positives, the stage-1 objective here contrasts augmented views of the same window and does not use participant or stimulus identity </w:t>
      </w:r>
      <w:r>
        <w:rPr>
          <w:rFonts w:ascii="Times New Roman" w:cs="Times New Roman" w:eastAsia="Times New Roman" w:hAnsi="Times New Roman"/>
          <w:sz w:val="20"/>
          <w:szCs w:val="20"/>
          <w:highlight w:val="yellow"/>
          <w:highlightCs w:val="yellow"/>
        </w:rPr>
        <w:t xml:space="preserve">[either implement cross-participant stimulus-aligned positives or rename the model to avoid implying explicit inter-subject alignment]</w:t>
      </w:r>
      <w:r>
        <w:rPr>
          <w:rFonts w:ascii="Times New Roman" w:cs="Times New Roman" w:eastAsia="Times New Roman" w:hAnsi="Times New Roman"/>
          <w:sz w:val="20"/>
          <w:szCs w:val="20"/>
        </w:rPr>
        <w:t xml:space="preserve">.</w:t>
      </w:r>
    </w:p>
    <w:p>
      <w:pPr>
        <w:pStyle w:val="Heading2"/>
        <w:keepNext/>
        <w:spacing w:after="40" w:before="220"/>
        <w:ind w:left="1700"/>
      </w:pPr>
      <w:r>
        <w:rPr>
          <w:rFonts w:ascii="Arial" w:cs="Arial" w:eastAsia="Arial" w:hAnsi="Arial"/>
          <w:b/>
          <w:bCs/>
          <w:color w:val="000000"/>
          <w:sz w:val="21"/>
          <w:szCs w:val="21"/>
        </w:rPr>
        <w:t xml:space="preserve">3.8 Training algorithm</w:t>
      </w:r>
    </w:p>
    <w:p>
      <w:pPr>
        <w:spacing w:after="0" w:line="252"/>
        <w:ind w:left="1700" w:firstLine="0"/>
        <w:jc w:val="both"/>
      </w:pPr>
      <w:r>
        <w:rPr>
          <w:rFonts w:ascii="Times New Roman" w:cs="Times New Roman" w:eastAsia="Times New Roman" w:hAnsi="Times New Roman"/>
          <w:sz w:val="20"/>
          <w:szCs w:val="20"/>
        </w:rPr>
        <w:t xml:space="preserve">Algorithm 1 summarises the complete training and evaluation procedure for one montage, including both evaluation protocols.</w:t>
      </w:r>
    </w:p>
    <w:p>
      <w:pPr>
        <w:keepNext/>
        <w:keepLines/>
        <w:pBdr>
          <w:top w:val="single" w:color="000000" w:sz="12" w:space="2"/>
          <w:bottom w:val="single" w:color="000000" w:sz="6" w:space="2"/>
        </w:pBdr>
        <w:spacing w:after="0" w:before="0" w:line="252"/>
        <w:ind w:left="1700"/>
      </w:pPr>
      <w:r>
        <w:rPr>
          <w:rFonts w:ascii="Times New Roman" w:cs="Times New Roman" w:eastAsia="Times New Roman" w:hAnsi="Times New Roman"/>
          <w:b/>
          <w:bCs/>
          <w:sz w:val="20"/>
          <w:szCs w:val="20"/>
        </w:rPr>
        <w:t xml:space="preserve">Algorithm 1 </w:t>
      </w:r>
      <w:r>
        <w:rPr>
          <w:rFonts w:ascii="Times New Roman" w:cs="Times New Roman" w:eastAsia="Times New Roman" w:hAnsi="Times New Roman"/>
          <w:sz w:val="20"/>
          <w:szCs w:val="20"/>
        </w:rPr>
        <w:t xml:space="preserve">CLISA-EWU leave-one-participant-out training and evaluation</w:t>
      </w:r>
    </w:p>
    <w:p>
      <w:pPr>
        <w:keepNext/>
        <w:keepLines/>
        <w:spacing w:after="0" w:before="0" w:line="252"/>
        <w:ind w:left="1700"/>
      </w:pPr>
      <w:r>
        <w:rPr>
          <w:rFonts w:ascii="Times New Roman" w:cs="Times New Roman" w:eastAsia="Times New Roman" w:hAnsi="Times New Roman"/>
          <w:b/>
          <w:bCs/>
          <w:sz w:val="19"/>
          <w:szCs w:val="19"/>
        </w:rPr>
        <w:t xml:space="preserve">Input: </w:t>
      </w:r>
      <w:r>
        <w:rPr>
          <w:rFonts w:ascii="Times New Roman" w:cs="Times New Roman" w:eastAsia="Times New Roman" w:hAnsi="Times New Roman"/>
          <w:sz w:val="19"/>
          <w:szCs w:val="19"/>
        </w:rPr>
        <w:t xml:space="preserve">Standardised DE features </w:t>
      </w:r>
      <w:r>
        <w:rPr>
          <w:rFonts w:ascii="Times New Roman" w:cs="Times New Roman" w:eastAsia="Times New Roman" w:hAnsi="Times New Roman"/>
          <w:i/>
          <w:iCs/>
          <w:sz w:val="19"/>
          <w:szCs w:val="19"/>
        </w:rPr>
        <w:t xml:space="preserve">X</w:t>
      </w:r>
      <w:r>
        <w:rPr>
          <w:rFonts w:ascii="Times New Roman" w:cs="Times New Roman" w:eastAsia="Times New Roman" w:hAnsi="Times New Roman"/>
          <w:sz w:val="19"/>
          <w:szCs w:val="19"/>
        </w:rPr>
        <w:t xml:space="preserve"> ∈ ℝ</w:t>
      </w:r>
      <w:r>
        <w:rPr>
          <w:rFonts w:ascii="Times New Roman" w:cs="Times New Roman" w:eastAsia="Times New Roman" w:hAnsi="Times New Roman"/>
          <w:sz w:val="19"/>
          <w:szCs w:val="19"/>
          <w:vertAlign w:val="superscript"/>
        </w:rPr>
        <w:t xml:space="preserve">N×d</w:t>
      </w:r>
      <w:r>
        <w:rPr>
          <w:rFonts w:ascii="Times New Roman" w:cs="Times New Roman" w:eastAsia="Times New Roman" w:hAnsi="Times New Roman"/>
          <w:sz w:val="19"/>
          <w:szCs w:val="19"/>
        </w:rPr>
        <w:t xml:space="preserve">, labels </w:t>
      </w:r>
      <w:r>
        <w:rPr>
          <w:rFonts w:ascii="Times New Roman" w:cs="Times New Roman" w:eastAsia="Times New Roman" w:hAnsi="Times New Roman"/>
          <w:i/>
          <w:iCs/>
          <w:sz w:val="19"/>
          <w:szCs w:val="19"/>
        </w:rPr>
        <w:t xml:space="preserve">y</w:t>
      </w:r>
      <w:r>
        <w:rPr>
          <w:rFonts w:ascii="Times New Roman" w:cs="Times New Roman" w:eastAsia="Times New Roman" w:hAnsi="Times New Roman"/>
          <w:sz w:val="19"/>
          <w:szCs w:val="19"/>
        </w:rPr>
        <w:t xml:space="preserve">, participant identifiers </w:t>
      </w:r>
      <w:r>
        <w:rPr>
          <w:rFonts w:ascii="Times New Roman" w:cs="Times New Roman" w:eastAsia="Times New Roman" w:hAnsi="Times New Roman"/>
          <w:i/>
          <w:iCs/>
          <w:sz w:val="19"/>
          <w:szCs w:val="19"/>
        </w:rPr>
        <w:t xml:space="preserve">s</w:t>
      </w:r>
      <w:r>
        <w:rPr>
          <w:rFonts w:ascii="Times New Roman" w:cs="Times New Roman" w:eastAsia="Times New Roman" w:hAnsi="Times New Roman"/>
          <w:sz w:val="19"/>
          <w:szCs w:val="19"/>
        </w:rPr>
        <w:t xml:space="preserve">, seeds {1, 7, 21}, calibration budget </w:t>
      </w:r>
      <w:r>
        <w:rPr>
          <w:rFonts w:ascii="Times New Roman" w:cs="Times New Roman" w:eastAsia="Times New Roman" w:hAnsi="Times New Roman"/>
          <w:i/>
          <w:iCs/>
          <w:sz w:val="19"/>
          <w:szCs w:val="19"/>
        </w:rPr>
        <w:t xml:space="preserve">m</w:t>
      </w:r>
      <w:r>
        <w:rPr>
          <w:rFonts w:ascii="Times New Roman" w:cs="Times New Roman" w:eastAsia="Times New Roman" w:hAnsi="Times New Roman"/>
          <w:sz w:val="19"/>
          <w:szCs w:val="19"/>
        </w:rPr>
        <w:t xml:space="preserve"> = 20</w:t>
      </w:r>
    </w:p>
    <w:p>
      <w:pPr>
        <w:keepNext/>
        <w:keepLines/>
        <w:spacing w:after="0" w:before="0" w:line="252"/>
        <w:ind w:left="1700"/>
      </w:pPr>
      <w:r>
        <w:rPr>
          <w:rFonts w:ascii="Times New Roman" w:cs="Times New Roman" w:eastAsia="Times New Roman" w:hAnsi="Times New Roman"/>
          <w:b/>
          <w:bCs/>
          <w:sz w:val="19"/>
          <w:szCs w:val="19"/>
        </w:rPr>
        <w:t xml:space="preserve">Output: </w:t>
      </w:r>
      <w:r>
        <w:rPr>
          <w:rFonts w:ascii="Times New Roman" w:cs="Times New Roman" w:eastAsia="Times New Roman" w:hAnsi="Times New Roman"/>
          <w:sz w:val="19"/>
          <w:szCs w:val="19"/>
        </w:rPr>
        <w:t xml:space="preserve">Zero-shot accuracy A</w:t>
      </w:r>
      <w:r>
        <w:rPr>
          <w:rFonts w:ascii="Times New Roman" w:cs="Times New Roman" w:eastAsia="Times New Roman" w:hAnsi="Times New Roman"/>
          <w:sz w:val="19"/>
          <w:szCs w:val="19"/>
          <w:vertAlign w:val="subscript"/>
        </w:rPr>
        <w:t xml:space="preserve">zs</w:t>
      </w:r>
      <w:r>
        <w:rPr>
          <w:rFonts w:ascii="Times New Roman" w:cs="Times New Roman" w:eastAsia="Times New Roman" w:hAnsi="Times New Roman"/>
          <w:sz w:val="19"/>
          <w:szCs w:val="19"/>
        </w:rPr>
        <w:t xml:space="preserve"> and calibrated accuracy A</w:t>
      </w:r>
      <w:r>
        <w:rPr>
          <w:rFonts w:ascii="Times New Roman" w:cs="Times New Roman" w:eastAsia="Times New Roman" w:hAnsi="Times New Roman"/>
          <w:sz w:val="19"/>
          <w:szCs w:val="19"/>
          <w:vertAlign w:val="subscript"/>
        </w:rPr>
        <w:t xml:space="preserve">cal</w:t>
      </w:r>
      <w:r>
        <w:rPr>
          <w:rFonts w:ascii="Times New Roman" w:cs="Times New Roman" w:eastAsia="Times New Roman" w:hAnsi="Times New Roman"/>
          <w:sz w:val="19"/>
          <w:szCs w:val="19"/>
        </w:rPr>
        <w:t xml:space="preserve"> for every seed and held-out participant</w:t>
      </w:r>
    </w:p>
    <w:p>
      <w:pPr>
        <w:keepNext/>
        <w:keepLines/>
        <w:tabs>
          <w:tab w:val="left" w:pos="420"/>
        </w:tabs>
        <w:spacing w:after="0" w:before="0" w:line="252"/>
        <w:ind w:left="2120" w:hanging="420"/>
      </w:pPr>
      <w:r>
        <w:rPr>
          <w:rFonts w:ascii="Times New Roman" w:cs="Times New Roman" w:eastAsia="Times New Roman" w:hAnsi="Times New Roman"/>
          <w:sz w:val="19"/>
          <w:szCs w:val="19"/>
        </w:rPr>
        <w:t xml:space="preserve">1:	</w:t>
      </w:r>
      <w:r>
        <w:rPr>
          <w:rFonts w:ascii="Times New Roman" w:cs="Times New Roman" w:eastAsia="Times New Roman" w:hAnsi="Times New Roman"/>
          <w:b/>
          <w:bCs/>
          <w:sz w:val="19"/>
          <w:szCs w:val="19"/>
        </w:rPr>
        <w:t xml:space="preserve">for </w:t>
      </w:r>
      <w:r>
        <w:rPr>
          <w:rFonts w:ascii="Times New Roman" w:cs="Times New Roman" w:eastAsia="Times New Roman" w:hAnsi="Times New Roman"/>
          <w:sz w:val="19"/>
          <w:szCs w:val="19"/>
        </w:rPr>
        <w:t xml:space="preserve">each seed </w:t>
      </w:r>
      <w:r>
        <w:rPr>
          <w:rFonts w:ascii="Times New Roman" w:cs="Times New Roman" w:eastAsia="Times New Roman" w:hAnsi="Times New Roman"/>
          <w:i/>
          <w:iCs/>
          <w:sz w:val="19"/>
          <w:szCs w:val="19"/>
        </w:rPr>
        <w:t xml:space="preserve">r</w:t>
      </w:r>
      <w:r>
        <w:rPr>
          <w:rFonts w:ascii="Times New Roman" w:cs="Times New Roman" w:eastAsia="Times New Roman" w:hAnsi="Times New Roman"/>
          <w:sz w:val="19"/>
          <w:szCs w:val="19"/>
        </w:rPr>
        <w:t xml:space="preserve"> ∈ (1, 7, 21)</w:t>
      </w:r>
      <w:r>
        <w:rPr>
          <w:rFonts w:ascii="Times New Roman" w:cs="Times New Roman" w:eastAsia="Times New Roman" w:hAnsi="Times New Roman"/>
          <w:b/>
          <w:bCs/>
          <w:sz w:val="19"/>
          <w:szCs w:val="19"/>
        </w:rPr>
        <w:t xml:space="preserve"> do</w:t>
      </w:r>
    </w:p>
    <w:p>
      <w:pPr>
        <w:keepNext/>
        <w:keepLines/>
        <w:tabs>
          <w:tab w:val="left" w:pos="720"/>
        </w:tabs>
        <w:spacing w:after="0" w:before="0" w:line="252"/>
        <w:ind w:left="2420" w:hanging="720"/>
      </w:pPr>
      <w:r>
        <w:rPr>
          <w:rFonts w:ascii="Times New Roman" w:cs="Times New Roman" w:eastAsia="Times New Roman" w:hAnsi="Times New Roman"/>
          <w:sz w:val="19"/>
          <w:szCs w:val="19"/>
        </w:rPr>
        <w:t xml:space="preserve">2:	</w:t>
      </w:r>
      <w:r>
        <w:rPr>
          <w:rFonts w:ascii="Times New Roman" w:cs="Times New Roman" w:eastAsia="Times New Roman" w:hAnsi="Times New Roman"/>
          <w:b/>
          <w:bCs/>
          <w:sz w:val="19"/>
          <w:szCs w:val="19"/>
        </w:rPr>
        <w:t xml:space="preserve">for </w:t>
      </w:r>
      <w:r>
        <w:rPr>
          <w:rFonts w:ascii="Times New Roman" w:cs="Times New Roman" w:eastAsia="Times New Roman" w:hAnsi="Times New Roman"/>
          <w:sz w:val="19"/>
          <w:szCs w:val="19"/>
        </w:rPr>
        <w:t xml:space="preserve">each participant </w:t>
      </w:r>
      <w:r>
        <w:rPr>
          <w:rFonts w:ascii="Times New Roman" w:cs="Times New Roman" w:eastAsia="Times New Roman" w:hAnsi="Times New Roman"/>
          <w:i/>
          <w:iCs/>
          <w:sz w:val="19"/>
          <w:szCs w:val="19"/>
        </w:rPr>
        <w:t xml:space="preserve">p</w:t>
      </w:r>
      <w:r>
        <w:rPr>
          <w:rFonts w:ascii="Times New Roman" w:cs="Times New Roman" w:eastAsia="Times New Roman" w:hAnsi="Times New Roman"/>
          <w:sz w:val="19"/>
          <w:szCs w:val="19"/>
        </w:rPr>
        <w:t xml:space="preserve"> = 1, …, 15</w:t>
      </w:r>
      <w:r>
        <w:rPr>
          <w:rFonts w:ascii="Times New Roman" w:cs="Times New Roman" w:eastAsia="Times New Roman" w:hAnsi="Times New Roman"/>
          <w:b/>
          <w:bCs/>
          <w:sz w:val="19"/>
          <w:szCs w:val="19"/>
        </w:rPr>
        <w:t xml:space="preserve"> do</w:t>
      </w:r>
    </w:p>
    <w:p>
      <w:pPr>
        <w:keepNext/>
        <w:keepLines/>
        <w:tabs>
          <w:tab w:val="left" w:pos="1020"/>
        </w:tabs>
        <w:spacing w:after="0" w:before="0" w:line="252"/>
        <w:ind w:left="2720" w:hanging="1020"/>
      </w:pPr>
      <w:r>
        <w:rPr>
          <w:rFonts w:ascii="Times New Roman" w:cs="Times New Roman" w:eastAsia="Times New Roman" w:hAnsi="Times New Roman"/>
          <w:sz w:val="19"/>
          <w:szCs w:val="19"/>
        </w:rPr>
        <w:t xml:space="preserve">3:	</w:t>
      </w:r>
      <w:r>
        <w:rPr>
          <w:rFonts w:ascii="Times New Roman" w:cs="Times New Roman" w:eastAsia="Times New Roman" w:hAnsi="Times New Roman"/>
          <w:sz w:val="19"/>
          <w:szCs w:val="19"/>
        </w:rPr>
        <w:t xml:space="preserve">D</w:t>
      </w:r>
      <w:r>
        <w:rPr>
          <w:rFonts w:ascii="Times New Roman" w:cs="Times New Roman" w:eastAsia="Times New Roman" w:hAnsi="Times New Roman"/>
          <w:sz w:val="19"/>
          <w:szCs w:val="19"/>
          <w:vertAlign w:val="subscript"/>
        </w:rPr>
        <w:t xml:space="preserve">test</w:t>
      </w:r>
      <w:r>
        <w:rPr>
          <w:rFonts w:ascii="Times New Roman" w:cs="Times New Roman" w:eastAsia="Times New Roman" w:hAnsi="Times New Roman"/>
          <w:sz w:val="19"/>
          <w:szCs w:val="19"/>
        </w:rPr>
        <w:t xml:space="preserve"> ← windows of participant </w:t>
      </w:r>
      <w:r>
        <w:rPr>
          <w:rFonts w:ascii="Times New Roman" w:cs="Times New Roman" w:eastAsia="Times New Roman" w:hAnsi="Times New Roman"/>
          <w:i/>
          <w:iCs/>
          <w:sz w:val="19"/>
          <w:szCs w:val="19"/>
        </w:rPr>
        <w:t xml:space="preserve">p</w:t>
      </w:r>
      <w:r>
        <w:rPr>
          <w:rFonts w:ascii="Times New Roman" w:cs="Times New Roman" w:eastAsia="Times New Roman" w:hAnsi="Times New Roman"/>
          <w:sz w:val="19"/>
          <w:szCs w:val="19"/>
        </w:rPr>
        <w:t xml:space="preserve">; D</w:t>
      </w:r>
      <w:r>
        <w:rPr>
          <w:rFonts w:ascii="Times New Roman" w:cs="Times New Roman" w:eastAsia="Times New Roman" w:hAnsi="Times New Roman"/>
          <w:sz w:val="19"/>
          <w:szCs w:val="19"/>
          <w:vertAlign w:val="subscript"/>
        </w:rPr>
        <w:t xml:space="preserve">pool</w:t>
      </w:r>
      <w:r>
        <w:rPr>
          <w:rFonts w:ascii="Times New Roman" w:cs="Times New Roman" w:eastAsia="Times New Roman" w:hAnsi="Times New Roman"/>
          <w:sz w:val="19"/>
          <w:szCs w:val="19"/>
        </w:rPr>
        <w:t xml:space="preserve"> ← windows of the other 14 participants</w:t>
      </w:r>
    </w:p>
    <w:p>
      <w:pPr>
        <w:keepNext/>
        <w:keepLines/>
        <w:tabs>
          <w:tab w:val="left" w:pos="1020"/>
        </w:tabs>
        <w:spacing w:after="0" w:before="0" w:line="252"/>
        <w:ind w:left="2720" w:hanging="1020"/>
      </w:pPr>
      <w:r>
        <w:rPr>
          <w:rFonts w:ascii="Times New Roman" w:cs="Times New Roman" w:eastAsia="Times New Roman" w:hAnsi="Times New Roman"/>
          <w:sz w:val="19"/>
          <w:szCs w:val="19"/>
        </w:rPr>
        <w:t xml:space="preserve">4:	</w:t>
      </w:r>
      <w:r>
        <w:rPr>
          <w:rFonts w:ascii="Times New Roman" w:cs="Times New Roman" w:eastAsia="Times New Roman" w:hAnsi="Times New Roman"/>
          <w:sz w:val="19"/>
          <w:szCs w:val="19"/>
        </w:rPr>
        <w:t xml:space="preserve">Split D</w:t>
      </w:r>
      <w:r>
        <w:rPr>
          <w:rFonts w:ascii="Times New Roman" w:cs="Times New Roman" w:eastAsia="Times New Roman" w:hAnsi="Times New Roman"/>
          <w:sz w:val="19"/>
          <w:szCs w:val="19"/>
          <w:vertAlign w:val="subscript"/>
        </w:rPr>
        <w:t xml:space="preserve">pool</w:t>
      </w:r>
      <w:r>
        <w:rPr>
          <w:rFonts w:ascii="Times New Roman" w:cs="Times New Roman" w:eastAsia="Times New Roman" w:hAnsi="Times New Roman"/>
          <w:sz w:val="19"/>
          <w:szCs w:val="19"/>
        </w:rPr>
        <w:t xml:space="preserve"> at random into D</w:t>
      </w:r>
      <w:r>
        <w:rPr>
          <w:rFonts w:ascii="Times New Roman" w:cs="Times New Roman" w:eastAsia="Times New Roman" w:hAnsi="Times New Roman"/>
          <w:sz w:val="19"/>
          <w:szCs w:val="19"/>
          <w:vertAlign w:val="subscript"/>
        </w:rPr>
        <w:t xml:space="preserve">train</w:t>
      </w:r>
      <w:r>
        <w:rPr>
          <w:rFonts w:ascii="Times New Roman" w:cs="Times New Roman" w:eastAsia="Times New Roman" w:hAnsi="Times New Roman"/>
          <w:sz w:val="19"/>
          <w:szCs w:val="19"/>
        </w:rPr>
        <w:t xml:space="preserve"> (85%) and D</w:t>
      </w:r>
      <w:r>
        <w:rPr>
          <w:rFonts w:ascii="Times New Roman" w:cs="Times New Roman" w:eastAsia="Times New Roman" w:hAnsi="Times New Roman"/>
          <w:sz w:val="19"/>
          <w:szCs w:val="19"/>
          <w:vertAlign w:val="subscript"/>
        </w:rPr>
        <w:t xml:space="preserve">val</w:t>
      </w:r>
      <w:r>
        <w:rPr>
          <w:rFonts w:ascii="Times New Roman" w:cs="Times New Roman" w:eastAsia="Times New Roman" w:hAnsi="Times New Roman"/>
          <w:sz w:val="19"/>
          <w:szCs w:val="19"/>
        </w:rPr>
        <w:t xml:space="preserve"> (15%)</w:t>
      </w:r>
    </w:p>
    <w:p>
      <w:pPr>
        <w:keepNext/>
        <w:keepLines/>
        <w:tabs>
          <w:tab w:val="left" w:pos="1020"/>
        </w:tabs>
        <w:spacing w:after="0" w:before="0" w:line="252"/>
        <w:ind w:left="2720" w:hanging="1020"/>
      </w:pPr>
      <w:r>
        <w:rPr>
          <w:rFonts w:ascii="Times New Roman" w:cs="Times New Roman" w:eastAsia="Times New Roman" w:hAnsi="Times New Roman"/>
          <w:sz w:val="19"/>
          <w:szCs w:val="19"/>
        </w:rPr>
        <w:t xml:space="preserve">5:	</w:t>
      </w:r>
      <w:r>
        <w:rPr>
          <w:rFonts w:ascii="Times New Roman" w:cs="Times New Roman" w:eastAsia="Times New Roman" w:hAnsi="Times New Roman"/>
          <w:sz w:val="19"/>
          <w:szCs w:val="19"/>
        </w:rPr>
        <w:t xml:space="preserve">Initialise encoder </w:t>
      </w:r>
      <w:r>
        <w:rPr>
          <w:rFonts w:ascii="Times New Roman" w:cs="Times New Roman" w:eastAsia="Times New Roman" w:hAnsi="Times New Roman"/>
          <w:i/>
          <w:iCs/>
          <w:sz w:val="19"/>
          <w:szCs w:val="19"/>
        </w:rPr>
        <w:t xml:space="preserve">f</w:t>
      </w:r>
      <w:r>
        <w:rPr>
          <w:rFonts w:ascii="Times New Roman" w:cs="Times New Roman" w:eastAsia="Times New Roman" w:hAnsi="Times New Roman"/>
          <w:sz w:val="19"/>
          <w:szCs w:val="19"/>
          <w:vertAlign w:val="subscript"/>
        </w:rPr>
        <w:t xml:space="preserve">θ</w:t>
      </w:r>
      <w:r>
        <w:rPr>
          <w:rFonts w:ascii="Times New Roman" w:cs="Times New Roman" w:eastAsia="Times New Roman" w:hAnsi="Times New Roman"/>
          <w:sz w:val="19"/>
          <w:szCs w:val="19"/>
        </w:rPr>
        <w:t xml:space="preserve">, projection head </w:t>
      </w:r>
      <w:r>
        <w:rPr>
          <w:rFonts w:ascii="Times New Roman" w:cs="Times New Roman" w:eastAsia="Times New Roman" w:hAnsi="Times New Roman"/>
          <w:i/>
          <w:iCs/>
          <w:sz w:val="19"/>
          <w:szCs w:val="19"/>
        </w:rPr>
        <w:t xml:space="preserve">g</w:t>
      </w:r>
      <w:r>
        <w:rPr>
          <w:rFonts w:ascii="Times New Roman" w:cs="Times New Roman" w:eastAsia="Times New Roman" w:hAnsi="Times New Roman"/>
          <w:sz w:val="19"/>
          <w:szCs w:val="19"/>
          <w:vertAlign w:val="subscript"/>
        </w:rPr>
        <w:t xml:space="preserve">φ</w:t>
      </w:r>
      <w:r>
        <w:rPr>
          <w:rFonts w:ascii="Times New Roman" w:cs="Times New Roman" w:eastAsia="Times New Roman" w:hAnsi="Times New Roman"/>
          <w:sz w:val="19"/>
          <w:szCs w:val="19"/>
        </w:rPr>
        <w:t xml:space="preserve"> and classifier </w:t>
      </w:r>
      <w:r>
        <w:rPr>
          <w:rFonts w:ascii="Times New Roman" w:cs="Times New Roman" w:eastAsia="Times New Roman" w:hAnsi="Times New Roman"/>
          <w:i/>
          <w:iCs/>
          <w:sz w:val="19"/>
          <w:szCs w:val="19"/>
        </w:rPr>
        <w:t xml:space="preserve">c</w:t>
      </w:r>
      <w:r>
        <w:rPr>
          <w:rFonts w:ascii="Times New Roman" w:cs="Times New Roman" w:eastAsia="Times New Roman" w:hAnsi="Times New Roman"/>
          <w:sz w:val="19"/>
          <w:szCs w:val="19"/>
          <w:vertAlign w:val="subscript"/>
        </w:rPr>
        <w:t xml:space="preserve">ψ</w:t>
      </w:r>
    </w:p>
    <w:p>
      <w:pPr>
        <w:keepNext/>
        <w:keepLines/>
        <w:tabs>
          <w:tab w:val="left" w:pos="1020"/>
        </w:tabs>
        <w:spacing w:after="0" w:before="0" w:line="252"/>
        <w:ind w:left="2720" w:hanging="1020"/>
      </w:pPr>
      <w:r>
        <w:rPr>
          <w:rFonts w:ascii="Times New Roman" w:cs="Times New Roman" w:eastAsia="Times New Roman" w:hAnsi="Times New Roman"/>
          <w:sz w:val="19"/>
          <w:szCs w:val="19"/>
        </w:rPr>
        <w:t xml:space="preserve">6:	</w:t>
      </w:r>
      <w:r>
        <w:rPr>
          <w:rFonts w:ascii="Times New Roman" w:cs="Times New Roman" w:eastAsia="Times New Roman" w:hAnsi="Times New Roman"/>
          <w:b/>
          <w:bCs/>
          <w:sz w:val="19"/>
          <w:szCs w:val="19"/>
        </w:rPr>
        <w:t xml:space="preserve">for </w:t>
      </w:r>
      <w:r>
        <w:rPr>
          <w:rFonts w:ascii="Times New Roman" w:cs="Times New Roman" w:eastAsia="Times New Roman" w:hAnsi="Times New Roman"/>
          <w:sz w:val="19"/>
          <w:szCs w:val="19"/>
        </w:rPr>
        <w:t xml:space="preserve">epoch = 1, …, 50</w:t>
      </w:r>
      <w:r>
        <w:rPr>
          <w:rFonts w:ascii="Times New Roman" w:cs="Times New Roman" w:eastAsia="Times New Roman" w:hAnsi="Times New Roman"/>
          <w:b/>
          <w:bCs/>
          <w:sz w:val="19"/>
          <w:szCs w:val="19"/>
        </w:rPr>
        <w:t xml:space="preserve"> do</w:t>
      </w:r>
      <w:r>
        <w:rPr>
          <w:rFonts w:ascii="Times New Roman" w:cs="Times New Roman" w:eastAsia="Times New Roman" w:hAnsi="Times New Roman"/>
          <w:i/>
          <w:iCs/>
          <w:color w:val="404040"/>
          <w:sz w:val="19"/>
          <w:szCs w:val="19"/>
        </w:rPr>
        <w:t xml:space="preserve">   ▷ Stage 1: contrastive pretraining</w:t>
      </w:r>
    </w:p>
    <w:p>
      <w:pPr>
        <w:keepNext/>
        <w:keepLines/>
        <w:tabs>
          <w:tab w:val="left" w:pos="1320"/>
        </w:tabs>
        <w:spacing w:after="0" w:before="0" w:line="252"/>
        <w:ind w:left="3020" w:hanging="1320"/>
      </w:pPr>
      <w:r>
        <w:rPr>
          <w:rFonts w:ascii="Times New Roman" w:cs="Times New Roman" w:eastAsia="Times New Roman" w:hAnsi="Times New Roman"/>
          <w:sz w:val="19"/>
          <w:szCs w:val="19"/>
        </w:rPr>
        <w:t xml:space="preserve">7:	</w:t>
      </w:r>
      <w:r>
        <w:rPr>
          <w:rFonts w:ascii="Times New Roman" w:cs="Times New Roman" w:eastAsia="Times New Roman" w:hAnsi="Times New Roman"/>
          <w:b/>
          <w:bCs/>
          <w:sz w:val="19"/>
          <w:szCs w:val="19"/>
        </w:rPr>
        <w:t xml:space="preserve">for </w:t>
      </w:r>
      <w:r>
        <w:rPr>
          <w:rFonts w:ascii="Times New Roman" w:cs="Times New Roman" w:eastAsia="Times New Roman" w:hAnsi="Times New Roman"/>
          <w:sz w:val="19"/>
          <w:szCs w:val="19"/>
        </w:rPr>
        <w:t xml:space="preserve">each class-balanced mini-batch </w:t>
      </w:r>
      <w:r>
        <w:rPr>
          <w:rFonts w:ascii="Times New Roman" w:cs="Times New Roman" w:eastAsia="Times New Roman" w:hAnsi="Times New Roman"/>
          <w:i/>
          <w:iCs/>
          <w:sz w:val="19"/>
          <w:szCs w:val="19"/>
        </w:rPr>
        <w:t xml:space="preserve">x</w:t>
      </w:r>
      <w:r>
        <w:rPr>
          <w:rFonts w:ascii="Times New Roman" w:cs="Times New Roman" w:eastAsia="Times New Roman" w:hAnsi="Times New Roman"/>
          <w:sz w:val="19"/>
          <w:szCs w:val="19"/>
        </w:rPr>
        <w:t xml:space="preserve"> ⊂ D</w:t>
      </w:r>
      <w:r>
        <w:rPr>
          <w:rFonts w:ascii="Times New Roman" w:cs="Times New Roman" w:eastAsia="Times New Roman" w:hAnsi="Times New Roman"/>
          <w:sz w:val="19"/>
          <w:szCs w:val="19"/>
          <w:vertAlign w:val="subscript"/>
        </w:rPr>
        <w:t xml:space="preserve">train</w:t>
      </w:r>
      <w:r>
        <w:rPr>
          <w:rFonts w:ascii="Times New Roman" w:cs="Times New Roman" w:eastAsia="Times New Roman" w:hAnsi="Times New Roman"/>
          <w:b/>
          <w:bCs/>
          <w:sz w:val="19"/>
          <w:szCs w:val="19"/>
        </w:rPr>
        <w:t xml:space="preserve"> do</w:t>
      </w:r>
    </w:p>
    <w:p>
      <w:pPr>
        <w:keepNext/>
        <w:keepLines/>
        <w:tabs>
          <w:tab w:val="left" w:pos="1620"/>
        </w:tabs>
        <w:spacing w:after="0" w:before="0" w:line="252"/>
        <w:ind w:left="3320" w:hanging="1620"/>
      </w:pPr>
      <w:r>
        <w:rPr>
          <w:rFonts w:ascii="Times New Roman" w:cs="Times New Roman" w:eastAsia="Times New Roman" w:hAnsi="Times New Roman"/>
          <w:sz w:val="19"/>
          <w:szCs w:val="19"/>
        </w:rPr>
        <w:t xml:space="preserve">8:	</w:t>
      </w:r>
      <w:r>
        <w:rPr>
          <w:rFonts w:ascii="Times New Roman" w:cs="Times New Roman" w:eastAsia="Times New Roman" w:hAnsi="Times New Roman"/>
          <w:i/>
          <w:iCs/>
          <w:sz w:val="19"/>
          <w:szCs w:val="19"/>
        </w:rPr>
        <w:t xml:space="preserve">v</w:t>
      </w:r>
      <w:r>
        <w:rPr>
          <w:rFonts w:ascii="Times New Roman" w:cs="Times New Roman" w:eastAsia="Times New Roman" w:hAnsi="Times New Roman"/>
          <w:sz w:val="19"/>
          <w:szCs w:val="19"/>
          <w:vertAlign w:val="subscript"/>
        </w:rPr>
        <w:t xml:space="preserve">1</w:t>
      </w:r>
      <w:r>
        <w:rPr>
          <w:rFonts w:ascii="Times New Roman" w:cs="Times New Roman" w:eastAsia="Times New Roman" w:hAnsi="Times New Roman"/>
          <w:sz w:val="19"/>
          <w:szCs w:val="19"/>
        </w:rPr>
        <w:t xml:space="preserve">, </w:t>
      </w:r>
      <w:r>
        <w:rPr>
          <w:rFonts w:ascii="Times New Roman" w:cs="Times New Roman" w:eastAsia="Times New Roman" w:hAnsi="Times New Roman"/>
          <w:i/>
          <w:iCs/>
          <w:sz w:val="19"/>
          <w:szCs w:val="19"/>
        </w:rPr>
        <w:t xml:space="preserve">v</w:t>
      </w:r>
      <w:r>
        <w:rPr>
          <w:rFonts w:ascii="Times New Roman" w:cs="Times New Roman" w:eastAsia="Times New Roman" w:hAnsi="Times New Roman"/>
          <w:sz w:val="19"/>
          <w:szCs w:val="19"/>
          <w:vertAlign w:val="subscript"/>
        </w:rPr>
        <w:t xml:space="preserve">2</w:t>
      </w:r>
      <w:r>
        <w:rPr>
          <w:rFonts w:ascii="Times New Roman" w:cs="Times New Roman" w:eastAsia="Times New Roman" w:hAnsi="Times New Roman"/>
          <w:sz w:val="19"/>
          <w:szCs w:val="19"/>
        </w:rPr>
        <w:t xml:space="preserve"> ← noise and electrode-masking views of </w:t>
      </w:r>
      <w:r>
        <w:rPr>
          <w:rFonts w:ascii="Times New Roman" w:cs="Times New Roman" w:eastAsia="Times New Roman" w:hAnsi="Times New Roman"/>
          <w:i/>
          <w:iCs/>
          <w:sz w:val="19"/>
          <w:szCs w:val="19"/>
        </w:rPr>
        <w:t xml:space="preserve">x</w:t>
      </w:r>
      <w:r>
        <w:rPr>
          <w:rFonts w:ascii="Times New Roman" w:cs="Times New Roman" w:eastAsia="Times New Roman" w:hAnsi="Times New Roman"/>
          <w:sz w:val="19"/>
          <w:szCs w:val="19"/>
        </w:rPr>
        <w:t xml:space="preserve">, Eq. (3)</w:t>
      </w:r>
    </w:p>
    <w:p>
      <w:pPr>
        <w:keepNext/>
        <w:keepLines/>
        <w:tabs>
          <w:tab w:val="left" w:pos="1620"/>
        </w:tabs>
        <w:spacing w:after="0" w:before="0" w:line="252"/>
        <w:ind w:left="3320" w:hanging="1620"/>
      </w:pPr>
      <w:r>
        <w:rPr>
          <w:rFonts w:ascii="Times New Roman" w:cs="Times New Roman" w:eastAsia="Times New Roman" w:hAnsi="Times New Roman"/>
          <w:sz w:val="19"/>
          <w:szCs w:val="19"/>
        </w:rPr>
        <w:t xml:space="preserve">9:	</w:t>
      </w:r>
      <w:r>
        <w:rPr>
          <w:rFonts w:ascii="Times New Roman" w:cs="Times New Roman" w:eastAsia="Times New Roman" w:hAnsi="Times New Roman"/>
          <w:sz w:val="19"/>
          <w:szCs w:val="19"/>
        </w:rPr>
        <w:t xml:space="preserve">Update θ, φ by minimising the NT-Xent loss of the projections of </w:t>
      </w:r>
      <w:r>
        <w:rPr>
          <w:rFonts w:ascii="Times New Roman" w:cs="Times New Roman" w:eastAsia="Times New Roman" w:hAnsi="Times New Roman"/>
          <w:i/>
          <w:iCs/>
          <w:sz w:val="19"/>
          <w:szCs w:val="19"/>
        </w:rPr>
        <w:t xml:space="preserve">v</w:t>
      </w:r>
      <w:r>
        <w:rPr>
          <w:rFonts w:ascii="Times New Roman" w:cs="Times New Roman" w:eastAsia="Times New Roman" w:hAnsi="Times New Roman"/>
          <w:sz w:val="19"/>
          <w:szCs w:val="19"/>
          <w:vertAlign w:val="subscript"/>
        </w:rPr>
        <w:t xml:space="preserve">1</w:t>
      </w:r>
      <w:r>
        <w:rPr>
          <w:rFonts w:ascii="Times New Roman" w:cs="Times New Roman" w:eastAsia="Times New Roman" w:hAnsi="Times New Roman"/>
          <w:sz w:val="19"/>
          <w:szCs w:val="19"/>
        </w:rPr>
        <w:t xml:space="preserve"> and </w:t>
      </w:r>
      <w:r>
        <w:rPr>
          <w:rFonts w:ascii="Times New Roman" w:cs="Times New Roman" w:eastAsia="Times New Roman" w:hAnsi="Times New Roman"/>
          <w:i/>
          <w:iCs/>
          <w:sz w:val="19"/>
          <w:szCs w:val="19"/>
        </w:rPr>
        <w:t xml:space="preserve">v</w:t>
      </w:r>
      <w:r>
        <w:rPr>
          <w:rFonts w:ascii="Times New Roman" w:cs="Times New Roman" w:eastAsia="Times New Roman" w:hAnsi="Times New Roman"/>
          <w:sz w:val="19"/>
          <w:szCs w:val="19"/>
          <w:vertAlign w:val="subscript"/>
        </w:rPr>
        <w:t xml:space="preserve">2</w:t>
      </w:r>
      <w:r>
        <w:rPr>
          <w:rFonts w:ascii="Times New Roman" w:cs="Times New Roman" w:eastAsia="Times New Roman" w:hAnsi="Times New Roman"/>
          <w:sz w:val="19"/>
          <w:szCs w:val="19"/>
        </w:rPr>
        <w:t xml:space="preserve">, Eq. (5)</w:t>
      </w:r>
    </w:p>
    <w:p>
      <w:pPr>
        <w:keepNext/>
        <w:keepLines/>
        <w:tabs>
          <w:tab w:val="left" w:pos="1320"/>
        </w:tabs>
        <w:spacing w:after="0" w:before="0" w:line="252"/>
        <w:ind w:left="3020" w:hanging="1320"/>
      </w:pPr>
      <w:r>
        <w:rPr>
          <w:rFonts w:ascii="Times New Roman" w:cs="Times New Roman" w:eastAsia="Times New Roman" w:hAnsi="Times New Roman"/>
          <w:sz w:val="19"/>
          <w:szCs w:val="19"/>
        </w:rPr>
        <w:t xml:space="preserve">10:	</w:t>
      </w:r>
      <w:r>
        <w:rPr>
          <w:rFonts w:ascii="Times New Roman" w:cs="Times New Roman" w:eastAsia="Times New Roman" w:hAnsi="Times New Roman"/>
          <w:b/>
          <w:bCs/>
          <w:sz w:val="19"/>
          <w:szCs w:val="19"/>
        </w:rPr>
        <w:t xml:space="preserve">end for</w:t>
      </w:r>
    </w:p>
    <w:p>
      <w:pPr>
        <w:keepNext/>
        <w:keepLines/>
        <w:tabs>
          <w:tab w:val="left" w:pos="1020"/>
        </w:tabs>
        <w:spacing w:after="0" w:before="0" w:line="252"/>
        <w:ind w:left="2720" w:hanging="1020"/>
      </w:pPr>
      <w:r>
        <w:rPr>
          <w:rFonts w:ascii="Times New Roman" w:cs="Times New Roman" w:eastAsia="Times New Roman" w:hAnsi="Times New Roman"/>
          <w:sz w:val="19"/>
          <w:szCs w:val="19"/>
        </w:rPr>
        <w:t xml:space="preserve">11:	</w:t>
      </w:r>
      <w:r>
        <w:rPr>
          <w:rFonts w:ascii="Times New Roman" w:cs="Times New Roman" w:eastAsia="Times New Roman" w:hAnsi="Times New Roman"/>
          <w:b/>
          <w:bCs/>
          <w:sz w:val="19"/>
          <w:szCs w:val="19"/>
        </w:rPr>
        <w:t xml:space="preserve">end for</w:t>
      </w:r>
    </w:p>
    <w:p>
      <w:pPr>
        <w:keepNext/>
        <w:keepLines/>
        <w:tabs>
          <w:tab w:val="left" w:pos="1020"/>
        </w:tabs>
        <w:spacing w:after="0" w:before="0" w:line="252"/>
        <w:ind w:left="2720" w:hanging="1020"/>
      </w:pPr>
      <w:r>
        <w:rPr>
          <w:rFonts w:ascii="Times New Roman" w:cs="Times New Roman" w:eastAsia="Times New Roman" w:hAnsi="Times New Roman"/>
          <w:sz w:val="19"/>
          <w:szCs w:val="19"/>
        </w:rPr>
        <w:t xml:space="preserve">12:	</w:t>
      </w:r>
      <w:r>
        <w:rPr>
          <w:rFonts w:ascii="Times New Roman" w:cs="Times New Roman" w:eastAsia="Times New Roman" w:hAnsi="Times New Roman"/>
          <w:b/>
          <w:bCs/>
          <w:sz w:val="19"/>
          <w:szCs w:val="19"/>
        </w:rPr>
        <w:t xml:space="preserve">for </w:t>
      </w:r>
      <w:r>
        <w:rPr>
          <w:rFonts w:ascii="Times New Roman" w:cs="Times New Roman" w:eastAsia="Times New Roman" w:hAnsi="Times New Roman"/>
          <w:sz w:val="19"/>
          <w:szCs w:val="19"/>
        </w:rPr>
        <w:t xml:space="preserve">epoch = 1, …, 50</w:t>
      </w:r>
      <w:r>
        <w:rPr>
          <w:rFonts w:ascii="Times New Roman" w:cs="Times New Roman" w:eastAsia="Times New Roman" w:hAnsi="Times New Roman"/>
          <w:b/>
          <w:bCs/>
          <w:sz w:val="19"/>
          <w:szCs w:val="19"/>
        </w:rPr>
        <w:t xml:space="preserve"> do</w:t>
      </w:r>
      <w:r>
        <w:rPr>
          <w:rFonts w:ascii="Times New Roman" w:cs="Times New Roman" w:eastAsia="Times New Roman" w:hAnsi="Times New Roman"/>
          <w:i/>
          <w:iCs/>
          <w:color w:val="404040"/>
          <w:sz w:val="19"/>
          <w:szCs w:val="19"/>
        </w:rPr>
        <w:t xml:space="preserve">   ▷ Stage 2: supervised fine-tuning</w:t>
      </w:r>
    </w:p>
    <w:p>
      <w:pPr>
        <w:keepNext/>
        <w:keepLines/>
        <w:tabs>
          <w:tab w:val="left" w:pos="1320"/>
        </w:tabs>
        <w:spacing w:after="0" w:before="0" w:line="252"/>
        <w:ind w:left="3020" w:hanging="1320"/>
      </w:pPr>
      <w:r>
        <w:rPr>
          <w:rFonts w:ascii="Times New Roman" w:cs="Times New Roman" w:eastAsia="Times New Roman" w:hAnsi="Times New Roman"/>
          <w:sz w:val="19"/>
          <w:szCs w:val="19"/>
        </w:rPr>
        <w:t xml:space="preserve">13:	</w:t>
      </w:r>
      <w:r>
        <w:rPr>
          <w:rFonts w:ascii="Times New Roman" w:cs="Times New Roman" w:eastAsia="Times New Roman" w:hAnsi="Times New Roman"/>
          <w:sz w:val="19"/>
          <w:szCs w:val="19"/>
        </w:rPr>
        <w:t xml:space="preserve">Update θ, ψ by minimising the cross-entropy loss on D</w:t>
      </w:r>
      <w:r>
        <w:rPr>
          <w:rFonts w:ascii="Times New Roman" w:cs="Times New Roman" w:eastAsia="Times New Roman" w:hAnsi="Times New Roman"/>
          <w:sz w:val="19"/>
          <w:szCs w:val="19"/>
          <w:vertAlign w:val="subscript"/>
        </w:rPr>
        <w:t xml:space="preserve">train</w:t>
      </w:r>
      <w:r>
        <w:rPr>
          <w:rFonts w:ascii="Times New Roman" w:cs="Times New Roman" w:eastAsia="Times New Roman" w:hAnsi="Times New Roman"/>
          <w:sz w:val="19"/>
          <w:szCs w:val="19"/>
        </w:rPr>
        <w:t xml:space="preserve">, Eq. (6)</w:t>
      </w:r>
    </w:p>
    <w:p>
      <w:pPr>
        <w:keepNext/>
        <w:keepLines/>
        <w:tabs>
          <w:tab w:val="left" w:pos="1320"/>
        </w:tabs>
        <w:spacing w:after="0" w:before="0" w:line="252"/>
        <w:ind w:left="3020" w:hanging="1320"/>
      </w:pPr>
      <w:r>
        <w:rPr>
          <w:rFonts w:ascii="Times New Roman" w:cs="Times New Roman" w:eastAsia="Times New Roman" w:hAnsi="Times New Roman"/>
          <w:sz w:val="19"/>
          <w:szCs w:val="19"/>
        </w:rPr>
        <w:t xml:space="preserve">14:	</w:t>
      </w:r>
      <w:r>
        <w:rPr>
          <w:rFonts w:ascii="Times New Roman" w:cs="Times New Roman" w:eastAsia="Times New Roman" w:hAnsi="Times New Roman"/>
          <w:b/>
          <w:bCs/>
          <w:sz w:val="19"/>
          <w:szCs w:val="19"/>
        </w:rPr>
        <w:t xml:space="preserve">if </w:t>
      </w:r>
      <w:r>
        <w:rPr>
          <w:rFonts w:ascii="Times New Roman" w:cs="Times New Roman" w:eastAsia="Times New Roman" w:hAnsi="Times New Roman"/>
          <w:sz w:val="19"/>
          <w:szCs w:val="19"/>
        </w:rPr>
        <w:t xml:space="preserve">validation macro F1 has not improved for 15 epochs</w:t>
      </w:r>
      <w:r>
        <w:rPr>
          <w:rFonts w:ascii="Times New Roman" w:cs="Times New Roman" w:eastAsia="Times New Roman" w:hAnsi="Times New Roman"/>
          <w:b/>
          <w:bCs/>
          <w:sz w:val="19"/>
          <w:szCs w:val="19"/>
        </w:rPr>
        <w:t xml:space="preserve"> then</w:t>
      </w:r>
    </w:p>
    <w:p>
      <w:pPr>
        <w:keepNext/>
        <w:keepLines/>
        <w:tabs>
          <w:tab w:val="left" w:pos="1620"/>
        </w:tabs>
        <w:spacing w:after="0" w:before="0" w:line="252"/>
        <w:ind w:left="3320" w:hanging="1620"/>
      </w:pPr>
      <w:r>
        <w:rPr>
          <w:rFonts w:ascii="Times New Roman" w:cs="Times New Roman" w:eastAsia="Times New Roman" w:hAnsi="Times New Roman"/>
          <w:sz w:val="19"/>
          <w:szCs w:val="19"/>
        </w:rPr>
        <w:t xml:space="preserve">15:	</w:t>
      </w:r>
      <w:r>
        <w:rPr>
          <w:rFonts w:ascii="Times New Roman" w:cs="Times New Roman" w:eastAsia="Times New Roman" w:hAnsi="Times New Roman"/>
          <w:sz w:val="19"/>
          <w:szCs w:val="19"/>
        </w:rPr>
        <w:t xml:space="preserve">stop training</w:t>
      </w:r>
    </w:p>
    <w:p>
      <w:pPr>
        <w:keepNext/>
        <w:keepLines/>
        <w:tabs>
          <w:tab w:val="left" w:pos="1320"/>
        </w:tabs>
        <w:spacing w:after="0" w:before="0" w:line="252"/>
        <w:ind w:left="3020" w:hanging="1320"/>
      </w:pPr>
      <w:r>
        <w:rPr>
          <w:rFonts w:ascii="Times New Roman" w:cs="Times New Roman" w:eastAsia="Times New Roman" w:hAnsi="Times New Roman"/>
          <w:sz w:val="19"/>
          <w:szCs w:val="19"/>
        </w:rPr>
        <w:t xml:space="preserve">16:	</w:t>
      </w:r>
      <w:r>
        <w:rPr>
          <w:rFonts w:ascii="Times New Roman" w:cs="Times New Roman" w:eastAsia="Times New Roman" w:hAnsi="Times New Roman"/>
          <w:b/>
          <w:bCs/>
          <w:sz w:val="19"/>
          <w:szCs w:val="19"/>
        </w:rPr>
        <w:t xml:space="preserve">end if</w:t>
      </w:r>
    </w:p>
    <w:p>
      <w:pPr>
        <w:keepNext/>
        <w:keepLines/>
        <w:tabs>
          <w:tab w:val="left" w:pos="1020"/>
        </w:tabs>
        <w:spacing w:after="0" w:before="0" w:line="252"/>
        <w:ind w:left="2720" w:hanging="1020"/>
      </w:pPr>
      <w:r>
        <w:rPr>
          <w:rFonts w:ascii="Times New Roman" w:cs="Times New Roman" w:eastAsia="Times New Roman" w:hAnsi="Times New Roman"/>
          <w:sz w:val="19"/>
          <w:szCs w:val="19"/>
        </w:rPr>
        <w:t xml:space="preserve">17:	</w:t>
      </w:r>
      <w:r>
        <w:rPr>
          <w:rFonts w:ascii="Times New Roman" w:cs="Times New Roman" w:eastAsia="Times New Roman" w:hAnsi="Times New Roman"/>
          <w:b/>
          <w:bCs/>
          <w:sz w:val="19"/>
          <w:szCs w:val="19"/>
        </w:rPr>
        <w:t xml:space="preserve">end for</w:t>
      </w:r>
    </w:p>
    <w:p>
      <w:pPr>
        <w:keepNext/>
        <w:keepLines/>
        <w:tabs>
          <w:tab w:val="left" w:pos="1020"/>
        </w:tabs>
        <w:spacing w:after="0" w:before="0" w:line="252"/>
        <w:ind w:left="2720" w:hanging="1020"/>
      </w:pPr>
      <w:r>
        <w:rPr>
          <w:rFonts w:ascii="Times New Roman" w:cs="Times New Roman" w:eastAsia="Times New Roman" w:hAnsi="Times New Roman"/>
          <w:sz w:val="19"/>
          <w:szCs w:val="19"/>
        </w:rPr>
        <w:t xml:space="preserve">18:	</w:t>
      </w:r>
      <w:r>
        <w:rPr>
          <w:rFonts w:ascii="Times New Roman" w:cs="Times New Roman" w:eastAsia="Times New Roman" w:hAnsi="Times New Roman"/>
          <w:sz w:val="19"/>
          <w:szCs w:val="19"/>
        </w:rPr>
        <w:t xml:space="preserve">Restore the best (θ, ψ); A</w:t>
      </w:r>
      <w:r>
        <w:rPr>
          <w:rFonts w:ascii="Times New Roman" w:cs="Times New Roman" w:eastAsia="Times New Roman" w:hAnsi="Times New Roman"/>
          <w:sz w:val="19"/>
          <w:szCs w:val="19"/>
          <w:vertAlign w:val="subscript"/>
        </w:rPr>
        <w:t xml:space="preserve">zs</w:t>
      </w:r>
      <w:r>
        <w:rPr>
          <w:rFonts w:ascii="Times New Roman" w:cs="Times New Roman" w:eastAsia="Times New Roman" w:hAnsi="Times New Roman"/>
          <w:sz w:val="19"/>
          <w:szCs w:val="19"/>
        </w:rPr>
        <w:t xml:space="preserve">(</w:t>
      </w:r>
      <w:r>
        <w:rPr>
          <w:rFonts w:ascii="Times New Roman" w:cs="Times New Roman" w:eastAsia="Times New Roman" w:hAnsi="Times New Roman"/>
          <w:i/>
          <w:iCs/>
          <w:sz w:val="19"/>
          <w:szCs w:val="19"/>
        </w:rPr>
        <w:t xml:space="preserve">r</w:t>
      </w:r>
      <w:r>
        <w:rPr>
          <w:rFonts w:ascii="Times New Roman" w:cs="Times New Roman" w:eastAsia="Times New Roman" w:hAnsi="Times New Roman"/>
          <w:sz w:val="19"/>
          <w:szCs w:val="19"/>
        </w:rPr>
        <w:t xml:space="preserve">, </w:t>
      </w:r>
      <w:r>
        <w:rPr>
          <w:rFonts w:ascii="Times New Roman" w:cs="Times New Roman" w:eastAsia="Times New Roman" w:hAnsi="Times New Roman"/>
          <w:i/>
          <w:iCs/>
          <w:sz w:val="19"/>
          <w:szCs w:val="19"/>
        </w:rPr>
        <w:t xml:space="preserve">p</w:t>
      </w:r>
      <w:r>
        <w:rPr>
          <w:rFonts w:ascii="Times New Roman" w:cs="Times New Roman" w:eastAsia="Times New Roman" w:hAnsi="Times New Roman"/>
          <w:sz w:val="19"/>
          <w:szCs w:val="19"/>
        </w:rPr>
        <w:t xml:space="preserve">) ← accuracy on D</w:t>
      </w:r>
      <w:r>
        <w:rPr>
          <w:rFonts w:ascii="Times New Roman" w:cs="Times New Roman" w:eastAsia="Times New Roman" w:hAnsi="Times New Roman"/>
          <w:sz w:val="19"/>
          <w:szCs w:val="19"/>
          <w:vertAlign w:val="subscript"/>
        </w:rPr>
        <w:t xml:space="preserve">test</w:t>
      </w:r>
      <w:r>
        <w:rPr>
          <w:rFonts w:ascii="Times New Roman" w:cs="Times New Roman" w:eastAsia="Times New Roman" w:hAnsi="Times New Roman"/>
          <w:i/>
          <w:iCs/>
          <w:color w:val="404040"/>
          <w:sz w:val="19"/>
          <w:szCs w:val="19"/>
        </w:rPr>
        <w:t xml:space="preserve">   ▷ zero-shot</w:t>
      </w:r>
    </w:p>
    <w:p>
      <w:pPr>
        <w:keepNext/>
        <w:keepLines/>
        <w:tabs>
          <w:tab w:val="left" w:pos="1020"/>
        </w:tabs>
        <w:spacing w:after="0" w:before="0" w:line="252"/>
        <w:ind w:left="2720" w:hanging="1020"/>
      </w:pPr>
      <w:r>
        <w:rPr>
          <w:rFonts w:ascii="Times New Roman" w:cs="Times New Roman" w:eastAsia="Times New Roman" w:hAnsi="Times New Roman"/>
          <w:sz w:val="19"/>
          <w:szCs w:val="19"/>
        </w:rPr>
        <w:t xml:space="preserve">19:	</w:t>
      </w:r>
      <w:r>
        <w:rPr>
          <w:rFonts w:ascii="Times New Roman" w:cs="Times New Roman" w:eastAsia="Times New Roman" w:hAnsi="Times New Roman"/>
          <w:sz w:val="19"/>
          <w:szCs w:val="19"/>
        </w:rPr>
        <w:t xml:space="preserve">Draw </w:t>
      </w:r>
      <w:r>
        <w:rPr>
          <w:rFonts w:ascii="Times New Roman" w:cs="Times New Roman" w:eastAsia="Times New Roman" w:hAnsi="Times New Roman"/>
          <w:i/>
          <w:iCs/>
          <w:sz w:val="19"/>
          <w:szCs w:val="19"/>
        </w:rPr>
        <w:t xml:space="preserve">m</w:t>
      </w:r>
      <w:r>
        <w:rPr>
          <w:rFonts w:ascii="Times New Roman" w:cs="Times New Roman" w:eastAsia="Times New Roman" w:hAnsi="Times New Roman"/>
          <w:sz w:val="19"/>
          <w:szCs w:val="19"/>
        </w:rPr>
        <w:t xml:space="preserve"> windows D</w:t>
      </w:r>
      <w:r>
        <w:rPr>
          <w:rFonts w:ascii="Times New Roman" w:cs="Times New Roman" w:eastAsia="Times New Roman" w:hAnsi="Times New Roman"/>
          <w:sz w:val="19"/>
          <w:szCs w:val="19"/>
          <w:vertAlign w:val="subscript"/>
        </w:rPr>
        <w:t xml:space="preserve">cal</w:t>
      </w:r>
      <w:r>
        <w:rPr>
          <w:rFonts w:ascii="Times New Roman" w:cs="Times New Roman" w:eastAsia="Times New Roman" w:hAnsi="Times New Roman"/>
          <w:sz w:val="19"/>
          <w:szCs w:val="19"/>
        </w:rPr>
        <w:t xml:space="preserve"> ⊂ D</w:t>
      </w:r>
      <w:r>
        <w:rPr>
          <w:rFonts w:ascii="Times New Roman" w:cs="Times New Roman" w:eastAsia="Times New Roman" w:hAnsi="Times New Roman"/>
          <w:sz w:val="19"/>
          <w:szCs w:val="19"/>
          <w:vertAlign w:val="subscript"/>
        </w:rPr>
        <w:t xml:space="preserve">test</w:t>
      </w:r>
      <w:r>
        <w:rPr>
          <w:rFonts w:ascii="Times New Roman" w:cs="Times New Roman" w:eastAsia="Times New Roman" w:hAnsi="Times New Roman"/>
          <w:sz w:val="19"/>
          <w:szCs w:val="19"/>
        </w:rPr>
        <w:t xml:space="preserve"> at random; D</w:t>
      </w:r>
      <w:r>
        <w:rPr>
          <w:rFonts w:ascii="Times New Roman" w:cs="Times New Roman" w:eastAsia="Times New Roman" w:hAnsi="Times New Roman"/>
          <w:sz w:val="19"/>
          <w:szCs w:val="19"/>
          <w:vertAlign w:val="subscript"/>
        </w:rPr>
        <w:t xml:space="preserve">eval</w:t>
      </w:r>
      <w:r>
        <w:rPr>
          <w:rFonts w:ascii="Times New Roman" w:cs="Times New Roman" w:eastAsia="Times New Roman" w:hAnsi="Times New Roman"/>
          <w:sz w:val="19"/>
          <w:szCs w:val="19"/>
        </w:rPr>
        <w:t xml:space="preserve"> ← D</w:t>
      </w:r>
      <w:r>
        <w:rPr>
          <w:rFonts w:ascii="Times New Roman" w:cs="Times New Roman" w:eastAsia="Times New Roman" w:hAnsi="Times New Roman"/>
          <w:sz w:val="19"/>
          <w:szCs w:val="19"/>
          <w:vertAlign w:val="subscript"/>
        </w:rPr>
        <w:t xml:space="preserve">test</w:t>
      </w:r>
      <w:r>
        <w:rPr>
          <w:rFonts w:ascii="Times New Roman" w:cs="Times New Roman" w:eastAsia="Times New Roman" w:hAnsi="Times New Roman"/>
          <w:sz w:val="19"/>
          <w:szCs w:val="19"/>
        </w:rPr>
        <w:t xml:space="preserve"> ∖ D</w:t>
      </w:r>
      <w:r>
        <w:rPr>
          <w:rFonts w:ascii="Times New Roman" w:cs="Times New Roman" w:eastAsia="Times New Roman" w:hAnsi="Times New Roman"/>
          <w:sz w:val="19"/>
          <w:szCs w:val="19"/>
          <w:vertAlign w:val="subscript"/>
        </w:rPr>
        <w:t xml:space="preserve">cal</w:t>
      </w:r>
    </w:p>
    <w:p>
      <w:pPr>
        <w:keepNext/>
        <w:keepLines/>
        <w:tabs>
          <w:tab w:val="left" w:pos="1020"/>
        </w:tabs>
        <w:spacing w:after="0" w:before="0" w:line="252"/>
        <w:ind w:left="2720" w:hanging="1020"/>
      </w:pPr>
      <w:r>
        <w:rPr>
          <w:rFonts w:ascii="Times New Roman" w:cs="Times New Roman" w:eastAsia="Times New Roman" w:hAnsi="Times New Roman"/>
          <w:sz w:val="19"/>
          <w:szCs w:val="19"/>
        </w:rPr>
        <w:t xml:space="preserve">20:	</w:t>
      </w:r>
      <w:r>
        <w:rPr>
          <w:rFonts w:ascii="Times New Roman" w:cs="Times New Roman" w:eastAsia="Times New Roman" w:hAnsi="Times New Roman"/>
          <w:sz w:val="19"/>
          <w:szCs w:val="19"/>
        </w:rPr>
        <w:t xml:space="preserve">Fine-tune θ, ψ on D</w:t>
      </w:r>
      <w:r>
        <w:rPr>
          <w:rFonts w:ascii="Times New Roman" w:cs="Times New Roman" w:eastAsia="Times New Roman" w:hAnsi="Times New Roman"/>
          <w:sz w:val="19"/>
          <w:szCs w:val="19"/>
          <w:vertAlign w:val="subscript"/>
        </w:rPr>
        <w:t xml:space="preserve">cal</w:t>
      </w:r>
      <w:r>
        <w:rPr>
          <w:rFonts w:ascii="Times New Roman" w:cs="Times New Roman" w:eastAsia="Times New Roman" w:hAnsi="Times New Roman"/>
          <w:sz w:val="19"/>
          <w:szCs w:val="19"/>
        </w:rPr>
        <w:t xml:space="preserve"> for 10 epochs (Adam, learning rate 10</w:t>
      </w:r>
      <w:r>
        <w:rPr>
          <w:rFonts w:ascii="Times New Roman" w:cs="Times New Roman" w:eastAsia="Times New Roman" w:hAnsi="Times New Roman"/>
          <w:sz w:val="19"/>
          <w:szCs w:val="19"/>
          <w:vertAlign w:val="superscript"/>
        </w:rPr>
        <w:t xml:space="preserve">−3</w:t>
      </w:r>
      <w:r>
        <w:rPr>
          <w:rFonts w:ascii="Times New Roman" w:cs="Times New Roman" w:eastAsia="Times New Roman" w:hAnsi="Times New Roman"/>
          <w:sz w:val="19"/>
          <w:szCs w:val="19"/>
        </w:rPr>
        <w:t xml:space="preserve">)</w:t>
      </w:r>
    </w:p>
    <w:p>
      <w:pPr>
        <w:keepNext/>
        <w:keepLines/>
        <w:tabs>
          <w:tab w:val="left" w:pos="1020"/>
        </w:tabs>
        <w:spacing w:after="0" w:before="0" w:line="252"/>
        <w:ind w:left="2720" w:hanging="1020"/>
      </w:pPr>
      <w:r>
        <w:rPr>
          <w:rFonts w:ascii="Times New Roman" w:cs="Times New Roman" w:eastAsia="Times New Roman" w:hAnsi="Times New Roman"/>
          <w:sz w:val="19"/>
          <w:szCs w:val="19"/>
        </w:rPr>
        <w:t xml:space="preserve">21:	</w:t>
      </w:r>
      <w:r>
        <w:rPr>
          <w:rFonts w:ascii="Times New Roman" w:cs="Times New Roman" w:eastAsia="Times New Roman" w:hAnsi="Times New Roman"/>
          <w:sz w:val="19"/>
          <w:szCs w:val="19"/>
        </w:rPr>
        <w:t xml:space="preserve">A</w:t>
      </w:r>
      <w:r>
        <w:rPr>
          <w:rFonts w:ascii="Times New Roman" w:cs="Times New Roman" w:eastAsia="Times New Roman" w:hAnsi="Times New Roman"/>
          <w:sz w:val="19"/>
          <w:szCs w:val="19"/>
          <w:vertAlign w:val="subscript"/>
        </w:rPr>
        <w:t xml:space="preserve">cal</w:t>
      </w:r>
      <w:r>
        <w:rPr>
          <w:rFonts w:ascii="Times New Roman" w:cs="Times New Roman" w:eastAsia="Times New Roman" w:hAnsi="Times New Roman"/>
          <w:sz w:val="19"/>
          <w:szCs w:val="19"/>
        </w:rPr>
        <w:t xml:space="preserve">(</w:t>
      </w:r>
      <w:r>
        <w:rPr>
          <w:rFonts w:ascii="Times New Roman" w:cs="Times New Roman" w:eastAsia="Times New Roman" w:hAnsi="Times New Roman"/>
          <w:i/>
          <w:iCs/>
          <w:sz w:val="19"/>
          <w:szCs w:val="19"/>
        </w:rPr>
        <w:t xml:space="preserve">r</w:t>
      </w:r>
      <w:r>
        <w:rPr>
          <w:rFonts w:ascii="Times New Roman" w:cs="Times New Roman" w:eastAsia="Times New Roman" w:hAnsi="Times New Roman"/>
          <w:sz w:val="19"/>
          <w:szCs w:val="19"/>
        </w:rPr>
        <w:t xml:space="preserve">, </w:t>
      </w:r>
      <w:r>
        <w:rPr>
          <w:rFonts w:ascii="Times New Roman" w:cs="Times New Roman" w:eastAsia="Times New Roman" w:hAnsi="Times New Roman"/>
          <w:i/>
          <w:iCs/>
          <w:sz w:val="19"/>
          <w:szCs w:val="19"/>
        </w:rPr>
        <w:t xml:space="preserve">p</w:t>
      </w:r>
      <w:r>
        <w:rPr>
          <w:rFonts w:ascii="Times New Roman" w:cs="Times New Roman" w:eastAsia="Times New Roman" w:hAnsi="Times New Roman"/>
          <w:sz w:val="19"/>
          <w:szCs w:val="19"/>
        </w:rPr>
        <w:t xml:space="preserve">) ← accuracy on D</w:t>
      </w:r>
      <w:r>
        <w:rPr>
          <w:rFonts w:ascii="Times New Roman" w:cs="Times New Roman" w:eastAsia="Times New Roman" w:hAnsi="Times New Roman"/>
          <w:sz w:val="19"/>
          <w:szCs w:val="19"/>
          <w:vertAlign w:val="subscript"/>
        </w:rPr>
        <w:t xml:space="preserve">eval</w:t>
      </w:r>
      <w:r>
        <w:rPr>
          <w:rFonts w:ascii="Times New Roman" w:cs="Times New Roman" w:eastAsia="Times New Roman" w:hAnsi="Times New Roman"/>
          <w:i/>
          <w:iCs/>
          <w:color w:val="404040"/>
          <w:sz w:val="19"/>
          <w:szCs w:val="19"/>
        </w:rPr>
        <w:t xml:space="preserve">   ▷ calibrated</w:t>
      </w:r>
    </w:p>
    <w:p>
      <w:pPr>
        <w:keepNext/>
        <w:keepLines/>
        <w:tabs>
          <w:tab w:val="left" w:pos="720"/>
        </w:tabs>
        <w:spacing w:after="0" w:before="0" w:line="252"/>
        <w:ind w:left="2420" w:hanging="720"/>
      </w:pPr>
      <w:r>
        <w:rPr>
          <w:rFonts w:ascii="Times New Roman" w:cs="Times New Roman" w:eastAsia="Times New Roman" w:hAnsi="Times New Roman"/>
          <w:sz w:val="19"/>
          <w:szCs w:val="19"/>
        </w:rPr>
        <w:t xml:space="preserve">22:	</w:t>
      </w:r>
      <w:r>
        <w:rPr>
          <w:rFonts w:ascii="Times New Roman" w:cs="Times New Roman" w:eastAsia="Times New Roman" w:hAnsi="Times New Roman"/>
          <w:b/>
          <w:bCs/>
          <w:sz w:val="19"/>
          <w:szCs w:val="19"/>
        </w:rPr>
        <w:t xml:space="preserve">end for</w:t>
      </w:r>
    </w:p>
    <w:p>
      <w:pPr>
        <w:keepNext/>
        <w:keepLines/>
        <w:tabs>
          <w:tab w:val="left" w:pos="420"/>
        </w:tabs>
        <w:spacing w:after="0" w:before="0" w:line="252"/>
        <w:ind w:left="2120" w:hanging="420"/>
      </w:pPr>
      <w:r>
        <w:rPr>
          <w:rFonts w:ascii="Times New Roman" w:cs="Times New Roman" w:eastAsia="Times New Roman" w:hAnsi="Times New Roman"/>
          <w:sz w:val="19"/>
          <w:szCs w:val="19"/>
        </w:rPr>
        <w:t xml:space="preserve">23:	</w:t>
      </w:r>
      <w:r>
        <w:rPr>
          <w:rFonts w:ascii="Times New Roman" w:cs="Times New Roman" w:eastAsia="Times New Roman" w:hAnsi="Times New Roman"/>
          <w:b/>
          <w:bCs/>
          <w:sz w:val="19"/>
          <w:szCs w:val="19"/>
        </w:rPr>
        <w:t xml:space="preserve">end for</w:t>
      </w:r>
    </w:p>
    <w:p>
      <w:pPr>
        <w:keepNext/>
        <w:keepLines/>
        <w:pBdr>
          <w:bottom w:val="single" w:color="000000" w:sz="6" w:space="2"/>
        </w:pBdr>
        <w:tabs>
          <w:tab w:val="left" w:pos="420"/>
        </w:tabs>
        <w:spacing w:after="0" w:before="0" w:line="252"/>
        <w:ind w:left="2120" w:hanging="420"/>
      </w:pPr>
      <w:r>
        <w:rPr>
          <w:rFonts w:ascii="Times New Roman" w:cs="Times New Roman" w:eastAsia="Times New Roman" w:hAnsi="Times New Roman"/>
          <w:sz w:val="19"/>
          <w:szCs w:val="19"/>
        </w:rPr>
        <w:t xml:space="preserve">24:	</w:t>
      </w:r>
      <w:r>
        <w:rPr>
          <w:rFonts w:ascii="Times New Roman" w:cs="Times New Roman" w:eastAsia="Times New Roman" w:hAnsi="Times New Roman"/>
          <w:b/>
          <w:bCs/>
          <w:sz w:val="19"/>
          <w:szCs w:val="19"/>
        </w:rPr>
        <w:t xml:space="preserve">return </w:t>
      </w:r>
      <w:r>
        <w:rPr>
          <w:rFonts w:ascii="Times New Roman" w:cs="Times New Roman" w:eastAsia="Times New Roman" w:hAnsi="Times New Roman"/>
          <w:sz w:val="19"/>
          <w:szCs w:val="19"/>
        </w:rPr>
        <w:t xml:space="preserve">A</w:t>
      </w:r>
      <w:r>
        <w:rPr>
          <w:rFonts w:ascii="Times New Roman" w:cs="Times New Roman" w:eastAsia="Times New Roman" w:hAnsi="Times New Roman"/>
          <w:sz w:val="19"/>
          <w:szCs w:val="19"/>
          <w:vertAlign w:val="subscript"/>
        </w:rPr>
        <w:t xml:space="preserve">zs</w:t>
      </w:r>
      <w:r>
        <w:rPr>
          <w:rFonts w:ascii="Times New Roman" w:cs="Times New Roman" w:eastAsia="Times New Roman" w:hAnsi="Times New Roman"/>
          <w:sz w:val="19"/>
          <w:szCs w:val="19"/>
        </w:rPr>
        <w:t xml:space="preserve"> and A</w:t>
      </w:r>
      <w:r>
        <w:rPr>
          <w:rFonts w:ascii="Times New Roman" w:cs="Times New Roman" w:eastAsia="Times New Roman" w:hAnsi="Times New Roman"/>
          <w:sz w:val="19"/>
          <w:szCs w:val="19"/>
          <w:vertAlign w:val="subscript"/>
        </w:rPr>
        <w:t xml:space="preserve">cal</w:t>
      </w:r>
      <w:r>
        <w:rPr>
          <w:rFonts w:ascii="Times New Roman" w:cs="Times New Roman" w:eastAsia="Times New Roman" w:hAnsi="Times New Roman"/>
          <w:sz w:val="19"/>
          <w:szCs w:val="19"/>
        </w:rPr>
        <w:t xml:space="preserve"> for all seeds and participants</w:t>
      </w:r>
    </w:p>
    <w:p>
      <w:pPr>
        <w:spacing w:after="200"/>
      </w:pPr>
    </w:p>
    <w:p>
      <w:pPr>
        <w:pStyle w:val="Heading2"/>
        <w:keepNext/>
        <w:spacing w:after="40" w:before="220"/>
        <w:ind w:left="1700"/>
      </w:pPr>
      <w:r>
        <w:rPr>
          <w:rFonts w:ascii="Arial" w:cs="Arial" w:eastAsia="Arial" w:hAnsi="Arial"/>
          <w:b/>
          <w:bCs/>
          <w:color w:val="000000"/>
          <w:sz w:val="21"/>
          <w:szCs w:val="21"/>
        </w:rPr>
        <w:t xml:space="preserve">3.9 Implementation details</w:t>
      </w:r>
    </w:p>
    <w:p>
      <w:pPr>
        <w:spacing w:after="0" w:line="252"/>
        <w:ind w:left="1700" w:firstLine="0"/>
        <w:jc w:val="both"/>
      </w:pPr>
      <w:r>
        <w:rPr>
          <w:rFonts w:ascii="Times New Roman" w:cs="Times New Roman" w:eastAsia="Times New Roman" w:hAnsi="Times New Roman"/>
          <w:sz w:val="20"/>
          <w:szCs w:val="20"/>
        </w:rPr>
        <w:t xml:space="preserve">Stage 1 uses AdamW (learning rate 10</w:t>
      </w:r>
      <w:r>
        <w:rPr>
          <w:rFonts w:ascii="Times New Roman" w:cs="Times New Roman" w:eastAsia="Times New Roman" w:hAnsi="Times New Roman"/>
          <w:sz w:val="20"/>
          <w:szCs w:val="20"/>
          <w:vertAlign w:val="superscript"/>
        </w:rPr>
        <w:t xml:space="preserve">−3</w:t>
      </w:r>
      <w:r>
        <w:rPr>
          <w:rFonts w:ascii="Times New Roman" w:cs="Times New Roman" w:eastAsia="Times New Roman" w:hAnsi="Times New Roman"/>
          <w:sz w:val="20"/>
          <w:szCs w:val="20"/>
        </w:rPr>
        <w:t xml:space="preserve">, weight decay 10</w:t>
      </w:r>
      <w:r>
        <w:rPr>
          <w:rFonts w:ascii="Times New Roman" w:cs="Times New Roman" w:eastAsia="Times New Roman" w:hAnsi="Times New Roman"/>
          <w:sz w:val="20"/>
          <w:szCs w:val="20"/>
          <w:vertAlign w:val="superscript"/>
        </w:rPr>
        <w:t xml:space="preserve">−4</w:t>
      </w:r>
      <w:r>
        <w:rPr>
          <w:rFonts w:ascii="Times New Roman" w:cs="Times New Roman" w:eastAsia="Times New Roman" w:hAnsi="Times New Roman"/>
          <w:sz w:val="20"/>
          <w:szCs w:val="20"/>
        </w:rPr>
        <w:t xml:space="preserve">, cosine annealing, 50 epochs, batch size 128). Stage 2 uses AdamW (learning rate 3 × 10</w:t>
      </w:r>
      <w:r>
        <w:rPr>
          <w:rFonts w:ascii="Times New Roman" w:cs="Times New Roman" w:eastAsia="Times New Roman" w:hAnsi="Times New Roman"/>
          <w:sz w:val="20"/>
          <w:szCs w:val="20"/>
          <w:vertAlign w:val="superscript"/>
        </w:rPr>
        <w:t xml:space="preserve">−4</w:t>
      </w:r>
      <w:r>
        <w:rPr>
          <w:rFonts w:ascii="Times New Roman" w:cs="Times New Roman" w:eastAsia="Times New Roman" w:hAnsi="Times New Roman"/>
          <w:sz w:val="20"/>
          <w:szCs w:val="20"/>
        </w:rPr>
        <w:t xml:space="preserve">, weight decay 10</w:t>
      </w:r>
      <w:r>
        <w:rPr>
          <w:rFonts w:ascii="Times New Roman" w:cs="Times New Roman" w:eastAsia="Times New Roman" w:hAnsi="Times New Roman"/>
          <w:sz w:val="20"/>
          <w:szCs w:val="20"/>
          <w:vertAlign w:val="superscript"/>
        </w:rPr>
        <w:t xml:space="preserve">−4</w:t>
      </w:r>
      <w:r>
        <w:rPr>
          <w:rFonts w:ascii="Times New Roman" w:cs="Times New Roman" w:eastAsia="Times New Roman" w:hAnsi="Times New Roman"/>
          <w:sz w:val="20"/>
          <w:szCs w:val="20"/>
        </w:rPr>
        <w:t xml:space="preserve">, cosine annealing, up to 50 epochs, early stopping with patience 15 on validation macro F1, class-balanced sampling). Supervised baselines were trained for up to 100 epochs with the same early-stopping rule. Mixed-precision training was used throughout.</w:t>
      </w:r>
    </w:p>
    <w:p>
      <w:pPr>
        <w:spacing w:after="0" w:line="252"/>
        <w:ind w:left="1700" w:firstLine="240"/>
        <w:jc w:val="both"/>
      </w:pPr>
      <w:r>
        <w:rPr>
          <w:rFonts w:ascii="Times New Roman" w:cs="Times New Roman" w:eastAsia="Times New Roman" w:hAnsi="Times New Roman"/>
          <w:sz w:val="20"/>
          <w:szCs w:val="20"/>
        </w:rPr>
        <w:t xml:space="preserve">All experiments were implemented in Python 3 with PyTorch </w:t>
      </w:r>
      <w:r>
        <w:rPr>
          <w:rFonts w:ascii="Times New Roman" w:cs="Times New Roman" w:eastAsia="Times New Roman" w:hAnsi="Times New Roman"/>
          <w:sz w:val="20"/>
          <w:szCs w:val="20"/>
          <w:highlight w:val="yellow"/>
          <w:highlightCs w:val="yellow"/>
        </w:rPr>
        <w:t xml:space="preserve">[version]</w:t>
      </w:r>
      <w:r>
        <w:rPr>
          <w:rFonts w:ascii="Times New Roman" w:cs="Times New Roman" w:eastAsia="Times New Roman" w:hAnsi="Times New Roman"/>
          <w:sz w:val="20"/>
          <w:szCs w:val="20"/>
        </w:rPr>
        <w:t xml:space="preserve"> (deep models), scikit-learn </w:t>
      </w:r>
      <w:r>
        <w:rPr>
          <w:rFonts w:ascii="Times New Roman" w:cs="Times New Roman" w:eastAsia="Times New Roman" w:hAnsi="Times New Roman"/>
          <w:sz w:val="20"/>
          <w:szCs w:val="20"/>
          <w:highlight w:val="yellow"/>
          <w:highlightCs w:val="yellow"/>
        </w:rPr>
        <w:t xml:space="preserve">[version]</w:t>
      </w:r>
      <w:r>
        <w:rPr>
          <w:rFonts w:ascii="Times New Roman" w:cs="Times New Roman" w:eastAsia="Times New Roman" w:hAnsi="Times New Roman"/>
          <w:sz w:val="20"/>
          <w:szCs w:val="20"/>
        </w:rPr>
        <w:t xml:space="preserve"> and XGBoost </w:t>
      </w:r>
      <w:r>
        <w:rPr>
          <w:rFonts w:ascii="Times New Roman" w:cs="Times New Roman" w:eastAsia="Times New Roman" w:hAnsi="Times New Roman"/>
          <w:sz w:val="20"/>
          <w:szCs w:val="20"/>
          <w:highlight w:val="yellow"/>
          <w:highlightCs w:val="yellow"/>
        </w:rPr>
        <w:t xml:space="preserve">[version]</w:t>
      </w:r>
      <w:r>
        <w:rPr>
          <w:rFonts w:ascii="Times New Roman" w:cs="Times New Roman" w:eastAsia="Times New Roman" w:hAnsi="Times New Roman"/>
          <w:sz w:val="20"/>
          <w:szCs w:val="20"/>
        </w:rPr>
        <w:t xml:space="preserve"> (classical models), and SciPy and statsmodels (statistics), and were run on an NVIDIA GeForce RTX 3050 Laptop GPU </w:t>
      </w:r>
      <w:r>
        <w:rPr>
          <w:rFonts w:ascii="Times New Roman" w:cs="Times New Roman" w:eastAsia="Times New Roman" w:hAnsi="Times New Roman"/>
          <w:sz w:val="20"/>
          <w:szCs w:val="20"/>
          <w:highlight w:val="yellow"/>
          <w:highlightCs w:val="yellow"/>
        </w:rPr>
        <w:t xml:space="preserve">[confirm hardware]</w:t>
      </w:r>
      <w:r>
        <w:rPr>
          <w:rFonts w:ascii="Times New Roman" w:cs="Times New Roman" w:eastAsia="Times New Roman" w:hAnsi="Times New Roman"/>
          <w:sz w:val="20"/>
          <w:szCs w:val="20"/>
        </w:rPr>
        <w:t xml:space="preserve">.</w:t>
      </w:r>
    </w:p>
    <w:p>
      <w:pPr>
        <w:pStyle w:val="Heading2"/>
        <w:keepNext/>
        <w:spacing w:after="40" w:before="220"/>
        <w:ind w:left="1700"/>
      </w:pPr>
      <w:r>
        <w:rPr>
          <w:rFonts w:ascii="Arial" w:cs="Arial" w:eastAsia="Arial" w:hAnsi="Arial"/>
          <w:b/>
          <w:bCs/>
          <w:color w:val="000000"/>
          <w:sz w:val="21"/>
          <w:szCs w:val="21"/>
        </w:rPr>
        <w:t xml:space="preserve">3.10 Evaluation metrics</w:t>
      </w:r>
    </w:p>
    <w:p>
      <w:pPr>
        <w:spacing w:after="0" w:line="252"/>
        <w:ind w:left="1700" w:firstLine="0"/>
        <w:jc w:val="both"/>
      </w:pPr>
      <w:r>
        <w:rPr>
          <w:rFonts w:ascii="Times New Roman" w:cs="Times New Roman" w:eastAsia="Times New Roman" w:hAnsi="Times New Roman"/>
          <w:sz w:val="20"/>
          <w:szCs w:val="20"/>
        </w:rPr>
        <w:t xml:space="preserve">Model performance is assessed with complementary metrics computed on the test windows of the held-out participant. For class </w:t>
      </w:r>
      <w:r>
        <w:rPr>
          <w:rFonts w:ascii="Times New Roman" w:cs="Times New Roman" w:eastAsia="Times New Roman" w:hAnsi="Times New Roman"/>
          <w:i/>
          <w:iCs/>
          <w:sz w:val="20"/>
          <w:szCs w:val="20"/>
        </w:rPr>
        <w:t xml:space="preserve">i</w:t>
      </w:r>
      <w:r>
        <w:rPr>
          <w:rFonts w:ascii="Times New Roman" w:cs="Times New Roman" w:eastAsia="Times New Roman" w:hAnsi="Times New Roman"/>
          <w:sz w:val="20"/>
          <w:szCs w:val="20"/>
        </w:rPr>
        <w:t xml:space="preserve"> of </w:t>
      </w:r>
      <w:r>
        <w:rPr>
          <w:rFonts w:ascii="Times New Roman" w:cs="Times New Roman" w:eastAsia="Times New Roman" w:hAnsi="Times New Roman"/>
          <w:i/>
          <w:iCs/>
          <w:sz w:val="20"/>
          <w:szCs w:val="20"/>
        </w:rPr>
        <w:t xml:space="preserve">C</w:t>
      </w:r>
      <w:r>
        <w:rPr>
          <w:rFonts w:ascii="Times New Roman" w:cs="Times New Roman" w:eastAsia="Times New Roman" w:hAnsi="Times New Roman"/>
          <w:sz w:val="20"/>
          <w:szCs w:val="20"/>
        </w:rPr>
        <w:t xml:space="preserve"> = 4 classes, TP</w:t>
      </w:r>
      <w:r>
        <w:rPr>
          <w:rFonts w:ascii="Times New Roman" w:cs="Times New Roman" w:eastAsia="Times New Roman" w:hAnsi="Times New Roman"/>
          <w:sz w:val="20"/>
          <w:szCs w:val="20"/>
          <w:vertAlign w:val="subscript"/>
        </w:rPr>
        <w:t xml:space="preserve">i</w:t>
      </w:r>
      <w:r>
        <w:rPr>
          <w:rFonts w:ascii="Times New Roman" w:cs="Times New Roman" w:eastAsia="Times New Roman" w:hAnsi="Times New Roman"/>
          <w:sz w:val="20"/>
          <w:szCs w:val="20"/>
        </w:rPr>
        <w:t xml:space="preserve">, FP</w:t>
      </w:r>
      <w:r>
        <w:rPr>
          <w:rFonts w:ascii="Times New Roman" w:cs="Times New Roman" w:eastAsia="Times New Roman" w:hAnsi="Times New Roman"/>
          <w:sz w:val="20"/>
          <w:szCs w:val="20"/>
          <w:vertAlign w:val="subscript"/>
        </w:rPr>
        <w:t xml:space="preserve">i</w:t>
      </w:r>
      <w:r>
        <w:rPr>
          <w:rFonts w:ascii="Times New Roman" w:cs="Times New Roman" w:eastAsia="Times New Roman" w:hAnsi="Times New Roman"/>
          <w:sz w:val="20"/>
          <w:szCs w:val="20"/>
        </w:rPr>
        <w:t xml:space="preserve">, FN</w:t>
      </w:r>
      <w:r>
        <w:rPr>
          <w:rFonts w:ascii="Times New Roman" w:cs="Times New Roman" w:eastAsia="Times New Roman" w:hAnsi="Times New Roman"/>
          <w:sz w:val="20"/>
          <w:szCs w:val="20"/>
          <w:vertAlign w:val="subscript"/>
        </w:rPr>
        <w:t xml:space="preserve">i</w:t>
      </w:r>
      <w:r>
        <w:rPr>
          <w:rFonts w:ascii="Times New Roman" w:cs="Times New Roman" w:eastAsia="Times New Roman" w:hAnsi="Times New Roman"/>
          <w:sz w:val="20"/>
          <w:szCs w:val="20"/>
        </w:rPr>
        <w:t xml:space="preserve"> and TN</w:t>
      </w:r>
      <w:r>
        <w:rPr>
          <w:rFonts w:ascii="Times New Roman" w:cs="Times New Roman" w:eastAsia="Times New Roman" w:hAnsi="Times New Roman"/>
          <w:sz w:val="20"/>
          <w:szCs w:val="20"/>
          <w:vertAlign w:val="subscript"/>
        </w:rPr>
        <w:t xml:space="preserve">i</w:t>
      </w:r>
      <w:r>
        <w:rPr>
          <w:rFonts w:ascii="Times New Roman" w:cs="Times New Roman" w:eastAsia="Times New Roman" w:hAnsi="Times New Roman"/>
          <w:sz w:val="20"/>
          <w:szCs w:val="20"/>
        </w:rPr>
        <w:t xml:space="preserve"> denote true positives, false positives, false negatives and true negatives, </w:t>
      </w:r>
      <w:r>
        <w:rPr>
          <w:rFonts w:ascii="Times New Roman" w:cs="Times New Roman" w:eastAsia="Times New Roman" w:hAnsi="Times New Roman"/>
          <w:i/>
          <w:iCs/>
          <w:sz w:val="20"/>
          <w:szCs w:val="20"/>
        </w:rPr>
        <w:t xml:space="preserve">n</w:t>
      </w:r>
      <w:r>
        <w:rPr>
          <w:rFonts w:ascii="Times New Roman" w:cs="Times New Roman" w:eastAsia="Times New Roman" w:hAnsi="Times New Roman"/>
          <w:sz w:val="20"/>
          <w:szCs w:val="20"/>
          <w:vertAlign w:val="subscript"/>
        </w:rPr>
        <w:t xml:space="preserve">i</w:t>
      </w:r>
      <w:r>
        <w:rPr>
          <w:rFonts w:ascii="Times New Roman" w:cs="Times New Roman" w:eastAsia="Times New Roman" w:hAnsi="Times New Roman"/>
          <w:sz w:val="20"/>
          <w:szCs w:val="20"/>
        </w:rPr>
        <w:t xml:space="preserve"> the number of windows of class </w:t>
      </w:r>
      <w:r>
        <w:rPr>
          <w:rFonts w:ascii="Times New Roman" w:cs="Times New Roman" w:eastAsia="Times New Roman" w:hAnsi="Times New Roman"/>
          <w:i/>
          <w:iCs/>
          <w:sz w:val="20"/>
          <w:szCs w:val="20"/>
        </w:rPr>
        <w:t xml:space="preserve">i</w:t>
      </w:r>
      <w:r>
        <w:rPr>
          <w:rFonts w:ascii="Times New Roman" w:cs="Times New Roman" w:eastAsia="Times New Roman" w:hAnsi="Times New Roman"/>
          <w:sz w:val="20"/>
          <w:szCs w:val="20"/>
        </w:rPr>
        <w:t xml:space="preserve"> and </w:t>
      </w:r>
      <w:r>
        <w:rPr>
          <w:rFonts w:ascii="Times New Roman" w:cs="Times New Roman" w:eastAsia="Times New Roman" w:hAnsi="Times New Roman"/>
          <w:i/>
          <w:iCs/>
          <w:sz w:val="20"/>
          <w:szCs w:val="20"/>
        </w:rPr>
        <w:t xml:space="preserve">N</w:t>
      </w:r>
      <w:r>
        <w:rPr>
          <w:rFonts w:ascii="Times New Roman" w:cs="Times New Roman" w:eastAsia="Times New Roman" w:hAnsi="Times New Roman"/>
          <w:sz w:val="20"/>
          <w:szCs w:val="20"/>
        </w:rPr>
        <w:t xml:space="preserve"> the total number of test windows. Accuracy, the metric logged for every run of all models, and per-class specificity are</w:t>
      </w:r>
    </w:p>
    <w:p>
      <w:pPr>
        <w:keepLines/>
        <w:tabs>
          <w:tab w:val="center" w:pos="4023"/>
          <w:tab w:val="right" w:pos="8046"/>
        </w:tabs>
        <w:spacing w:after="120" w:before="120"/>
        <w:ind w:left="1700"/>
      </w:pPr>
      <w:r>
        <w:rPr>
          <w:rFonts w:ascii="Times New Roman" w:cs="Times New Roman" w:eastAsia="Times New Roman" w:hAnsi="Times New Roman"/>
        </w:rPr>
        <w:t xml:space="preserve">	</w:t>
      </w:r>
      <w:r>
        <w:drawing>
          <wp:inline distT="0" distB="0" distL="0" distR="0">
            <wp:extent cx="3257550" cy="41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3257550" cy="419100"/>
                    </a:xfrm>
                    <a:prstGeom prst="rect">
                      <a:avLst/>
                    </a:prstGeom>
                  </pic:spPr>
                </pic:pic>
              </a:graphicData>
            </a:graphic>
          </wp:inline>
        </w:drawing>
      </w:r>
      <w:r>
        <w:rPr>
          <w:rFonts w:ascii="Times New Roman" w:cs="Times New Roman" w:eastAsia="Times New Roman" w:hAnsi="Times New Roman"/>
          <w:sz w:val="20"/>
          <w:szCs w:val="20"/>
        </w:rPr>
        <w:t xml:space="preserve">	(7)</w:t>
      </w:r>
    </w:p>
    <w:p>
      <w:pPr>
        <w:spacing w:after="0" w:line="252"/>
        <w:ind w:left="1700" w:firstLine="240"/>
        <w:jc w:val="both"/>
      </w:pPr>
      <w:r>
        <w:rPr>
          <w:rFonts w:ascii="Times New Roman" w:cs="Times New Roman" w:eastAsia="Times New Roman" w:hAnsi="Times New Roman"/>
          <w:sz w:val="20"/>
          <w:szCs w:val="20"/>
        </w:rPr>
        <w:t xml:space="preserve">Per-class recall (sensitivity) and precision are</w:t>
      </w:r>
    </w:p>
    <w:p>
      <w:pPr>
        <w:keepLines/>
        <w:tabs>
          <w:tab w:val="center" w:pos="4023"/>
          <w:tab w:val="right" w:pos="8046"/>
        </w:tabs>
        <w:spacing w:after="120" w:before="120"/>
        <w:ind w:left="1700"/>
      </w:pPr>
      <w:r>
        <w:rPr>
          <w:rFonts w:ascii="Times New Roman" w:cs="Times New Roman" w:eastAsia="Times New Roman" w:hAnsi="Times New Roman"/>
        </w:rPr>
        <w:t xml:space="preserve">	</w:t>
      </w:r>
      <w:r>
        <w:drawing>
          <wp:inline distT="0" distB="0" distL="0" distR="0">
            <wp:extent cx="3086100" cy="409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3086100" cy="409575"/>
                    </a:xfrm>
                    <a:prstGeom prst="rect">
                      <a:avLst/>
                    </a:prstGeom>
                  </pic:spPr>
                </pic:pic>
              </a:graphicData>
            </a:graphic>
          </wp:inline>
        </w:drawing>
      </w:r>
      <w:r>
        <w:rPr>
          <w:rFonts w:ascii="Times New Roman" w:cs="Times New Roman" w:eastAsia="Times New Roman" w:hAnsi="Times New Roman"/>
          <w:sz w:val="20"/>
          <w:szCs w:val="20"/>
        </w:rPr>
        <w:t xml:space="preserve">	(8)</w:t>
      </w:r>
    </w:p>
    <w:p>
      <w:pPr>
        <w:spacing w:after="0" w:line="252"/>
        <w:ind w:left="1700" w:firstLine="240"/>
        <w:jc w:val="both"/>
      </w:pPr>
      <w:r>
        <w:rPr>
          <w:rFonts w:ascii="Times New Roman" w:cs="Times New Roman" w:eastAsia="Times New Roman" w:hAnsi="Times New Roman"/>
          <w:sz w:val="20"/>
          <w:szCs w:val="20"/>
        </w:rPr>
        <w:t xml:space="preserve">Balanced accuracy (BA) is the mean per-class recall</w:t>
      </w:r>
      <w:r>
        <w:rPr>
          <w:rFonts w:ascii="Times New Roman" w:cs="Times New Roman" w:eastAsia="Times New Roman" w:hAnsi="Times New Roman"/>
          <w:color w:val="1F4E9A"/>
          <w:sz w:val="20"/>
          <w:szCs w:val="20"/>
          <w:vertAlign w:val="superscript"/>
        </w:rPr>
        <w:t xml:space="preserve">58</w:t>
      </w:r>
      <w:r>
        <w:rPr>
          <w:rFonts w:ascii="Times New Roman" w:cs="Times New Roman" w:eastAsia="Times New Roman" w:hAnsi="Times New Roman"/>
          <w:sz w:val="20"/>
          <w:szCs w:val="20"/>
        </w:rPr>
        <w:t xml:space="preserve"> and removes the influence of class frequency:</w:t>
      </w:r>
    </w:p>
    <w:p>
      <w:pPr>
        <w:keepLines/>
        <w:tabs>
          <w:tab w:val="center" w:pos="4023"/>
          <w:tab w:val="right" w:pos="8046"/>
        </w:tabs>
        <w:spacing w:after="120" w:before="120"/>
        <w:ind w:left="1700"/>
      </w:pPr>
      <w:r>
        <w:rPr>
          <w:rFonts w:ascii="Times New Roman" w:cs="Times New Roman" w:eastAsia="Times New Roman" w:hAnsi="Times New Roman"/>
        </w:rPr>
        <w:t xml:space="preserve">	</w:t>
      </w:r>
      <w:r>
        <w:drawing>
          <wp:inline distT="0" distB="0" distL="0" distR="0">
            <wp:extent cx="1190625" cy="41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1190625" cy="419100"/>
                    </a:xfrm>
                    <a:prstGeom prst="rect">
                      <a:avLst/>
                    </a:prstGeom>
                  </pic:spPr>
                </pic:pic>
              </a:graphicData>
            </a:graphic>
          </wp:inline>
        </w:drawing>
      </w:r>
      <w:r>
        <w:rPr>
          <w:rFonts w:ascii="Times New Roman" w:cs="Times New Roman" w:eastAsia="Times New Roman" w:hAnsi="Times New Roman"/>
          <w:sz w:val="20"/>
          <w:szCs w:val="20"/>
        </w:rPr>
        <w:t xml:space="preserve">	(9)</w:t>
      </w:r>
    </w:p>
    <w:p>
      <w:pPr>
        <w:spacing w:after="0" w:line="252"/>
        <w:ind w:left="1700" w:firstLine="240"/>
        <w:jc w:val="both"/>
      </w:pPr>
      <w:r>
        <w:rPr>
          <w:rFonts w:ascii="Times New Roman" w:cs="Times New Roman" w:eastAsia="Times New Roman" w:hAnsi="Times New Roman"/>
          <w:sz w:val="20"/>
          <w:szCs w:val="20"/>
        </w:rPr>
        <w:t xml:space="preserve">The per-class F1 score is the harmonic mean of precision and recall; macro F1 averages it with equal class weights and weighted F1 with weights proportional to class support:</w:t>
      </w:r>
    </w:p>
    <w:p>
      <w:pPr>
        <w:keepLines/>
        <w:tabs>
          <w:tab w:val="center" w:pos="4023"/>
          <w:tab w:val="right" w:pos="8046"/>
        </w:tabs>
        <w:spacing w:after="120" w:before="120"/>
        <w:ind w:left="1700"/>
      </w:pPr>
      <w:r>
        <w:rPr>
          <w:rFonts w:ascii="Times New Roman" w:cs="Times New Roman" w:eastAsia="Times New Roman" w:hAnsi="Times New Roman"/>
        </w:rPr>
        <w:t xml:space="preserve">	</w:t>
      </w:r>
      <w:r>
        <w:drawing>
          <wp:inline distT="0" distB="0" distL="0" distR="0">
            <wp:extent cx="1857375" cy="41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1857375" cy="419100"/>
                    </a:xfrm>
                    <a:prstGeom prst="rect">
                      <a:avLst/>
                    </a:prstGeom>
                  </pic:spPr>
                </pic:pic>
              </a:graphicData>
            </a:graphic>
          </wp:inline>
        </w:drawing>
      </w:r>
      <w:r>
        <w:rPr>
          <w:rFonts w:ascii="Times New Roman" w:cs="Times New Roman" w:eastAsia="Times New Roman" w:hAnsi="Times New Roman"/>
          <w:sz w:val="20"/>
          <w:szCs w:val="20"/>
        </w:rPr>
        <w:t xml:space="preserve">	(10)</w:t>
      </w:r>
    </w:p>
    <w:p>
      <w:pPr>
        <w:keepLines/>
        <w:tabs>
          <w:tab w:val="center" w:pos="4023"/>
          <w:tab w:val="right" w:pos="8046"/>
        </w:tabs>
        <w:spacing w:after="120" w:before="120"/>
        <w:ind w:left="1700"/>
      </w:pPr>
      <w:r>
        <w:rPr>
          <w:rFonts w:ascii="Times New Roman" w:cs="Times New Roman" w:eastAsia="Times New Roman" w:hAnsi="Times New Roman"/>
        </w:rPr>
        <w:t xml:space="preserve">	</w:t>
      </w:r>
      <w:r>
        <w:drawing>
          <wp:inline distT="0" distB="0" distL="0" distR="0">
            <wp:extent cx="1209675" cy="41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1209675" cy="419100"/>
                    </a:xfrm>
                    <a:prstGeom prst="rect">
                      <a:avLst/>
                    </a:prstGeom>
                  </pic:spPr>
                </pic:pic>
              </a:graphicData>
            </a:graphic>
          </wp:inline>
        </w:drawing>
      </w:r>
      <w:r>
        <w:rPr>
          <w:rFonts w:ascii="Times New Roman" w:cs="Times New Roman" w:eastAsia="Times New Roman" w:hAnsi="Times New Roman"/>
          <w:sz w:val="20"/>
          <w:szCs w:val="20"/>
        </w:rPr>
        <w:t xml:space="preserve">	(11)</w:t>
      </w:r>
    </w:p>
    <w:p>
      <w:pPr>
        <w:keepLines/>
        <w:tabs>
          <w:tab w:val="center" w:pos="4023"/>
          <w:tab w:val="right" w:pos="8046"/>
        </w:tabs>
        <w:spacing w:after="120" w:before="120"/>
        <w:ind w:left="1700"/>
      </w:pPr>
      <w:r>
        <w:rPr>
          <w:rFonts w:ascii="Times New Roman" w:cs="Times New Roman" w:eastAsia="Times New Roman" w:hAnsi="Times New Roman"/>
        </w:rPr>
        <w:t xml:space="preserve">	</w:t>
      </w:r>
      <w:r>
        <w:drawing>
          <wp:inline distT="0" distB="0" distL="0" distR="0">
            <wp:extent cx="1371600" cy="41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1371600" cy="419100"/>
                    </a:xfrm>
                    <a:prstGeom prst="rect">
                      <a:avLst/>
                    </a:prstGeom>
                  </pic:spPr>
                </pic:pic>
              </a:graphicData>
            </a:graphic>
          </wp:inline>
        </w:drawing>
      </w:r>
      <w:r>
        <w:rPr>
          <w:rFonts w:ascii="Times New Roman" w:cs="Times New Roman" w:eastAsia="Times New Roman" w:hAnsi="Times New Roman"/>
          <w:sz w:val="20"/>
          <w:szCs w:val="20"/>
        </w:rPr>
        <w:t xml:space="preserve">	(12)</w:t>
      </w:r>
    </w:p>
    <w:p>
      <w:pPr>
        <w:spacing w:after="0" w:line="252"/>
        <w:ind w:left="1700" w:firstLine="240"/>
        <w:jc w:val="both"/>
      </w:pPr>
      <w:r>
        <w:rPr>
          <w:rFonts w:ascii="Times New Roman" w:cs="Times New Roman" w:eastAsia="Times New Roman" w:hAnsi="Times New Roman"/>
          <w:sz w:val="20"/>
          <w:szCs w:val="20"/>
        </w:rPr>
        <w:t xml:space="preserve">Cohen’s kappa</w:t>
      </w:r>
      <w:r>
        <w:rPr>
          <w:rFonts w:ascii="Times New Roman" w:cs="Times New Roman" w:eastAsia="Times New Roman" w:hAnsi="Times New Roman"/>
          <w:color w:val="1F4E9A"/>
          <w:sz w:val="20"/>
          <w:szCs w:val="20"/>
          <w:vertAlign w:val="superscript"/>
        </w:rPr>
        <w:t xml:space="preserve">59</w:t>
      </w:r>
      <w:r>
        <w:rPr>
          <w:rFonts w:ascii="Times New Roman" w:cs="Times New Roman" w:eastAsia="Times New Roman" w:hAnsi="Times New Roman"/>
          <w:sz w:val="20"/>
          <w:szCs w:val="20"/>
        </w:rPr>
        <w:t xml:space="preserve"> corrects accuracy for the agreement expected by chance, where </w:t>
      </w:r>
      <w:r>
        <w:rPr>
          <w:rFonts w:ascii="Times New Roman" w:cs="Times New Roman" w:eastAsia="Times New Roman" w:hAnsi="Times New Roman"/>
          <w:i/>
          <w:iCs/>
          <w:sz w:val="20"/>
          <w:szCs w:val="20"/>
        </w:rPr>
        <w:t xml:space="preserve">p</w:t>
      </w:r>
      <w:r>
        <w:rPr>
          <w:rFonts w:ascii="Times New Roman" w:cs="Times New Roman" w:eastAsia="Times New Roman" w:hAnsi="Times New Roman"/>
          <w:sz w:val="20"/>
          <w:szCs w:val="20"/>
          <w:vertAlign w:val="subscript"/>
        </w:rPr>
        <w:t xml:space="preserve">o</w:t>
      </w:r>
      <w:r>
        <w:rPr>
          <w:rFonts w:ascii="Times New Roman" w:cs="Times New Roman" w:eastAsia="Times New Roman" w:hAnsi="Times New Roman"/>
          <w:sz w:val="20"/>
          <w:szCs w:val="20"/>
        </w:rPr>
        <w:t xml:space="preserve"> is the observed accuracy and </w:t>
      </w:r>
      <w:r>
        <w:rPr>
          <w:rFonts w:ascii="Times New Roman" w:cs="Times New Roman" w:eastAsia="Times New Roman" w:hAnsi="Times New Roman"/>
          <w:i/>
          <w:iCs/>
          <w:sz w:val="20"/>
          <w:szCs w:val="20"/>
        </w:rPr>
        <w:t xml:space="preserve">n</w:t>
      </w:r>
      <w:r>
        <w:rPr>
          <w:rFonts w:ascii="Times New Roman" w:cs="Times New Roman" w:eastAsia="Times New Roman" w:hAnsi="Times New Roman"/>
          <w:sz w:val="20"/>
          <w:szCs w:val="20"/>
          <w:vertAlign w:val="subscript"/>
        </w:rPr>
        <w:t xml:space="preserve">i·</w:t>
      </w:r>
      <w:r>
        <w:rPr>
          <w:rFonts w:ascii="Times New Roman" w:cs="Times New Roman" w:eastAsia="Times New Roman" w:hAnsi="Times New Roman"/>
          <w:sz w:val="20"/>
          <w:szCs w:val="20"/>
        </w:rPr>
        <w:t xml:space="preserve"> and </w:t>
      </w:r>
      <w:r>
        <w:rPr>
          <w:rFonts w:ascii="Times New Roman" w:cs="Times New Roman" w:eastAsia="Times New Roman" w:hAnsi="Times New Roman"/>
          <w:i/>
          <w:iCs/>
          <w:sz w:val="20"/>
          <w:szCs w:val="20"/>
        </w:rPr>
        <w:t xml:space="preserve">n</w:t>
      </w:r>
      <w:r>
        <w:rPr>
          <w:rFonts w:ascii="Times New Roman" w:cs="Times New Roman" w:eastAsia="Times New Roman" w:hAnsi="Times New Roman"/>
          <w:sz w:val="20"/>
          <w:szCs w:val="20"/>
          <w:vertAlign w:val="subscript"/>
        </w:rPr>
        <w:t xml:space="preserve">·i</w:t>
      </w:r>
      <w:r>
        <w:rPr>
          <w:rFonts w:ascii="Times New Roman" w:cs="Times New Roman" w:eastAsia="Times New Roman" w:hAnsi="Times New Roman"/>
          <w:sz w:val="20"/>
          <w:szCs w:val="20"/>
        </w:rPr>
        <w:t xml:space="preserve"> are the row and column totals of the confusion matrix:</w:t>
      </w:r>
    </w:p>
    <w:p>
      <w:pPr>
        <w:keepLines/>
        <w:tabs>
          <w:tab w:val="center" w:pos="4023"/>
          <w:tab w:val="right" w:pos="8046"/>
        </w:tabs>
        <w:spacing w:after="120" w:before="120"/>
        <w:ind w:left="1700"/>
      </w:pPr>
      <w:r>
        <w:rPr>
          <w:rFonts w:ascii="Times New Roman" w:cs="Times New Roman" w:eastAsia="Times New Roman" w:hAnsi="Times New Roman"/>
        </w:rPr>
        <w:t xml:space="preserve">	</w:t>
      </w:r>
      <w:r>
        <w:drawing>
          <wp:inline distT="0" distB="0" distL="0" distR="0">
            <wp:extent cx="2190750" cy="428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190750" cy="428625"/>
                    </a:xfrm>
                    <a:prstGeom prst="rect">
                      <a:avLst/>
                    </a:prstGeom>
                  </pic:spPr>
                </pic:pic>
              </a:graphicData>
            </a:graphic>
          </wp:inline>
        </w:drawing>
      </w:r>
      <w:r>
        <w:rPr>
          <w:rFonts w:ascii="Times New Roman" w:cs="Times New Roman" w:eastAsia="Times New Roman" w:hAnsi="Times New Roman"/>
          <w:sz w:val="20"/>
          <w:szCs w:val="20"/>
        </w:rPr>
        <w:t xml:space="preserve">	(13)</w:t>
      </w:r>
    </w:p>
    <w:p>
      <w:pPr>
        <w:spacing w:after="0" w:line="252"/>
        <w:ind w:left="1700" w:firstLine="240"/>
        <w:jc w:val="both"/>
      </w:pPr>
      <w:r>
        <w:rPr>
          <w:rFonts w:ascii="Times New Roman" w:cs="Times New Roman" w:eastAsia="Times New Roman" w:hAnsi="Times New Roman"/>
          <w:sz w:val="20"/>
          <w:szCs w:val="20"/>
        </w:rPr>
        <w:t xml:space="preserve">The multi-class Matthews correlation coefficient</w:t>
      </w:r>
      <w:r>
        <w:rPr>
          <w:rFonts w:ascii="Times New Roman" w:cs="Times New Roman" w:eastAsia="Times New Roman" w:hAnsi="Times New Roman"/>
          <w:color w:val="1F4E9A"/>
          <w:sz w:val="20"/>
          <w:szCs w:val="20"/>
          <w:vertAlign w:val="superscript"/>
        </w:rPr>
        <w:t xml:space="preserve">60,61</w:t>
      </w:r>
      <w:r>
        <w:rPr>
          <w:rFonts w:ascii="Times New Roman" w:cs="Times New Roman" w:eastAsia="Times New Roman" w:hAnsi="Times New Roman"/>
          <w:sz w:val="20"/>
          <w:szCs w:val="20"/>
        </w:rPr>
        <w:t xml:space="preserve"> uses every cell of the confusion matrix, with </w:t>
      </w:r>
      <w:r>
        <w:rPr>
          <w:rFonts w:ascii="Times New Roman" w:cs="Times New Roman" w:eastAsia="Times New Roman" w:hAnsi="Times New Roman"/>
          <w:i/>
          <w:iCs/>
          <w:sz w:val="20"/>
          <w:szCs w:val="20"/>
        </w:rPr>
        <w:t xml:space="preserve">c</w:t>
      </w:r>
      <w:r>
        <w:rPr>
          <w:rFonts w:ascii="Times New Roman" w:cs="Times New Roman" w:eastAsia="Times New Roman" w:hAnsi="Times New Roman"/>
          <w:sz w:val="20"/>
          <w:szCs w:val="20"/>
        </w:rPr>
        <w:t xml:space="preserve"> correctly classified windows and </w:t>
      </w:r>
      <w:r>
        <w:rPr>
          <w:rFonts w:ascii="Times New Roman" w:cs="Times New Roman" w:eastAsia="Times New Roman" w:hAnsi="Times New Roman"/>
          <w:i/>
          <w:iCs/>
          <w:sz w:val="20"/>
          <w:szCs w:val="20"/>
        </w:rPr>
        <w:t xml:space="preserve">t</w:t>
      </w:r>
      <w:r>
        <w:rPr>
          <w:rFonts w:ascii="Times New Roman" w:cs="Times New Roman" w:eastAsia="Times New Roman" w:hAnsi="Times New Roman"/>
          <w:sz w:val="20"/>
          <w:szCs w:val="20"/>
          <w:vertAlign w:val="subscript"/>
        </w:rPr>
        <w:t xml:space="preserve">i</w:t>
      </w:r>
      <w:r>
        <w:rPr>
          <w:rFonts w:ascii="Times New Roman" w:cs="Times New Roman" w:eastAsia="Times New Roman" w:hAnsi="Times New Roman"/>
          <w:sz w:val="20"/>
          <w:szCs w:val="20"/>
        </w:rPr>
        <w:t xml:space="preserve"> and </w:t>
      </w:r>
      <w:r>
        <w:rPr>
          <w:rFonts w:ascii="Times New Roman" w:cs="Times New Roman" w:eastAsia="Times New Roman" w:hAnsi="Times New Roman"/>
          <w:i/>
          <w:iCs/>
          <w:sz w:val="20"/>
          <w:szCs w:val="20"/>
        </w:rPr>
        <w:t xml:space="preserve">p</w:t>
      </w:r>
      <w:r>
        <w:rPr>
          <w:rFonts w:ascii="Times New Roman" w:cs="Times New Roman" w:eastAsia="Times New Roman" w:hAnsi="Times New Roman"/>
          <w:sz w:val="20"/>
          <w:szCs w:val="20"/>
          <w:vertAlign w:val="subscript"/>
        </w:rPr>
        <w:t xml:space="preserve">i</w:t>
      </w:r>
      <w:r>
        <w:rPr>
          <w:rFonts w:ascii="Times New Roman" w:cs="Times New Roman" w:eastAsia="Times New Roman" w:hAnsi="Times New Roman"/>
          <w:sz w:val="20"/>
          <w:szCs w:val="20"/>
        </w:rPr>
        <w:t xml:space="preserve"> the true and predicted totals of class </w:t>
      </w:r>
      <w:r>
        <w:rPr>
          <w:rFonts w:ascii="Times New Roman" w:cs="Times New Roman" w:eastAsia="Times New Roman" w:hAnsi="Times New Roman"/>
          <w:i/>
          <w:iCs/>
          <w:sz w:val="20"/>
          <w:szCs w:val="20"/>
        </w:rPr>
        <w:t xml:space="preserve">i</w:t>
      </w:r>
      <w:r>
        <w:rPr>
          <w:rFonts w:ascii="Times New Roman" w:cs="Times New Roman" w:eastAsia="Times New Roman" w:hAnsi="Times New Roman"/>
          <w:sz w:val="20"/>
          <w:szCs w:val="20"/>
        </w:rPr>
        <w:t xml:space="preserve">; it ranges from −1 to 1, with 0 at chance:</w:t>
      </w:r>
    </w:p>
    <w:p>
      <w:pPr>
        <w:keepLines/>
        <w:tabs>
          <w:tab w:val="center" w:pos="4023"/>
          <w:tab w:val="right" w:pos="8046"/>
        </w:tabs>
        <w:spacing w:after="120" w:before="120"/>
        <w:ind w:left="1700"/>
      </w:pPr>
      <w:r>
        <w:rPr>
          <w:rFonts w:ascii="Times New Roman" w:cs="Times New Roman" w:eastAsia="Times New Roman" w:hAnsi="Times New Roman"/>
        </w:rPr>
        <w:t xml:space="preserve">	</w:t>
      </w:r>
      <w:r>
        <w:drawing>
          <wp:inline distT="0" distB="0" distL="0" distR="0">
            <wp:extent cx="2343150" cy="714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343150" cy="714375"/>
                    </a:xfrm>
                    <a:prstGeom prst="rect">
                      <a:avLst/>
                    </a:prstGeom>
                  </pic:spPr>
                </pic:pic>
              </a:graphicData>
            </a:graphic>
          </wp:inline>
        </w:drawing>
      </w:r>
      <w:r>
        <w:rPr>
          <w:rFonts w:ascii="Times New Roman" w:cs="Times New Roman" w:eastAsia="Times New Roman" w:hAnsi="Times New Roman"/>
          <w:sz w:val="20"/>
          <w:szCs w:val="20"/>
        </w:rPr>
        <w:t xml:space="preserve">	(14)</w:t>
      </w:r>
    </w:p>
    <w:p>
      <w:pPr>
        <w:spacing w:after="0" w:line="252"/>
        <w:ind w:left="1700" w:firstLine="240"/>
        <w:jc w:val="both"/>
      </w:pPr>
      <w:r>
        <w:rPr>
          <w:rFonts w:ascii="Times New Roman" w:cs="Times New Roman" w:eastAsia="Times New Roman" w:hAnsi="Times New Roman"/>
          <w:sz w:val="20"/>
          <w:szCs w:val="20"/>
        </w:rPr>
        <w:t xml:space="preserve">The geometric mean of the recalls</w:t>
      </w:r>
      <w:r>
        <w:rPr>
          <w:rFonts w:ascii="Times New Roman" w:cs="Times New Roman" w:eastAsia="Times New Roman" w:hAnsi="Times New Roman"/>
          <w:color w:val="1F4E9A"/>
          <w:sz w:val="20"/>
          <w:szCs w:val="20"/>
          <w:vertAlign w:val="superscript"/>
        </w:rPr>
        <w:t xml:space="preserve">62</w:t>
      </w:r>
      <w:r>
        <w:rPr>
          <w:rFonts w:ascii="Times New Roman" w:cs="Times New Roman" w:eastAsia="Times New Roman" w:hAnsi="Times New Roman"/>
          <w:sz w:val="20"/>
          <w:szCs w:val="20"/>
        </w:rPr>
        <w:t xml:space="preserve"> penalises a model that neglects any class:</w:t>
      </w:r>
    </w:p>
    <w:p>
      <w:pPr>
        <w:keepLines/>
        <w:tabs>
          <w:tab w:val="center" w:pos="4023"/>
          <w:tab w:val="right" w:pos="8046"/>
        </w:tabs>
        <w:spacing w:after="120" w:before="120"/>
        <w:ind w:left="1700"/>
      </w:pPr>
      <w:r>
        <w:rPr>
          <w:rFonts w:ascii="Times New Roman" w:cs="Times New Roman" w:eastAsia="Times New Roman" w:hAnsi="Times New Roman"/>
        </w:rPr>
        <w:t xml:space="preserve">	</w:t>
      </w:r>
      <w:r>
        <w:drawing>
          <wp:inline distT="0" distB="0" distL="0" distR="0">
            <wp:extent cx="1362075" cy="447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1362075" cy="447675"/>
                    </a:xfrm>
                    <a:prstGeom prst="rect">
                      <a:avLst/>
                    </a:prstGeom>
                  </pic:spPr>
                </pic:pic>
              </a:graphicData>
            </a:graphic>
          </wp:inline>
        </w:drawing>
      </w:r>
      <w:r>
        <w:rPr>
          <w:rFonts w:ascii="Times New Roman" w:cs="Times New Roman" w:eastAsia="Times New Roman" w:hAnsi="Times New Roman"/>
          <w:sz w:val="20"/>
          <w:szCs w:val="20"/>
        </w:rPr>
        <w:t xml:space="preserve">	(15)</w:t>
      </w:r>
    </w:p>
    <w:p>
      <w:pPr>
        <w:spacing w:after="0" w:line="252"/>
        <w:ind w:left="1700" w:firstLine="240"/>
        <w:jc w:val="both"/>
      </w:pPr>
      <w:r>
        <w:rPr>
          <w:rFonts w:ascii="Times New Roman" w:cs="Times New Roman" w:eastAsia="Times New Roman" w:hAnsi="Times New Roman"/>
          <w:sz w:val="20"/>
          <w:szCs w:val="20"/>
        </w:rPr>
        <w:t xml:space="preserve">To express performance in brain–computer-interface terms, the information transfer rate</w:t>
      </w:r>
      <w:r>
        <w:rPr>
          <w:rFonts w:ascii="Times New Roman" w:cs="Times New Roman" w:eastAsia="Times New Roman" w:hAnsi="Times New Roman"/>
          <w:color w:val="1F4E9A"/>
          <w:sz w:val="20"/>
          <w:szCs w:val="20"/>
          <w:vertAlign w:val="superscript"/>
        </w:rPr>
        <w:t xml:space="preserve">63</w:t>
      </w:r>
      <w:r>
        <w:rPr>
          <w:rFonts w:ascii="Times New Roman" w:cs="Times New Roman" w:eastAsia="Times New Roman" w:hAnsi="Times New Roman"/>
          <w:sz w:val="20"/>
          <w:szCs w:val="20"/>
        </w:rPr>
        <w:t xml:space="preserve"> is computed from accuracy </w:t>
      </w:r>
      <w:r>
        <w:rPr>
          <w:rFonts w:ascii="Times New Roman" w:cs="Times New Roman" w:eastAsia="Times New Roman" w:hAnsi="Times New Roman"/>
          <w:i/>
          <w:iCs/>
          <w:sz w:val="20"/>
          <w:szCs w:val="20"/>
        </w:rPr>
        <w:t xml:space="preserve">P</w:t>
      </w:r>
      <w:r>
        <w:rPr>
          <w:rFonts w:ascii="Times New Roman" w:cs="Times New Roman" w:eastAsia="Times New Roman" w:hAnsi="Times New Roman"/>
          <w:sz w:val="20"/>
          <w:szCs w:val="20"/>
        </w:rPr>
        <w:t xml:space="preserve"> with window length </w:t>
      </w:r>
      <w:r>
        <w:rPr>
          <w:rFonts w:ascii="Times New Roman" w:cs="Times New Roman" w:eastAsia="Times New Roman" w:hAnsi="Times New Roman"/>
          <w:i/>
          <w:iCs/>
          <w:sz w:val="20"/>
          <w:szCs w:val="20"/>
        </w:rPr>
        <w:t xml:space="preserve">T</w:t>
      </w:r>
      <w:r>
        <w:rPr>
          <w:rFonts w:ascii="Times New Roman" w:cs="Times New Roman" w:eastAsia="Times New Roman" w:hAnsi="Times New Roman"/>
          <w:sz w:val="20"/>
          <w:szCs w:val="20"/>
        </w:rPr>
        <w:t xml:space="preserve"> = 4 s, giving bits per window (</w:t>
      </w:r>
      <w:r>
        <w:rPr>
          <w:rFonts w:ascii="Times New Roman" w:cs="Times New Roman" w:eastAsia="Times New Roman" w:hAnsi="Times New Roman"/>
          <w:i/>
          <w:iCs/>
          <w:sz w:val="20"/>
          <w:szCs w:val="20"/>
        </w:rPr>
        <w:t xml:space="preserve">B</w:t>
      </w:r>
      <w:r>
        <w:rPr>
          <w:rFonts w:ascii="Times New Roman" w:cs="Times New Roman" w:eastAsia="Times New Roman" w:hAnsi="Times New Roman"/>
          <w:sz w:val="20"/>
          <w:szCs w:val="20"/>
        </w:rPr>
        <w:t xml:space="preserve">) and bits per minute:</w:t>
      </w:r>
    </w:p>
    <w:p>
      <w:pPr>
        <w:keepLines/>
        <w:tabs>
          <w:tab w:val="center" w:pos="4023"/>
          <w:tab w:val="right" w:pos="8046"/>
        </w:tabs>
        <w:spacing w:after="120" w:before="120"/>
        <w:ind w:left="1700"/>
      </w:pPr>
      <w:r>
        <w:rPr>
          <w:rFonts w:ascii="Times New Roman" w:cs="Times New Roman" w:eastAsia="Times New Roman" w:hAnsi="Times New Roman"/>
        </w:rPr>
        <w:t xml:space="preserve">	</w:t>
      </w:r>
      <w:r>
        <w:drawing>
          <wp:inline distT="0" distB="0" distL="0" distR="0">
            <wp:extent cx="3790950" cy="390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3790950" cy="390525"/>
                    </a:xfrm>
                    <a:prstGeom prst="rect">
                      <a:avLst/>
                    </a:prstGeom>
                  </pic:spPr>
                </pic:pic>
              </a:graphicData>
            </a:graphic>
          </wp:inline>
        </w:drawing>
      </w:r>
      <w:r>
        <w:rPr>
          <w:rFonts w:ascii="Times New Roman" w:cs="Times New Roman" w:eastAsia="Times New Roman" w:hAnsi="Times New Roman"/>
          <w:sz w:val="20"/>
          <w:szCs w:val="20"/>
        </w:rPr>
        <w:t xml:space="preserve">	(16)</w:t>
      </w:r>
    </w:p>
    <w:p>
      <w:pPr>
        <w:spacing w:after="0" w:line="252"/>
        <w:ind w:left="1700" w:firstLine="240"/>
        <w:jc w:val="both"/>
      </w:pPr>
      <w:r>
        <w:rPr>
          <w:rFonts w:ascii="Times New Roman" w:cs="Times New Roman" w:eastAsia="Times New Roman" w:hAnsi="Times New Roman"/>
          <w:sz w:val="20"/>
          <w:szCs w:val="20"/>
        </w:rPr>
        <w:t xml:space="preserve">Electrode-reduction retention is the ratio of six-electrode to 62-electrode accuracy for the same model:</w:t>
      </w:r>
    </w:p>
    <w:p>
      <w:pPr>
        <w:keepLines/>
        <w:tabs>
          <w:tab w:val="center" w:pos="4023"/>
          <w:tab w:val="right" w:pos="8046"/>
        </w:tabs>
        <w:spacing w:after="120" w:before="120"/>
        <w:ind w:left="1700"/>
      </w:pPr>
      <w:r>
        <w:rPr>
          <w:rFonts w:ascii="Times New Roman" w:cs="Times New Roman" w:eastAsia="Times New Roman" w:hAnsi="Times New Roman"/>
        </w:rPr>
        <w:t xml:space="preserve">	</w:t>
      </w:r>
      <w:r>
        <w:drawing>
          <wp:inline distT="0" distB="0" distL="0" distR="0">
            <wp:extent cx="1209675" cy="41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1209675" cy="419100"/>
                    </a:xfrm>
                    <a:prstGeom prst="rect">
                      <a:avLst/>
                    </a:prstGeom>
                  </pic:spPr>
                </pic:pic>
              </a:graphicData>
            </a:graphic>
          </wp:inline>
        </w:drawing>
      </w:r>
      <w:r>
        <w:rPr>
          <w:rFonts w:ascii="Times New Roman" w:cs="Times New Roman" w:eastAsia="Times New Roman" w:hAnsi="Times New Roman"/>
          <w:sz w:val="20"/>
          <w:szCs w:val="20"/>
        </w:rPr>
        <w:t xml:space="preserve">	(17)</w:t>
      </w:r>
    </w:p>
    <w:p>
      <w:pPr>
        <w:spacing w:after="0" w:line="252"/>
        <w:ind w:left="1700" w:firstLine="240"/>
        <w:jc w:val="both"/>
      </w:pPr>
      <w:r>
        <w:rPr>
          <w:rFonts w:ascii="Times New Roman" w:cs="Times New Roman" w:eastAsia="Times New Roman" w:hAnsi="Times New Roman"/>
          <w:sz w:val="20"/>
          <w:szCs w:val="20"/>
        </w:rPr>
        <w:t xml:space="preserve">The run logs stored accuracy and macro F1 for every deep model, and full confusion matrices for CLISA-EWU and DANN. The complete metric set is therefore reported for these two models, and model-wide comparisons use accuracy and macro F1. Because the four classes are nearly balanced (21–27% of windows), accuracy and balanced accuracy differed by 0.0–0.4 percentage points on average and by at most 2.4 points in any single run. Confusion matrices are row-normalised so that each row shows the recall of one true class.</w:t>
      </w:r>
    </w:p>
    <w:p>
      <w:pPr>
        <w:pStyle w:val="Heading2"/>
        <w:keepNext/>
        <w:spacing w:after="40" w:before="220"/>
        <w:ind w:left="1700"/>
      </w:pPr>
      <w:r>
        <w:rPr>
          <w:rFonts w:ascii="Arial" w:cs="Arial" w:eastAsia="Arial" w:hAnsi="Arial"/>
          <w:b/>
          <w:bCs/>
          <w:color w:val="000000"/>
          <w:sz w:val="21"/>
          <w:szCs w:val="21"/>
        </w:rPr>
        <w:t xml:space="preserve">3.11 Statistical analysis</w:t>
      </w:r>
    </w:p>
    <w:p>
      <w:pPr>
        <w:spacing w:after="0" w:line="252"/>
        <w:ind w:left="1700" w:firstLine="0"/>
        <w:jc w:val="both"/>
      </w:pPr>
      <w:r>
        <w:rPr>
          <w:rFonts w:ascii="Times New Roman" w:cs="Times New Roman" w:eastAsia="Times New Roman" w:hAnsi="Times New Roman"/>
          <w:sz w:val="20"/>
          <w:szCs w:val="20"/>
        </w:rPr>
        <w:t xml:space="preserve">Runs from the same participant are not independent, so the three seeds were averaged for each participant, giving 15 paired observations per model, montage and protocol. Participant-level means are reported with 95% confidence intervals from 10,000 bootstrap resamples of participants.</w:t>
      </w:r>
    </w:p>
    <w:p>
      <w:pPr>
        <w:spacing w:after="0" w:line="252"/>
        <w:ind w:left="1700" w:firstLine="240"/>
        <w:jc w:val="both"/>
      </w:pPr>
      <w:r>
        <w:rPr>
          <w:rFonts w:ascii="Times New Roman" w:cs="Times New Roman" w:eastAsia="Times New Roman" w:hAnsi="Times New Roman"/>
          <w:sz w:val="20"/>
          <w:szCs w:val="20"/>
        </w:rPr>
        <w:t xml:space="preserve">Differences among all models within a montage and protocol were tested with the Friedman test</w:t>
      </w:r>
      <w:r>
        <w:rPr>
          <w:rFonts w:ascii="Times New Roman" w:cs="Times New Roman" w:eastAsia="Times New Roman" w:hAnsi="Times New Roman"/>
          <w:color w:val="1F4E9A"/>
          <w:sz w:val="20"/>
          <w:szCs w:val="20"/>
          <w:vertAlign w:val="superscript"/>
        </w:rPr>
        <w:t xml:space="preserve">64</w:t>
      </w:r>
      <w:r>
        <w:rPr>
          <w:rFonts w:ascii="Times New Roman" w:cs="Times New Roman" w:eastAsia="Times New Roman" w:hAnsi="Times New Roman"/>
          <w:sz w:val="20"/>
          <w:szCs w:val="20"/>
        </w:rPr>
        <w:t xml:space="preserve"> on participant-level accuracy, with Kendall’s </w:t>
      </w:r>
      <w:r>
        <w:rPr>
          <w:rFonts w:ascii="Times New Roman" w:cs="Times New Roman" w:eastAsia="Times New Roman" w:hAnsi="Times New Roman"/>
          <w:i/>
          <w:iCs/>
          <w:sz w:val="20"/>
          <w:szCs w:val="20"/>
        </w:rPr>
        <w:t xml:space="preserve">W</w:t>
      </w:r>
      <w:r>
        <w:rPr>
          <w:rFonts w:ascii="Times New Roman" w:cs="Times New Roman" w:eastAsia="Times New Roman" w:hAnsi="Times New Roman"/>
          <w:sz w:val="20"/>
          <w:szCs w:val="20"/>
        </w:rPr>
        <w:t xml:space="preserve"> as the effect size. Average ranks R̄</w:t>
      </w:r>
      <w:r>
        <w:rPr>
          <w:rFonts w:ascii="Times New Roman" w:cs="Times New Roman" w:eastAsia="Times New Roman" w:hAnsi="Times New Roman"/>
          <w:sz w:val="20"/>
          <w:szCs w:val="20"/>
          <w:vertAlign w:val="subscript"/>
        </w:rPr>
        <w:t xml:space="preserve">j</w:t>
      </w:r>
      <w:r>
        <w:rPr>
          <w:rFonts w:ascii="Times New Roman" w:cs="Times New Roman" w:eastAsia="Times New Roman" w:hAnsi="Times New Roman"/>
          <w:sz w:val="20"/>
          <w:szCs w:val="20"/>
        </w:rPr>
        <w:t xml:space="preserve"> of </w:t>
      </w:r>
      <w:r>
        <w:rPr>
          <w:rFonts w:ascii="Times New Roman" w:cs="Times New Roman" w:eastAsia="Times New Roman" w:hAnsi="Times New Roman"/>
          <w:i/>
          <w:iCs/>
          <w:sz w:val="20"/>
          <w:szCs w:val="20"/>
        </w:rPr>
        <w:t xml:space="preserve">k</w:t>
      </w:r>
      <w:r>
        <w:rPr>
          <w:rFonts w:ascii="Times New Roman" w:cs="Times New Roman" w:eastAsia="Times New Roman" w:hAnsi="Times New Roman"/>
          <w:sz w:val="20"/>
          <w:szCs w:val="20"/>
        </w:rPr>
        <w:t xml:space="preserve"> models over </w:t>
      </w:r>
      <w:r>
        <w:rPr>
          <w:rFonts w:ascii="Times New Roman" w:cs="Times New Roman" w:eastAsia="Times New Roman" w:hAnsi="Times New Roman"/>
          <w:i/>
          <w:iCs/>
          <w:sz w:val="20"/>
          <w:szCs w:val="20"/>
        </w:rPr>
        <w:t xml:space="preserve">n</w:t>
      </w:r>
      <w:r>
        <w:rPr>
          <w:rFonts w:ascii="Times New Roman" w:cs="Times New Roman" w:eastAsia="Times New Roman" w:hAnsi="Times New Roman"/>
          <w:sz w:val="20"/>
          <w:szCs w:val="20"/>
        </w:rPr>
        <w:t xml:space="preserve"> = 15 participants were compared with the Nemenyi critical difference</w:t>
      </w:r>
      <w:r>
        <w:rPr>
          <w:rFonts w:ascii="Times New Roman" w:cs="Times New Roman" w:eastAsia="Times New Roman" w:hAnsi="Times New Roman"/>
          <w:color w:val="1F4E9A"/>
          <w:sz w:val="20"/>
          <w:szCs w:val="20"/>
          <w:vertAlign w:val="superscript"/>
        </w:rPr>
        <w:t xml:space="preserve">55</w:t>
      </w:r>
      <w:r>
        <w:rPr>
          <w:rFonts w:ascii="Times New Roman" w:cs="Times New Roman" w:eastAsia="Times New Roman" w:hAnsi="Times New Roman"/>
          <w:sz w:val="20"/>
          <w:szCs w:val="20"/>
        </w:rPr>
        <w:t xml:space="preserve">, where </w:t>
      </w:r>
      <w:r>
        <w:rPr>
          <w:rFonts w:ascii="Times New Roman" w:cs="Times New Roman" w:eastAsia="Times New Roman" w:hAnsi="Times New Roman"/>
          <w:i/>
          <w:iCs/>
          <w:sz w:val="20"/>
          <w:szCs w:val="20"/>
        </w:rPr>
        <w:t xml:space="preserve">q</w:t>
      </w:r>
      <w:r>
        <w:rPr>
          <w:rFonts w:ascii="Times New Roman" w:cs="Times New Roman" w:eastAsia="Times New Roman" w:hAnsi="Times New Roman"/>
          <w:sz w:val="20"/>
          <w:szCs w:val="20"/>
          <w:vertAlign w:val="subscript"/>
        </w:rPr>
        <w:t xml:space="preserve">α</w:t>
      </w:r>
      <w:r>
        <w:rPr>
          <w:rFonts w:ascii="Times New Roman" w:cs="Times New Roman" w:eastAsia="Times New Roman" w:hAnsi="Times New Roman"/>
          <w:sz w:val="20"/>
          <w:szCs w:val="20"/>
        </w:rPr>
        <w:t xml:space="preserve"> is the studentised range statistic divided by √2 at α = 0.05:</w:t>
      </w:r>
    </w:p>
    <w:p>
      <w:pPr>
        <w:keepLines/>
        <w:tabs>
          <w:tab w:val="center" w:pos="4023"/>
          <w:tab w:val="right" w:pos="8046"/>
        </w:tabs>
        <w:spacing w:after="120" w:before="120"/>
        <w:ind w:left="1700"/>
      </w:pPr>
      <w:r>
        <w:rPr>
          <w:rFonts w:ascii="Times New Roman" w:cs="Times New Roman" w:eastAsia="Times New Roman" w:hAnsi="Times New Roman"/>
        </w:rPr>
        <w:t xml:space="preserve">	</w:t>
      </w:r>
      <w:r>
        <w:drawing>
          <wp:inline distT="0" distB="0" distL="0" distR="0">
            <wp:extent cx="3333750" cy="476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3333750" cy="476250"/>
                    </a:xfrm>
                    <a:prstGeom prst="rect">
                      <a:avLst/>
                    </a:prstGeom>
                  </pic:spPr>
                </pic:pic>
              </a:graphicData>
            </a:graphic>
          </wp:inline>
        </w:drawing>
      </w:r>
      <w:r>
        <w:rPr>
          <w:rFonts w:ascii="Times New Roman" w:cs="Times New Roman" w:eastAsia="Times New Roman" w:hAnsi="Times New Roman"/>
          <w:sz w:val="20"/>
          <w:szCs w:val="20"/>
        </w:rPr>
        <w:t xml:space="preserve">	(18)</w:t>
      </w:r>
    </w:p>
    <w:p>
      <w:pPr>
        <w:keepLines/>
        <w:tabs>
          <w:tab w:val="center" w:pos="4023"/>
          <w:tab w:val="right" w:pos="8046"/>
        </w:tabs>
        <w:spacing w:after="120" w:before="120"/>
        <w:ind w:left="1700"/>
      </w:pPr>
      <w:r>
        <w:rPr>
          <w:rFonts w:ascii="Times New Roman" w:cs="Times New Roman" w:eastAsia="Times New Roman" w:hAnsi="Times New Roman"/>
        </w:rPr>
        <w:t xml:space="preserve">	</w:t>
      </w:r>
      <w:r>
        <w:drawing>
          <wp:inline distT="0" distB="0" distL="0" distR="0">
            <wp:extent cx="1304925" cy="447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1304925" cy="447675"/>
                    </a:xfrm>
                    <a:prstGeom prst="rect">
                      <a:avLst/>
                    </a:prstGeom>
                  </pic:spPr>
                </pic:pic>
              </a:graphicData>
            </a:graphic>
          </wp:inline>
        </w:drawing>
      </w:r>
      <w:r>
        <w:rPr>
          <w:rFonts w:ascii="Times New Roman" w:cs="Times New Roman" w:eastAsia="Times New Roman" w:hAnsi="Times New Roman"/>
          <w:sz w:val="20"/>
          <w:szCs w:val="20"/>
        </w:rPr>
        <w:t xml:space="preserve">	(19)</w:t>
      </w:r>
    </w:p>
    <w:p>
      <w:pPr>
        <w:spacing w:after="0" w:line="252"/>
        <w:ind w:left="1700" w:firstLine="240"/>
        <w:jc w:val="both"/>
      </w:pPr>
      <w:r>
        <w:rPr>
          <w:rFonts w:ascii="Times New Roman" w:cs="Times New Roman" w:eastAsia="Times New Roman" w:hAnsi="Times New Roman"/>
          <w:sz w:val="20"/>
          <w:szCs w:val="20"/>
        </w:rPr>
        <w:t xml:space="preserve">Pairwise comparisons of CLISA-EWU with seven comparators used two-sided Wilcoxon signed-rank tests</w:t>
      </w:r>
      <w:r>
        <w:rPr>
          <w:rFonts w:ascii="Times New Roman" w:cs="Times New Roman" w:eastAsia="Times New Roman" w:hAnsi="Times New Roman"/>
          <w:color w:val="1F4E9A"/>
          <w:sz w:val="20"/>
          <w:szCs w:val="20"/>
          <w:vertAlign w:val="superscript"/>
        </w:rPr>
        <w:t xml:space="preserve">65</w:t>
      </w:r>
      <w:r>
        <w:rPr>
          <w:rFonts w:ascii="Times New Roman" w:cs="Times New Roman" w:eastAsia="Times New Roman" w:hAnsi="Times New Roman"/>
          <w:sz w:val="20"/>
          <w:szCs w:val="20"/>
        </w:rPr>
        <w:t xml:space="preserve"> with Holm adjustment</w:t>
      </w:r>
      <w:r>
        <w:rPr>
          <w:rFonts w:ascii="Times New Roman" w:cs="Times New Roman" w:eastAsia="Times New Roman" w:hAnsi="Times New Roman"/>
          <w:color w:val="1F4E9A"/>
          <w:sz w:val="20"/>
          <w:szCs w:val="20"/>
          <w:vertAlign w:val="superscript"/>
        </w:rPr>
        <w:t xml:space="preserve">66</w:t>
      </w:r>
      <w:r>
        <w:rPr>
          <w:rFonts w:ascii="Times New Roman" w:cs="Times New Roman" w:eastAsia="Times New Roman" w:hAnsi="Times New Roman"/>
          <w:sz w:val="20"/>
          <w:szCs w:val="20"/>
        </w:rPr>
        <w:t xml:space="preserve"> over the 14 comparisons of each protocol, and paired </w:t>
      </w:r>
      <w:r>
        <w:rPr>
          <w:rFonts w:ascii="Times New Roman" w:cs="Times New Roman" w:eastAsia="Times New Roman" w:hAnsi="Times New Roman"/>
          <w:i/>
          <w:iCs/>
          <w:sz w:val="20"/>
          <w:szCs w:val="20"/>
        </w:rPr>
        <w:t xml:space="preserve">t</w:t>
      </w:r>
      <w:r>
        <w:rPr>
          <w:rFonts w:ascii="Times New Roman" w:cs="Times New Roman" w:eastAsia="Times New Roman" w:hAnsi="Times New Roman"/>
          <w:sz w:val="20"/>
          <w:szCs w:val="20"/>
        </w:rPr>
        <w:t xml:space="preserve">-tests as a parametric check. Effect sizes were Cohen’s </w:t>
      </w:r>
      <w:r>
        <w:rPr>
          <w:rFonts w:ascii="Times New Roman" w:cs="Times New Roman" w:eastAsia="Times New Roman" w:hAnsi="Times New Roman"/>
          <w:i/>
          <w:iCs/>
          <w:sz w:val="20"/>
          <w:szCs w:val="20"/>
        </w:rPr>
        <w:t xml:space="preserve">d</w:t>
      </w:r>
      <w:r>
        <w:rPr>
          <w:rFonts w:ascii="Times New Roman" w:cs="Times New Roman" w:eastAsia="Times New Roman" w:hAnsi="Times New Roman"/>
          <w:sz w:val="20"/>
          <w:szCs w:val="20"/>
          <w:vertAlign w:val="subscript"/>
        </w:rPr>
        <w:t xml:space="preserve">z</w:t>
      </w:r>
      <w:r>
        <w:rPr>
          <w:rFonts w:ascii="Times New Roman" w:cs="Times New Roman" w:eastAsia="Times New Roman" w:hAnsi="Times New Roman"/>
          <w:sz w:val="20"/>
          <w:szCs w:val="20"/>
        </w:rPr>
        <w:t xml:space="preserve"> for the paired differences </w:t>
      </w:r>
      <w:r>
        <w:rPr>
          <w:rFonts w:ascii="Times New Roman" w:cs="Times New Roman" w:eastAsia="Times New Roman" w:hAnsi="Times New Roman"/>
          <w:i/>
          <w:iCs/>
          <w:sz w:val="20"/>
          <w:szCs w:val="20"/>
        </w:rPr>
        <w:t xml:space="preserve">D</w:t>
      </w:r>
      <w:r>
        <w:rPr>
          <w:rFonts w:ascii="Times New Roman" w:cs="Times New Roman" w:eastAsia="Times New Roman" w:hAnsi="Times New Roman"/>
          <w:color w:val="1F4E9A"/>
          <w:sz w:val="20"/>
          <w:szCs w:val="20"/>
          <w:vertAlign w:val="superscript"/>
        </w:rPr>
        <w:t xml:space="preserve">67</w:t>
      </w:r>
      <w:r>
        <w:rPr>
          <w:rFonts w:ascii="Times New Roman" w:cs="Times New Roman" w:eastAsia="Times New Roman" w:hAnsi="Times New Roman"/>
          <w:sz w:val="20"/>
          <w:szCs w:val="20"/>
        </w:rPr>
        <w:t xml:space="preserve"> and the matched-pairs rank-biserial correlation </w:t>
      </w:r>
      <w:r>
        <w:rPr>
          <w:rFonts w:ascii="Times New Roman" w:cs="Times New Roman" w:eastAsia="Times New Roman" w:hAnsi="Times New Roman"/>
          <w:i/>
          <w:iCs/>
          <w:sz w:val="20"/>
          <w:szCs w:val="20"/>
        </w:rPr>
        <w:t xml:space="preserve">r</w:t>
      </w:r>
      <w:r>
        <w:rPr>
          <w:rFonts w:ascii="Times New Roman" w:cs="Times New Roman" w:eastAsia="Times New Roman" w:hAnsi="Times New Roman"/>
          <w:sz w:val="20"/>
          <w:szCs w:val="20"/>
          <w:vertAlign w:val="subscript"/>
        </w:rPr>
        <w:t xml:space="preserve">rb</w:t>
      </w:r>
      <w:r>
        <w:rPr>
          <w:rFonts w:ascii="Times New Roman" w:cs="Times New Roman" w:eastAsia="Times New Roman" w:hAnsi="Times New Roman"/>
          <w:color w:val="1F4E9A"/>
          <w:sz w:val="20"/>
          <w:szCs w:val="20"/>
          <w:vertAlign w:val="superscript"/>
        </w:rPr>
        <w:t xml:space="preserve">68</w:t>
      </w:r>
      <w:r>
        <w:rPr>
          <w:rFonts w:ascii="Times New Roman" w:cs="Times New Roman" w:eastAsia="Times New Roman" w:hAnsi="Times New Roman"/>
          <w:sz w:val="20"/>
          <w:szCs w:val="20"/>
        </w:rPr>
        <w:t xml:space="preserve">, where </w:t>
      </w:r>
      <w:r>
        <w:rPr>
          <w:rFonts w:ascii="Times New Roman" w:cs="Times New Roman" w:eastAsia="Times New Roman" w:hAnsi="Times New Roman"/>
          <w:i/>
          <w:iCs/>
          <w:sz w:val="20"/>
          <w:szCs w:val="20"/>
        </w:rPr>
        <w:t xml:space="preserve">T</w:t>
      </w:r>
      <w:r>
        <w:rPr>
          <w:rFonts w:ascii="Times New Roman" w:cs="Times New Roman" w:eastAsia="Times New Roman" w:hAnsi="Times New Roman"/>
          <w:sz w:val="20"/>
          <w:szCs w:val="20"/>
          <w:vertAlign w:val="superscript"/>
        </w:rPr>
        <w:t xml:space="preserve">+</w:t>
      </w:r>
      <w:r>
        <w:rPr>
          <w:rFonts w:ascii="Times New Roman" w:cs="Times New Roman" w:eastAsia="Times New Roman" w:hAnsi="Times New Roman"/>
          <w:sz w:val="20"/>
          <w:szCs w:val="20"/>
        </w:rPr>
        <w:t xml:space="preserve"> and </w:t>
      </w:r>
      <w:r>
        <w:rPr>
          <w:rFonts w:ascii="Times New Roman" w:cs="Times New Roman" w:eastAsia="Times New Roman" w:hAnsi="Times New Roman"/>
          <w:i/>
          <w:iCs/>
          <w:sz w:val="20"/>
          <w:szCs w:val="20"/>
        </w:rPr>
        <w:t xml:space="preserve">T</w:t>
      </w:r>
      <w:r>
        <w:rPr>
          <w:rFonts w:ascii="Times New Roman" w:cs="Times New Roman" w:eastAsia="Times New Roman" w:hAnsi="Times New Roman"/>
          <w:sz w:val="20"/>
          <w:szCs w:val="20"/>
          <w:vertAlign w:val="superscript"/>
        </w:rPr>
        <w:t xml:space="preserve">−</w:t>
      </w:r>
      <w:r>
        <w:rPr>
          <w:rFonts w:ascii="Times New Roman" w:cs="Times New Roman" w:eastAsia="Times New Roman" w:hAnsi="Times New Roman"/>
          <w:sz w:val="20"/>
          <w:szCs w:val="20"/>
        </w:rPr>
        <w:t xml:space="preserve"> are the sums of positive and negative signed ranks:</w:t>
      </w:r>
    </w:p>
    <w:p>
      <w:pPr>
        <w:keepLines/>
        <w:tabs>
          <w:tab w:val="center" w:pos="4023"/>
          <w:tab w:val="right" w:pos="8046"/>
        </w:tabs>
        <w:spacing w:after="120" w:before="120"/>
        <w:ind w:left="1700"/>
      </w:pPr>
      <w:r>
        <w:rPr>
          <w:rFonts w:ascii="Times New Roman" w:cs="Times New Roman" w:eastAsia="Times New Roman" w:hAnsi="Times New Roman"/>
        </w:rPr>
        <w:t xml:space="preserve">	</w:t>
      </w:r>
      <w:r>
        <w:drawing>
          <wp:inline distT="0" distB="0" distL="0" distR="0">
            <wp:extent cx="1781175" cy="438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1781175" cy="438150"/>
                    </a:xfrm>
                    <a:prstGeom prst="rect">
                      <a:avLst/>
                    </a:prstGeom>
                  </pic:spPr>
                </pic:pic>
              </a:graphicData>
            </a:graphic>
          </wp:inline>
        </w:drawing>
      </w:r>
      <w:r>
        <w:rPr>
          <w:rFonts w:ascii="Times New Roman" w:cs="Times New Roman" w:eastAsia="Times New Roman" w:hAnsi="Times New Roman"/>
          <w:sz w:val="20"/>
          <w:szCs w:val="20"/>
        </w:rPr>
        <w:t xml:space="preserve">	(20)</w:t>
      </w:r>
    </w:p>
    <w:p>
      <w:pPr>
        <w:spacing w:after="0" w:line="252"/>
        <w:ind w:left="1700" w:firstLine="240"/>
        <w:jc w:val="both"/>
      </w:pPr>
      <w:r>
        <w:rPr>
          <w:rFonts w:ascii="Times New Roman" w:cs="Times New Roman" w:eastAsia="Times New Roman" w:hAnsi="Times New Roman"/>
          <w:sz w:val="20"/>
          <w:szCs w:val="20"/>
        </w:rPr>
        <w:t xml:space="preserve">Variability of CLISA-EWU across participants and seeds was decomposed with a two-way analysis of variance without replication (participant × seed), and reliability across seeds was summarised with the consistency intraclass correlation</w:t>
      </w:r>
      <w:r>
        <w:rPr>
          <w:rFonts w:ascii="Times New Roman" w:cs="Times New Roman" w:eastAsia="Times New Roman" w:hAnsi="Times New Roman"/>
          <w:color w:val="1F4E9A"/>
          <w:sz w:val="20"/>
          <w:szCs w:val="20"/>
          <w:vertAlign w:val="superscript"/>
        </w:rPr>
        <w:t xml:space="preserve">69</w:t>
      </w:r>
      <w:r>
        <w:rPr>
          <w:rFonts w:ascii="Times New Roman" w:cs="Times New Roman" w:eastAsia="Times New Roman" w:hAnsi="Times New Roman"/>
          <w:sz w:val="20"/>
          <w:szCs w:val="20"/>
        </w:rPr>
        <w:t xml:space="preserve">, where MS</w:t>
      </w:r>
      <w:r>
        <w:rPr>
          <w:rFonts w:ascii="Times New Roman" w:cs="Times New Roman" w:eastAsia="Times New Roman" w:hAnsi="Times New Roman"/>
          <w:sz w:val="20"/>
          <w:szCs w:val="20"/>
          <w:vertAlign w:val="subscript"/>
        </w:rPr>
        <w:t xml:space="preserve">P</w:t>
      </w:r>
      <w:r>
        <w:rPr>
          <w:rFonts w:ascii="Times New Roman" w:cs="Times New Roman" w:eastAsia="Times New Roman" w:hAnsi="Times New Roman"/>
          <w:sz w:val="20"/>
          <w:szCs w:val="20"/>
        </w:rPr>
        <w:t xml:space="preserve"> and MS</w:t>
      </w:r>
      <w:r>
        <w:rPr>
          <w:rFonts w:ascii="Times New Roman" w:cs="Times New Roman" w:eastAsia="Times New Roman" w:hAnsi="Times New Roman"/>
          <w:sz w:val="20"/>
          <w:szCs w:val="20"/>
          <w:vertAlign w:val="subscript"/>
        </w:rPr>
        <w:t xml:space="preserve">E</w:t>
      </w:r>
      <w:r>
        <w:rPr>
          <w:rFonts w:ascii="Times New Roman" w:cs="Times New Roman" w:eastAsia="Times New Roman" w:hAnsi="Times New Roman"/>
          <w:sz w:val="20"/>
          <w:szCs w:val="20"/>
        </w:rPr>
        <w:t xml:space="preserve"> are the participant and residual mean squares and </w:t>
      </w:r>
      <w:r>
        <w:rPr>
          <w:rFonts w:ascii="Times New Roman" w:cs="Times New Roman" w:eastAsia="Times New Roman" w:hAnsi="Times New Roman"/>
          <w:i/>
          <w:iCs/>
          <w:sz w:val="20"/>
          <w:szCs w:val="20"/>
        </w:rPr>
        <w:t xml:space="preserve">k</w:t>
      </w:r>
      <w:r>
        <w:rPr>
          <w:rFonts w:ascii="Times New Roman" w:cs="Times New Roman" w:eastAsia="Times New Roman" w:hAnsi="Times New Roman"/>
          <w:sz w:val="20"/>
          <w:szCs w:val="20"/>
        </w:rPr>
        <w:t xml:space="preserve"> = 3 seeds:</w:t>
      </w:r>
    </w:p>
    <w:p>
      <w:pPr>
        <w:keepLines/>
        <w:tabs>
          <w:tab w:val="center" w:pos="4023"/>
          <w:tab w:val="right" w:pos="8046"/>
        </w:tabs>
        <w:spacing w:after="120" w:before="120"/>
        <w:ind w:left="1700"/>
      </w:pPr>
      <w:r>
        <w:rPr>
          <w:rFonts w:ascii="Times New Roman" w:cs="Times New Roman" w:eastAsia="Times New Roman" w:hAnsi="Times New Roman"/>
        </w:rPr>
        <w:t xml:space="preserve">	</w:t>
      </w:r>
      <w:r>
        <w:drawing>
          <wp:inline distT="0" distB="0" distL="0" distR="0">
            <wp:extent cx="1990725" cy="41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1990725" cy="419100"/>
                    </a:xfrm>
                    <a:prstGeom prst="rect">
                      <a:avLst/>
                    </a:prstGeom>
                  </pic:spPr>
                </pic:pic>
              </a:graphicData>
            </a:graphic>
          </wp:inline>
        </w:drawing>
      </w:r>
      <w:r>
        <w:rPr>
          <w:rFonts w:ascii="Times New Roman" w:cs="Times New Roman" w:eastAsia="Times New Roman" w:hAnsi="Times New Roman"/>
          <w:sz w:val="20"/>
          <w:szCs w:val="20"/>
        </w:rPr>
        <w:t xml:space="preserve">	(21)</w:t>
      </w:r>
    </w:p>
    <w:p>
      <w:pPr>
        <w:spacing w:after="0" w:line="252"/>
        <w:ind w:left="1700" w:firstLine="240"/>
        <w:jc w:val="both"/>
      </w:pPr>
      <w:r>
        <w:rPr>
          <w:rFonts w:ascii="Times New Roman" w:cs="Times New Roman" w:eastAsia="Times New Roman" w:hAnsi="Times New Roman"/>
          <w:sz w:val="20"/>
          <w:szCs w:val="20"/>
        </w:rPr>
        <w:t xml:space="preserve">Associations between zero-shot accuracy, calibration gain and montage were assessed with Spearman’s ρ. The 62- versus six-electrode difference was tested with the Wilcoxon test, and the confidence interval for retention was obtained by resampling participants. Analyses used Python 3 with SciPy and statsmodels, and the scripts are provided in the repository. Reporting follows TRIPOD+AI where applicable</w:t>
      </w:r>
      <w:r>
        <w:rPr>
          <w:rFonts w:ascii="Times New Roman" w:cs="Times New Roman" w:eastAsia="Times New Roman" w:hAnsi="Times New Roman"/>
          <w:color w:val="1F4E9A"/>
          <w:sz w:val="20"/>
          <w:szCs w:val="20"/>
          <w:vertAlign w:val="superscript"/>
        </w:rPr>
        <w:t xml:space="preserve">54</w:t>
      </w:r>
      <w:r>
        <w:rPr>
          <w:rFonts w:ascii="Times New Roman" w:cs="Times New Roman" w:eastAsia="Times New Roman" w:hAnsi="Times New Roman"/>
          <w:sz w:val="20"/>
          <w:szCs w:val="20"/>
        </w:rPr>
        <w:t xml:space="preserve">.</w:t>
      </w:r>
    </w:p>
    <w:p>
      <w:pPr>
        <w:pStyle w:val="Heading2"/>
        <w:keepNext/>
        <w:spacing w:after="40" w:before="220"/>
        <w:ind w:left="1700"/>
      </w:pPr>
      <w:r>
        <w:rPr>
          <w:rFonts w:ascii="Arial" w:cs="Arial" w:eastAsia="Arial" w:hAnsi="Arial"/>
          <w:b/>
          <w:bCs/>
          <w:color w:val="000000"/>
          <w:sz w:val="21"/>
          <w:szCs w:val="21"/>
        </w:rPr>
        <w:t xml:space="preserve">3.12 Representation and attribution analysis</w:t>
      </w:r>
    </w:p>
    <w:p>
      <w:pPr>
        <w:spacing w:after="0" w:line="252"/>
        <w:ind w:left="1700" w:firstLine="0"/>
        <w:jc w:val="both"/>
      </w:pPr>
      <w:r>
        <w:rPr>
          <w:rFonts w:ascii="Times New Roman" w:cs="Times New Roman" w:eastAsia="Times New Roman" w:hAnsi="Times New Roman"/>
          <w:sz w:val="20"/>
          <w:szCs w:val="20"/>
        </w:rPr>
        <w:t xml:space="preserve">Representation geometry was examined with t-SNE</w:t>
      </w:r>
      <w:r>
        <w:rPr>
          <w:rFonts w:ascii="Times New Roman" w:cs="Times New Roman" w:eastAsia="Times New Roman" w:hAnsi="Times New Roman"/>
          <w:color w:val="1F4E9A"/>
          <w:sz w:val="20"/>
          <w:szCs w:val="20"/>
          <w:vertAlign w:val="superscript"/>
        </w:rPr>
        <w:t xml:space="preserve">70</w:t>
      </w:r>
      <w:r>
        <w:rPr>
          <w:rFonts w:ascii="Times New Roman" w:cs="Times New Roman" w:eastAsia="Times New Roman" w:hAnsi="Times New Roman"/>
          <w:sz w:val="20"/>
          <w:szCs w:val="20"/>
        </w:rPr>
        <w:t xml:space="preserve"> and with silhouette</w:t>
      </w:r>
      <w:r>
        <w:rPr>
          <w:rFonts w:ascii="Times New Roman" w:cs="Times New Roman" w:eastAsia="Times New Roman" w:hAnsi="Times New Roman"/>
          <w:color w:val="1F4E9A"/>
          <w:sz w:val="20"/>
          <w:szCs w:val="20"/>
          <w:vertAlign w:val="superscript"/>
        </w:rPr>
        <w:t xml:space="preserve">71</w:t>
      </w:r>
      <w:r>
        <w:rPr>
          <w:rFonts w:ascii="Times New Roman" w:cs="Times New Roman" w:eastAsia="Times New Roman" w:hAnsi="Times New Roman"/>
          <w:sz w:val="20"/>
          <w:szCs w:val="20"/>
        </w:rPr>
        <w:t xml:space="preserve">, Davies–Bouldin</w:t>
      </w:r>
      <w:r>
        <w:rPr>
          <w:rFonts w:ascii="Times New Roman" w:cs="Times New Roman" w:eastAsia="Times New Roman" w:hAnsi="Times New Roman"/>
          <w:color w:val="1F4E9A"/>
          <w:sz w:val="20"/>
          <w:szCs w:val="20"/>
          <w:vertAlign w:val="superscript"/>
        </w:rPr>
        <w:t xml:space="preserve">72</w:t>
      </w:r>
      <w:r>
        <w:rPr>
          <w:rFonts w:ascii="Times New Roman" w:cs="Times New Roman" w:eastAsia="Times New Roman" w:hAnsi="Times New Roman"/>
          <w:sz w:val="20"/>
          <w:szCs w:val="20"/>
        </w:rPr>
        <w:t xml:space="preserve"> and Calinski–Harabasz</w:t>
      </w:r>
      <w:r>
        <w:rPr>
          <w:rFonts w:ascii="Times New Roman" w:cs="Times New Roman" w:eastAsia="Times New Roman" w:hAnsi="Times New Roman"/>
          <w:color w:val="1F4E9A"/>
          <w:sz w:val="20"/>
          <w:szCs w:val="20"/>
          <w:vertAlign w:val="superscript"/>
        </w:rPr>
        <w:t xml:space="preserve">73</w:t>
      </w:r>
      <w:r>
        <w:rPr>
          <w:rFonts w:ascii="Times New Roman" w:cs="Times New Roman" w:eastAsia="Times New Roman" w:hAnsi="Times New Roman"/>
          <w:sz w:val="20"/>
          <w:szCs w:val="20"/>
        </w:rPr>
        <w:t xml:space="preserve"> indices computed on PCA-reduced raw features and on CLISA-EWU encoder embeddings, using emotion and participant labels. Electrode importance was estimated with gradient-based SHAP</w:t>
      </w:r>
      <w:r>
        <w:rPr>
          <w:rFonts w:ascii="Times New Roman" w:cs="Times New Roman" w:eastAsia="Times New Roman" w:hAnsi="Times New Roman"/>
          <w:color w:val="1F4E9A"/>
          <w:sz w:val="20"/>
          <w:szCs w:val="20"/>
          <w:vertAlign w:val="superscript"/>
        </w:rPr>
        <w:t xml:space="preserve">74</w:t>
      </w:r>
      <w:r>
        <w:rPr>
          <w:rFonts w:ascii="Times New Roman" w:cs="Times New Roman" w:eastAsia="Times New Roman" w:hAnsi="Times New Roman"/>
          <w:sz w:val="20"/>
          <w:szCs w:val="20"/>
        </w:rPr>
        <w:t xml:space="preserve"> on the 62-electrode model of the best run, summing absolute attributions over the five bands of each electrode separately for each predicted class.</w:t>
      </w:r>
    </w:p>
    <w:p>
      <w:pPr>
        <w:pStyle w:val="Heading1"/>
        <w:keepNext/>
        <w:spacing w:after="40" w:before="300"/>
        <w:ind w:left="1700"/>
      </w:pPr>
      <w:r>
        <w:rPr>
          <w:rFonts w:ascii="Arial" w:cs="Arial" w:eastAsia="Arial" w:hAnsi="Arial"/>
          <w:b/>
          <w:bCs/>
          <w:color w:val="000000"/>
          <w:sz w:val="26"/>
          <w:szCs w:val="26"/>
        </w:rPr>
        <w:t xml:space="preserve">4 Results and Discussion</w:t>
      </w:r>
    </w:p>
    <w:p>
      <w:pPr>
        <w:spacing w:after="0" w:line="252"/>
        <w:ind w:left="1700" w:firstLine="0"/>
        <w:jc w:val="both"/>
      </w:pPr>
      <w:r>
        <w:rPr>
          <w:rFonts w:ascii="Times New Roman" w:cs="Times New Roman" w:eastAsia="Times New Roman" w:hAnsi="Times New Roman"/>
          <w:sz w:val="20"/>
          <w:szCs w:val="20"/>
        </w:rPr>
        <w:t xml:space="preserve">In this section, the results of the benchmark are presented. Zero-shot performance is reported first, followed by the effect of few-shot calibration, the paired statistical comparisons, electrode reduction, variability across participants, class-level behaviour, representation geometry and secondary analyses. The implications and limitations of the findings are discussed at the end of the section.</w:t>
      </w:r>
    </w:p>
    <w:p>
      <w:pPr>
        <w:pStyle w:val="Heading2"/>
        <w:keepNext/>
        <w:spacing w:after="40" w:before="220"/>
        <w:ind w:left="1700"/>
      </w:pPr>
      <w:r>
        <w:rPr>
          <w:rFonts w:ascii="Arial" w:cs="Arial" w:eastAsia="Arial" w:hAnsi="Arial"/>
          <w:b/>
          <w:bCs/>
          <w:color w:val="000000"/>
          <w:sz w:val="21"/>
          <w:szCs w:val="21"/>
        </w:rPr>
        <w:t xml:space="preserve">4.1 Benchmark overview</w:t>
      </w:r>
    </w:p>
    <w:p>
      <w:pPr>
        <w:spacing w:after="0" w:line="252"/>
        <w:ind w:left="1700" w:firstLine="0"/>
        <w:jc w:val="both"/>
      </w:pPr>
      <w:r>
        <w:rPr>
          <w:rFonts w:ascii="Times New Roman" w:cs="Times New Roman" w:eastAsia="Times New Roman" w:hAnsi="Times New Roman"/>
          <w:sz w:val="20"/>
          <w:szCs w:val="20"/>
        </w:rPr>
        <w:t xml:space="preserve">All 26 models completed 45 runs per montage. The best classical classifier reached an accuracy of 0.484 (XGBoost) with 62 electrodes and 0.441 (LDA) with six electrodes (Fig. 5), confirming that differential-entropy features carry emotion information in unseen participants. Fig. 6 shows the calibrated leaderboard for all deep models, and Table 5 summarises zero-shot and calibrated results for the main comparators.</w:t>
      </w:r>
    </w:p>
    <w:p>
      <w:pPr>
        <w:spacing w:before="20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30"/>
        <w:gridCol w:w="710"/>
        <w:gridCol w:w="710"/>
        <w:gridCol w:w="710"/>
        <w:gridCol w:w="710"/>
        <w:gridCol w:w="710"/>
        <w:gridCol w:w="1522"/>
        <w:gridCol w:w="609"/>
        <w:gridCol w:w="710"/>
        <w:gridCol w:w="710"/>
        <w:gridCol w:w="615"/>
      </w:tblGrid>
      <w:tr>
        <w:trPr>
          <w:tblHeader/>
        </w:trPr>
        <w:tc>
          <w:tcPr>
            <w:tcW w:type="dxa" w:w="2030"/>
            <w:tcBorders>
              <w:top w:val="single" w:color="000000" w:sz="4"/>
              <w:left w:val="single" w:color="000000" w:sz="4"/>
              <w:bottom w:val="single" w:color="000000" w:sz="4"/>
              <w:right w:val="single" w:color="000000" w:sz="4"/>
            </w:tcBorders>
            <w:shd w:fill="BFBFBF" w:color="auto" w:val="clear"/>
            <w:tcMar>
              <w:top w:type="dxa" w:w="25"/>
              <w:left w:type="dxa" w:w="50"/>
              <w:bottom w:type="dxa" w:w="25"/>
              <w:right w:type="dxa" w:w="50"/>
            </w:tcMar>
          </w:tcPr>
          <w:p>
            <w:r>
              <w:rPr>
                <w:rFonts w:ascii="Times New Roman" w:cs="Times New Roman" w:eastAsia="Times New Roman" w:hAnsi="Times New Roman"/>
                <w:b/>
                <w:bCs/>
                <w:sz w:val="14"/>
                <w:szCs w:val="14"/>
              </w:rPr>
              <w:t xml:space="preserve">Model</w:t>
            </w:r>
          </w:p>
        </w:tc>
        <w:tc>
          <w:tcPr>
            <w:tcW w:type="dxa" w:w="710"/>
            <w:tcBorders>
              <w:top w:val="single" w:color="000000" w:sz="4"/>
              <w:left w:val="single" w:color="000000" w:sz="4"/>
              <w:bottom w:val="single" w:color="000000" w:sz="4"/>
              <w:right w:val="single" w:color="000000" w:sz="4"/>
            </w:tcBorders>
            <w:shd w:fill="BFBFBF" w:color="auto" w:val="clear"/>
            <w:tcMar>
              <w:top w:type="dxa" w:w="25"/>
              <w:left w:type="dxa" w:w="50"/>
              <w:bottom w:type="dxa" w:w="25"/>
              <w:right w:type="dxa" w:w="50"/>
            </w:tcMar>
          </w:tcPr>
          <w:p>
            <w:r>
              <w:rPr>
                <w:rFonts w:ascii="Times New Roman" w:cs="Times New Roman" w:eastAsia="Times New Roman" w:hAnsi="Times New Roman"/>
                <w:b/>
                <w:bCs/>
                <w:sz w:val="14"/>
                <w:szCs w:val="14"/>
              </w:rPr>
              <w:t xml:space="preserve">Acc (ZS)</w:t>
            </w:r>
          </w:p>
        </w:tc>
        <w:tc>
          <w:tcPr>
            <w:tcW w:type="dxa" w:w="710"/>
            <w:tcBorders>
              <w:top w:val="single" w:color="000000" w:sz="4"/>
              <w:left w:val="single" w:color="000000" w:sz="4"/>
              <w:bottom w:val="single" w:color="000000" w:sz="4"/>
              <w:right w:val="single" w:color="000000" w:sz="4"/>
            </w:tcBorders>
            <w:shd w:fill="BFBFBF" w:color="auto" w:val="clear"/>
            <w:tcMar>
              <w:top w:type="dxa" w:w="25"/>
              <w:left w:type="dxa" w:w="50"/>
              <w:bottom w:type="dxa" w:w="25"/>
              <w:right w:type="dxa" w:w="50"/>
            </w:tcMar>
          </w:tcPr>
          <w:p>
            <w:r>
              <w:rPr>
                <w:rFonts w:ascii="Times New Roman" w:cs="Times New Roman" w:eastAsia="Times New Roman" w:hAnsi="Times New Roman"/>
                <w:b/>
                <w:bCs/>
                <w:sz w:val="14"/>
                <w:szCs w:val="14"/>
              </w:rPr>
              <w:t xml:space="preserve">F1 (ZS)</w:t>
            </w:r>
          </w:p>
        </w:tc>
        <w:tc>
          <w:tcPr>
            <w:tcW w:type="dxa" w:w="710"/>
            <w:tcBorders>
              <w:top w:val="single" w:color="000000" w:sz="4"/>
              <w:left w:val="single" w:color="000000" w:sz="4"/>
              <w:bottom w:val="single" w:color="000000" w:sz="4"/>
              <w:right w:val="single" w:color="000000" w:sz="4"/>
            </w:tcBorders>
            <w:shd w:fill="BFBFBF" w:color="auto" w:val="clear"/>
            <w:tcMar>
              <w:top w:type="dxa" w:w="25"/>
              <w:left w:type="dxa" w:w="50"/>
              <w:bottom w:type="dxa" w:w="25"/>
              <w:right w:type="dxa" w:w="50"/>
            </w:tcMar>
          </w:tcPr>
          <w:p>
            <w:r>
              <w:rPr>
                <w:rFonts w:ascii="Times New Roman" w:cs="Times New Roman" w:eastAsia="Times New Roman" w:hAnsi="Times New Roman"/>
                <w:b/>
                <w:bCs/>
                <w:sz w:val="14"/>
                <w:szCs w:val="14"/>
              </w:rPr>
              <w:t xml:space="preserve">Acc (Cal)</w:t>
            </w:r>
          </w:p>
        </w:tc>
        <w:tc>
          <w:tcPr>
            <w:tcW w:type="dxa" w:w="710"/>
            <w:tcBorders>
              <w:top w:val="single" w:color="000000" w:sz="4"/>
              <w:left w:val="single" w:color="000000" w:sz="4"/>
              <w:bottom w:val="single" w:color="000000" w:sz="4"/>
              <w:right w:val="single" w:color="000000" w:sz="4"/>
            </w:tcBorders>
            <w:shd w:fill="BFBFBF" w:color="auto" w:val="clear"/>
            <w:tcMar>
              <w:top w:type="dxa" w:w="25"/>
              <w:left w:type="dxa" w:w="50"/>
              <w:bottom w:type="dxa" w:w="25"/>
              <w:right w:type="dxa" w:w="50"/>
            </w:tcMar>
          </w:tcPr>
          <w:p>
            <w:r>
              <w:rPr>
                <w:rFonts w:ascii="Times New Roman" w:cs="Times New Roman" w:eastAsia="Times New Roman" w:hAnsi="Times New Roman"/>
                <w:b/>
                <w:bCs/>
                <w:sz w:val="14"/>
                <w:szCs w:val="14"/>
              </w:rPr>
              <w:t xml:space="preserve">SD (Cal)</w:t>
            </w:r>
          </w:p>
        </w:tc>
        <w:tc>
          <w:tcPr>
            <w:tcW w:type="dxa" w:w="710"/>
            <w:tcBorders>
              <w:top w:val="single" w:color="000000" w:sz="4"/>
              <w:left w:val="single" w:color="000000" w:sz="4"/>
              <w:bottom w:val="single" w:color="000000" w:sz="4"/>
              <w:right w:val="single" w:color="000000" w:sz="4"/>
            </w:tcBorders>
            <w:shd w:fill="BFBFBF" w:color="auto" w:val="clear"/>
            <w:tcMar>
              <w:top w:type="dxa" w:w="25"/>
              <w:left w:type="dxa" w:w="50"/>
              <w:bottom w:type="dxa" w:w="25"/>
              <w:right w:type="dxa" w:w="50"/>
            </w:tcMar>
          </w:tcPr>
          <w:p>
            <w:r>
              <w:rPr>
                <w:rFonts w:ascii="Times New Roman" w:cs="Times New Roman" w:eastAsia="Times New Roman" w:hAnsi="Times New Roman"/>
                <w:b/>
                <w:bCs/>
                <w:sz w:val="14"/>
                <w:szCs w:val="14"/>
              </w:rPr>
              <w:t xml:space="preserve">F1 (Cal)</w:t>
            </w:r>
          </w:p>
        </w:tc>
        <w:tc>
          <w:tcPr>
            <w:tcW w:type="dxa" w:w="1522"/>
            <w:tcBorders>
              <w:top w:val="single" w:color="000000" w:sz="4"/>
              <w:left w:val="single" w:color="000000" w:sz="4"/>
              <w:bottom w:val="single" w:color="000000" w:sz="4"/>
              <w:right w:val="single" w:color="000000" w:sz="4"/>
            </w:tcBorders>
            <w:shd w:fill="BFBFBF" w:color="auto" w:val="clear"/>
            <w:tcMar>
              <w:top w:type="dxa" w:w="25"/>
              <w:left w:type="dxa" w:w="50"/>
              <w:bottom w:type="dxa" w:w="25"/>
              <w:right w:type="dxa" w:w="50"/>
            </w:tcMar>
          </w:tcPr>
          <w:p>
            <w:r>
              <w:rPr>
                <w:rFonts w:ascii="Times New Roman" w:cs="Times New Roman" w:eastAsia="Times New Roman" w:hAnsi="Times New Roman"/>
                <w:b/>
                <w:bCs/>
                <w:sz w:val="14"/>
                <w:szCs w:val="14"/>
              </w:rPr>
              <w:t xml:space="preserve">Gain, points (95% CI)</w:t>
            </w:r>
          </w:p>
        </w:tc>
        <w:tc>
          <w:tcPr>
            <w:tcW w:type="dxa" w:w="609"/>
            <w:tcBorders>
              <w:top w:val="single" w:color="000000" w:sz="4"/>
              <w:left w:val="single" w:color="000000" w:sz="4"/>
              <w:bottom w:val="single" w:color="000000" w:sz="4"/>
              <w:right w:val="single" w:color="000000" w:sz="4"/>
            </w:tcBorders>
            <w:shd w:fill="BFBFBF" w:color="auto" w:val="clear"/>
            <w:tcMar>
              <w:top w:type="dxa" w:w="25"/>
              <w:left w:type="dxa" w:w="50"/>
              <w:bottom w:type="dxa" w:w="25"/>
              <w:right w:type="dxa" w:w="50"/>
            </w:tcMar>
          </w:tcPr>
          <w:p>
            <w:r>
              <w:rPr>
                <w:rFonts w:ascii="Times New Roman" w:cs="Times New Roman" w:eastAsia="Times New Roman" w:hAnsi="Times New Roman"/>
                <w:b/>
                <w:bCs/>
                <w:sz w:val="14"/>
                <w:szCs w:val="14"/>
              </w:rPr>
              <w:t xml:space="preserve">CV (%)</w:t>
            </w:r>
          </w:p>
        </w:tc>
        <w:tc>
          <w:tcPr>
            <w:tcW w:type="dxa" w:w="710"/>
            <w:tcBorders>
              <w:top w:val="single" w:color="000000" w:sz="4"/>
              <w:left w:val="single" w:color="000000" w:sz="4"/>
              <w:bottom w:val="single" w:color="000000" w:sz="4"/>
              <w:right w:val="single" w:color="000000" w:sz="4"/>
            </w:tcBorders>
            <w:shd w:fill="BFBFBF" w:color="auto" w:val="clear"/>
            <w:tcMar>
              <w:top w:type="dxa" w:w="25"/>
              <w:left w:type="dxa" w:w="50"/>
              <w:bottom w:type="dxa" w:w="25"/>
              <w:right w:type="dxa" w:w="50"/>
            </w:tcMar>
          </w:tcPr>
          <w:p>
            <w:r>
              <w:rPr>
                <w:rFonts w:ascii="Times New Roman" w:cs="Times New Roman" w:eastAsia="Times New Roman" w:hAnsi="Times New Roman"/>
                <w:b/>
                <w:bCs/>
                <w:sz w:val="14"/>
                <w:szCs w:val="14"/>
              </w:rPr>
              <w:t xml:space="preserve">Worst</w:t>
            </w:r>
          </w:p>
        </w:tc>
        <w:tc>
          <w:tcPr>
            <w:tcW w:type="dxa" w:w="710"/>
            <w:tcBorders>
              <w:top w:val="single" w:color="000000" w:sz="4"/>
              <w:left w:val="single" w:color="000000" w:sz="4"/>
              <w:bottom w:val="single" w:color="000000" w:sz="4"/>
              <w:right w:val="single" w:color="000000" w:sz="4"/>
            </w:tcBorders>
            <w:shd w:fill="BFBFBF" w:color="auto" w:val="clear"/>
            <w:tcMar>
              <w:top w:type="dxa" w:w="25"/>
              <w:left w:type="dxa" w:w="50"/>
              <w:bottom w:type="dxa" w:w="25"/>
              <w:right w:type="dxa" w:w="50"/>
            </w:tcMar>
          </w:tcPr>
          <w:p>
            <w:r>
              <w:rPr>
                <w:rFonts w:ascii="Times New Roman" w:cs="Times New Roman" w:eastAsia="Times New Roman" w:hAnsi="Times New Roman"/>
                <w:b/>
                <w:bCs/>
                <w:sz w:val="14"/>
                <w:szCs w:val="14"/>
              </w:rPr>
              <w:t xml:space="preserve">Best</w:t>
            </w:r>
          </w:p>
        </w:tc>
        <w:tc>
          <w:tcPr>
            <w:tcW w:type="dxa" w:w="615"/>
            <w:tcBorders>
              <w:top w:val="single" w:color="000000" w:sz="4"/>
              <w:left w:val="single" w:color="000000" w:sz="4"/>
              <w:bottom w:val="single" w:color="000000" w:sz="4"/>
              <w:right w:val="single" w:color="000000" w:sz="4"/>
            </w:tcBorders>
            <w:shd w:fill="BFBFBF" w:color="auto" w:val="clear"/>
            <w:tcMar>
              <w:top w:type="dxa" w:w="25"/>
              <w:left w:type="dxa" w:w="50"/>
              <w:bottom w:type="dxa" w:w="25"/>
              <w:right w:type="dxa" w:w="50"/>
            </w:tcMar>
          </w:tcPr>
          <w:p>
            <w:r>
              <w:rPr>
                <w:rFonts w:ascii="Times New Roman" w:cs="Times New Roman" w:eastAsia="Times New Roman" w:hAnsi="Times New Roman"/>
                <w:b/>
                <w:bCs/>
                <w:sz w:val="14"/>
                <w:szCs w:val="14"/>
              </w:rPr>
              <w:t xml:space="preserve">Rank</w:t>
            </w:r>
          </w:p>
        </w:tc>
      </w:tr>
      <w:tr>
        <w:trPr>
          <w:cantSplit/>
        </w:trPr>
        <w:tc>
          <w:tcPr>
            <w:tcW w:type="dxa" w:w="2030"/>
            <w:tcBorders>
              <w:top w:val="single" w:color="000000" w:sz="4"/>
              <w:left w:val="single" w:color="000000" w:sz="4"/>
              <w:bottom w:val="single" w:color="000000" w:sz="4"/>
              <w:right w:val="single" w:color="000000" w:sz="4"/>
            </w:tcBorders>
            <w:shd w:fill="E7E6E6" w:color="auto" w:val="clear"/>
            <w:tcMar>
              <w:top w:type="dxa" w:w="25"/>
              <w:left w:type="dxa" w:w="50"/>
              <w:bottom w:type="dxa" w:w="25"/>
              <w:right w:type="dxa" w:w="50"/>
            </w:tcMar>
          </w:tcPr>
          <w:p>
            <w:r>
              <w:rPr>
                <w:rFonts w:ascii="Times New Roman" w:cs="Times New Roman" w:eastAsia="Times New Roman" w:hAnsi="Times New Roman"/>
                <w:b/>
                <w:bCs/>
                <w:sz w:val="14"/>
                <w:szCs w:val="14"/>
              </w:rPr>
              <w:t xml:space="preserve">62 electrodes</w:t>
            </w:r>
          </w:p>
        </w:tc>
        <w:tc>
          <w:tcPr>
            <w:tcW w:type="dxa" w:w="710"/>
            <w:tcBorders>
              <w:top w:val="single" w:color="000000" w:sz="4"/>
              <w:left w:val="single" w:color="000000" w:sz="4"/>
              <w:bottom w:val="single" w:color="000000" w:sz="4"/>
              <w:right w:val="single" w:color="000000" w:sz="4"/>
            </w:tcBorders>
            <w:shd w:fill="E7E6E6" w:color="auto" w:val="clear"/>
            <w:tcMar>
              <w:top w:type="dxa" w:w="25"/>
              <w:left w:type="dxa" w:w="50"/>
              <w:bottom w:type="dxa" w:w="25"/>
              <w:right w:type="dxa" w:w="50"/>
            </w:tcMar>
          </w:tcPr>
          <w:p/>
        </w:tc>
        <w:tc>
          <w:tcPr>
            <w:tcW w:type="dxa" w:w="710"/>
            <w:tcBorders>
              <w:top w:val="single" w:color="000000" w:sz="4"/>
              <w:left w:val="single" w:color="000000" w:sz="4"/>
              <w:bottom w:val="single" w:color="000000" w:sz="4"/>
              <w:right w:val="single" w:color="000000" w:sz="4"/>
            </w:tcBorders>
            <w:shd w:fill="E7E6E6" w:color="auto" w:val="clear"/>
            <w:tcMar>
              <w:top w:type="dxa" w:w="25"/>
              <w:left w:type="dxa" w:w="50"/>
              <w:bottom w:type="dxa" w:w="25"/>
              <w:right w:type="dxa" w:w="50"/>
            </w:tcMar>
          </w:tcPr>
          <w:p/>
        </w:tc>
        <w:tc>
          <w:tcPr>
            <w:tcW w:type="dxa" w:w="710"/>
            <w:tcBorders>
              <w:top w:val="single" w:color="000000" w:sz="4"/>
              <w:left w:val="single" w:color="000000" w:sz="4"/>
              <w:bottom w:val="single" w:color="000000" w:sz="4"/>
              <w:right w:val="single" w:color="000000" w:sz="4"/>
            </w:tcBorders>
            <w:shd w:fill="E7E6E6" w:color="auto" w:val="clear"/>
            <w:tcMar>
              <w:top w:type="dxa" w:w="25"/>
              <w:left w:type="dxa" w:w="50"/>
              <w:bottom w:type="dxa" w:w="25"/>
              <w:right w:type="dxa" w:w="50"/>
            </w:tcMar>
          </w:tcPr>
          <w:p/>
        </w:tc>
        <w:tc>
          <w:tcPr>
            <w:tcW w:type="dxa" w:w="710"/>
            <w:tcBorders>
              <w:top w:val="single" w:color="000000" w:sz="4"/>
              <w:left w:val="single" w:color="000000" w:sz="4"/>
              <w:bottom w:val="single" w:color="000000" w:sz="4"/>
              <w:right w:val="single" w:color="000000" w:sz="4"/>
            </w:tcBorders>
            <w:shd w:fill="E7E6E6" w:color="auto" w:val="clear"/>
            <w:tcMar>
              <w:top w:type="dxa" w:w="25"/>
              <w:left w:type="dxa" w:w="50"/>
              <w:bottom w:type="dxa" w:w="25"/>
              <w:right w:type="dxa" w:w="50"/>
            </w:tcMar>
          </w:tcPr>
          <w:p/>
        </w:tc>
        <w:tc>
          <w:tcPr>
            <w:tcW w:type="dxa" w:w="710"/>
            <w:tcBorders>
              <w:top w:val="single" w:color="000000" w:sz="4"/>
              <w:left w:val="single" w:color="000000" w:sz="4"/>
              <w:bottom w:val="single" w:color="000000" w:sz="4"/>
              <w:right w:val="single" w:color="000000" w:sz="4"/>
            </w:tcBorders>
            <w:shd w:fill="E7E6E6" w:color="auto" w:val="clear"/>
            <w:tcMar>
              <w:top w:type="dxa" w:w="25"/>
              <w:left w:type="dxa" w:w="50"/>
              <w:bottom w:type="dxa" w:w="25"/>
              <w:right w:type="dxa" w:w="50"/>
            </w:tcMar>
          </w:tcPr>
          <w:p/>
        </w:tc>
        <w:tc>
          <w:tcPr>
            <w:tcW w:type="dxa" w:w="1522"/>
            <w:tcBorders>
              <w:top w:val="single" w:color="000000" w:sz="4"/>
              <w:left w:val="single" w:color="000000" w:sz="4"/>
              <w:bottom w:val="single" w:color="000000" w:sz="4"/>
              <w:right w:val="single" w:color="000000" w:sz="4"/>
            </w:tcBorders>
            <w:shd w:fill="E7E6E6" w:color="auto" w:val="clear"/>
            <w:tcMar>
              <w:top w:type="dxa" w:w="25"/>
              <w:left w:type="dxa" w:w="50"/>
              <w:bottom w:type="dxa" w:w="25"/>
              <w:right w:type="dxa" w:w="50"/>
            </w:tcMar>
          </w:tcPr>
          <w:p/>
        </w:tc>
        <w:tc>
          <w:tcPr>
            <w:tcW w:type="dxa" w:w="609"/>
            <w:tcBorders>
              <w:top w:val="single" w:color="000000" w:sz="4"/>
              <w:left w:val="single" w:color="000000" w:sz="4"/>
              <w:bottom w:val="single" w:color="000000" w:sz="4"/>
              <w:right w:val="single" w:color="000000" w:sz="4"/>
            </w:tcBorders>
            <w:shd w:fill="E7E6E6" w:color="auto" w:val="clear"/>
            <w:tcMar>
              <w:top w:type="dxa" w:w="25"/>
              <w:left w:type="dxa" w:w="50"/>
              <w:bottom w:type="dxa" w:w="25"/>
              <w:right w:type="dxa" w:w="50"/>
            </w:tcMar>
          </w:tcPr>
          <w:p/>
        </w:tc>
        <w:tc>
          <w:tcPr>
            <w:tcW w:type="dxa" w:w="710"/>
            <w:tcBorders>
              <w:top w:val="single" w:color="000000" w:sz="4"/>
              <w:left w:val="single" w:color="000000" w:sz="4"/>
              <w:bottom w:val="single" w:color="000000" w:sz="4"/>
              <w:right w:val="single" w:color="000000" w:sz="4"/>
            </w:tcBorders>
            <w:shd w:fill="E7E6E6" w:color="auto" w:val="clear"/>
            <w:tcMar>
              <w:top w:type="dxa" w:w="25"/>
              <w:left w:type="dxa" w:w="50"/>
              <w:bottom w:type="dxa" w:w="25"/>
              <w:right w:type="dxa" w:w="50"/>
            </w:tcMar>
          </w:tcPr>
          <w:p/>
        </w:tc>
        <w:tc>
          <w:tcPr>
            <w:tcW w:type="dxa" w:w="710"/>
            <w:tcBorders>
              <w:top w:val="single" w:color="000000" w:sz="4"/>
              <w:left w:val="single" w:color="000000" w:sz="4"/>
              <w:bottom w:val="single" w:color="000000" w:sz="4"/>
              <w:right w:val="single" w:color="000000" w:sz="4"/>
            </w:tcBorders>
            <w:shd w:fill="E7E6E6" w:color="auto" w:val="clear"/>
            <w:tcMar>
              <w:top w:type="dxa" w:w="25"/>
              <w:left w:type="dxa" w:w="50"/>
              <w:bottom w:type="dxa" w:w="25"/>
              <w:right w:type="dxa" w:w="50"/>
            </w:tcMar>
          </w:tcPr>
          <w:p/>
        </w:tc>
        <w:tc>
          <w:tcPr>
            <w:tcW w:type="dxa" w:w="615"/>
            <w:tcBorders>
              <w:top w:val="single" w:color="000000" w:sz="4"/>
              <w:left w:val="single" w:color="000000" w:sz="4"/>
              <w:bottom w:val="single" w:color="000000" w:sz="4"/>
              <w:right w:val="single" w:color="000000" w:sz="4"/>
            </w:tcBorders>
            <w:shd w:fill="E7E6E6" w:color="auto" w:val="clear"/>
            <w:tcMar>
              <w:top w:type="dxa" w:w="25"/>
              <w:left w:type="dxa" w:w="50"/>
              <w:bottom w:type="dxa" w:w="25"/>
              <w:right w:type="dxa" w:w="50"/>
            </w:tcMar>
          </w:tcPr>
          <w:p/>
        </w:tc>
      </w:tr>
      <w:tr>
        <w:trPr>
          <w:cantSplit/>
        </w:trPr>
        <w:tc>
          <w:tcPr>
            <w:tcW w:type="dxa" w:w="2030"/>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4"/>
                <w:szCs w:val="14"/>
              </w:rPr>
              <w:t xml:space="preserve">CLISA-EWU</w:t>
            </w:r>
          </w:p>
        </w:tc>
        <w:tc>
          <w:tcPr>
            <w:tcW w:type="dxa" w:w="710"/>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4"/>
                <w:szCs w:val="14"/>
              </w:rPr>
              <w:t xml:space="preserve">0.485</w:t>
            </w:r>
          </w:p>
        </w:tc>
        <w:tc>
          <w:tcPr>
            <w:tcW w:type="dxa" w:w="710"/>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4"/>
                <w:szCs w:val="14"/>
              </w:rPr>
              <w:t xml:space="preserve">0.479</w:t>
            </w:r>
          </w:p>
        </w:tc>
        <w:tc>
          <w:tcPr>
            <w:tcW w:type="dxa" w:w="710"/>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4"/>
                <w:szCs w:val="14"/>
              </w:rPr>
              <w:t xml:space="preserve">0.678</w:t>
            </w:r>
          </w:p>
        </w:tc>
        <w:tc>
          <w:tcPr>
            <w:tcW w:type="dxa" w:w="710"/>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4"/>
                <w:szCs w:val="14"/>
              </w:rPr>
              <w:t xml:space="preserve">0.078</w:t>
            </w:r>
          </w:p>
        </w:tc>
        <w:tc>
          <w:tcPr>
            <w:tcW w:type="dxa" w:w="710"/>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4"/>
                <w:szCs w:val="14"/>
              </w:rPr>
              <w:t xml:space="preserve">0.673</w:t>
            </w:r>
          </w:p>
        </w:tc>
        <w:tc>
          <w:tcPr>
            <w:tcW w:type="dxa" w:w="1522"/>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4"/>
                <w:szCs w:val="14"/>
              </w:rPr>
              <w:t xml:space="preserve">19.3 (14.9, 23.8)</w:t>
            </w:r>
          </w:p>
        </w:tc>
        <w:tc>
          <w:tcPr>
            <w:tcW w:type="dxa" w:w="609"/>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4"/>
                <w:szCs w:val="14"/>
              </w:rPr>
              <w:t xml:space="preserve">11.5</w:t>
            </w:r>
          </w:p>
        </w:tc>
        <w:tc>
          <w:tcPr>
            <w:tcW w:type="dxa" w:w="710"/>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4"/>
                <w:szCs w:val="14"/>
              </w:rPr>
              <w:t xml:space="preserve">0.541</w:t>
            </w:r>
          </w:p>
        </w:tc>
        <w:tc>
          <w:tcPr>
            <w:tcW w:type="dxa" w:w="710"/>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4"/>
                <w:szCs w:val="14"/>
              </w:rPr>
              <w:t xml:space="preserve">0.813</w:t>
            </w:r>
          </w:p>
        </w:tc>
        <w:tc>
          <w:tcPr>
            <w:tcW w:type="dxa" w:w="615"/>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4"/>
                <w:szCs w:val="14"/>
              </w:rPr>
              <w:t xml:space="preserve">1.40</w:t>
            </w:r>
          </w:p>
        </w:tc>
      </w:tr>
      <w:tr>
        <w:trPr>
          <w:cantSplit/>
        </w:trPr>
        <w:tc>
          <w:tcPr>
            <w:tcW w:type="dxa" w:w="2030"/>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4"/>
                <w:szCs w:val="14"/>
              </w:rPr>
              <w:t xml:space="preserve">DANN</w:t>
            </w:r>
          </w:p>
        </w:tc>
        <w:tc>
          <w:tcPr>
            <w:tcW w:type="dxa" w:w="710"/>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4"/>
                <w:szCs w:val="14"/>
              </w:rPr>
              <w:t xml:space="preserve">0.458</w:t>
            </w:r>
          </w:p>
        </w:tc>
        <w:tc>
          <w:tcPr>
            <w:tcW w:type="dxa" w:w="710"/>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4"/>
                <w:szCs w:val="14"/>
              </w:rPr>
              <w:t xml:space="preserve">0.455</w:t>
            </w:r>
          </w:p>
        </w:tc>
        <w:tc>
          <w:tcPr>
            <w:tcW w:type="dxa" w:w="710"/>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4"/>
                <w:szCs w:val="14"/>
              </w:rPr>
              <w:t xml:space="preserve">0.662</w:t>
            </w:r>
          </w:p>
        </w:tc>
        <w:tc>
          <w:tcPr>
            <w:tcW w:type="dxa" w:w="710"/>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4"/>
                <w:szCs w:val="14"/>
              </w:rPr>
              <w:t xml:space="preserve">0.080</w:t>
            </w:r>
          </w:p>
        </w:tc>
        <w:tc>
          <w:tcPr>
            <w:tcW w:type="dxa" w:w="710"/>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4"/>
                <w:szCs w:val="14"/>
              </w:rPr>
              <w:t xml:space="preserve">0.654</w:t>
            </w:r>
          </w:p>
        </w:tc>
        <w:tc>
          <w:tcPr>
            <w:tcW w:type="dxa" w:w="1522"/>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4"/>
                <w:szCs w:val="14"/>
              </w:rPr>
              <w:t xml:space="preserve">20.4 (16.2, 24.5)</w:t>
            </w:r>
          </w:p>
        </w:tc>
        <w:tc>
          <w:tcPr>
            <w:tcW w:type="dxa" w:w="609"/>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4"/>
                <w:szCs w:val="14"/>
              </w:rPr>
              <w:t xml:space="preserve">12.0</w:t>
            </w:r>
          </w:p>
        </w:tc>
        <w:tc>
          <w:tcPr>
            <w:tcW w:type="dxa" w:w="710"/>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4"/>
                <w:szCs w:val="14"/>
              </w:rPr>
              <w:t xml:space="preserve">0.528</w:t>
            </w:r>
          </w:p>
        </w:tc>
        <w:tc>
          <w:tcPr>
            <w:tcW w:type="dxa" w:w="710"/>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4"/>
                <w:szCs w:val="14"/>
              </w:rPr>
              <w:t xml:space="preserve">0.800</w:t>
            </w:r>
          </w:p>
        </w:tc>
        <w:tc>
          <w:tcPr>
            <w:tcW w:type="dxa" w:w="615"/>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4"/>
                <w:szCs w:val="14"/>
              </w:rPr>
              <w:t xml:space="preserve">2.40</w:t>
            </w:r>
          </w:p>
        </w:tc>
      </w:tr>
      <w:tr>
        <w:trPr>
          <w:cantSplit/>
        </w:trPr>
        <w:tc>
          <w:tcPr>
            <w:tcW w:type="dxa" w:w="2030"/>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4"/>
                <w:szCs w:val="14"/>
              </w:rPr>
              <w:t xml:space="preserve">PseudoLabel</w:t>
            </w:r>
          </w:p>
        </w:tc>
        <w:tc>
          <w:tcPr>
            <w:tcW w:type="dxa" w:w="710"/>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4"/>
                <w:szCs w:val="14"/>
              </w:rPr>
              <w:t xml:space="preserve">0.468</w:t>
            </w:r>
          </w:p>
        </w:tc>
        <w:tc>
          <w:tcPr>
            <w:tcW w:type="dxa" w:w="710"/>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4"/>
                <w:szCs w:val="14"/>
              </w:rPr>
              <w:t xml:space="preserve">0.466</w:t>
            </w:r>
          </w:p>
        </w:tc>
        <w:tc>
          <w:tcPr>
            <w:tcW w:type="dxa" w:w="710"/>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4"/>
                <w:szCs w:val="14"/>
              </w:rPr>
              <w:t xml:space="preserve">0.657</w:t>
            </w:r>
          </w:p>
        </w:tc>
        <w:tc>
          <w:tcPr>
            <w:tcW w:type="dxa" w:w="710"/>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4"/>
                <w:szCs w:val="14"/>
              </w:rPr>
              <w:t xml:space="preserve">0.072</w:t>
            </w:r>
          </w:p>
        </w:tc>
        <w:tc>
          <w:tcPr>
            <w:tcW w:type="dxa" w:w="710"/>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4"/>
                <w:szCs w:val="14"/>
              </w:rPr>
              <w:t xml:space="preserve">0.654</w:t>
            </w:r>
          </w:p>
        </w:tc>
        <w:tc>
          <w:tcPr>
            <w:tcW w:type="dxa" w:w="1522"/>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4"/>
                <w:szCs w:val="14"/>
              </w:rPr>
              <w:t xml:space="preserve">18.9 (14.4, 23.7)</w:t>
            </w:r>
          </w:p>
        </w:tc>
        <w:tc>
          <w:tcPr>
            <w:tcW w:type="dxa" w:w="609"/>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4"/>
                <w:szCs w:val="14"/>
              </w:rPr>
              <w:t xml:space="preserve">10.9</w:t>
            </w:r>
          </w:p>
        </w:tc>
        <w:tc>
          <w:tcPr>
            <w:tcW w:type="dxa" w:w="710"/>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4"/>
                <w:szCs w:val="14"/>
              </w:rPr>
              <w:t xml:space="preserve">0.538</w:t>
            </w:r>
          </w:p>
        </w:tc>
        <w:tc>
          <w:tcPr>
            <w:tcW w:type="dxa" w:w="710"/>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4"/>
                <w:szCs w:val="14"/>
              </w:rPr>
              <w:t xml:space="preserve">0.766</w:t>
            </w:r>
          </w:p>
        </w:tc>
        <w:tc>
          <w:tcPr>
            <w:tcW w:type="dxa" w:w="615"/>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4"/>
                <w:szCs w:val="14"/>
              </w:rPr>
              <w:t xml:space="preserve">2.53</w:t>
            </w:r>
          </w:p>
        </w:tc>
      </w:tr>
      <w:tr>
        <w:trPr>
          <w:cantSplit/>
        </w:trPr>
        <w:tc>
          <w:tcPr>
            <w:tcW w:type="dxa" w:w="2030"/>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4"/>
                <w:szCs w:val="14"/>
              </w:rPr>
              <w:t xml:space="preserve">BYOL</w:t>
            </w:r>
          </w:p>
        </w:tc>
        <w:tc>
          <w:tcPr>
            <w:tcW w:type="dxa" w:w="710"/>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4"/>
                <w:szCs w:val="14"/>
              </w:rPr>
              <w:t xml:space="preserve">0.431</w:t>
            </w:r>
          </w:p>
        </w:tc>
        <w:tc>
          <w:tcPr>
            <w:tcW w:type="dxa" w:w="710"/>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4"/>
                <w:szCs w:val="14"/>
              </w:rPr>
              <w:t xml:space="preserve">0.423</w:t>
            </w:r>
          </w:p>
        </w:tc>
        <w:tc>
          <w:tcPr>
            <w:tcW w:type="dxa" w:w="710"/>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4"/>
                <w:szCs w:val="14"/>
              </w:rPr>
              <w:t xml:space="preserve">0.609</w:t>
            </w:r>
          </w:p>
        </w:tc>
        <w:tc>
          <w:tcPr>
            <w:tcW w:type="dxa" w:w="710"/>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4"/>
                <w:szCs w:val="14"/>
              </w:rPr>
              <w:t xml:space="preserve">0.074</w:t>
            </w:r>
          </w:p>
        </w:tc>
        <w:tc>
          <w:tcPr>
            <w:tcW w:type="dxa" w:w="710"/>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4"/>
                <w:szCs w:val="14"/>
              </w:rPr>
              <w:t xml:space="preserve">0.594</w:t>
            </w:r>
          </w:p>
        </w:tc>
        <w:tc>
          <w:tcPr>
            <w:tcW w:type="dxa" w:w="1522"/>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4"/>
                <w:szCs w:val="14"/>
              </w:rPr>
              <w:t xml:space="preserve">17.8 (15.3, 20.2)</w:t>
            </w:r>
          </w:p>
        </w:tc>
        <w:tc>
          <w:tcPr>
            <w:tcW w:type="dxa" w:w="609"/>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4"/>
                <w:szCs w:val="14"/>
              </w:rPr>
              <w:t xml:space="preserve">12.2</w:t>
            </w:r>
          </w:p>
        </w:tc>
        <w:tc>
          <w:tcPr>
            <w:tcW w:type="dxa" w:w="710"/>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4"/>
                <w:szCs w:val="14"/>
              </w:rPr>
              <w:t xml:space="preserve">0.476</w:t>
            </w:r>
          </w:p>
        </w:tc>
        <w:tc>
          <w:tcPr>
            <w:tcW w:type="dxa" w:w="710"/>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4"/>
                <w:szCs w:val="14"/>
              </w:rPr>
              <w:t xml:space="preserve">0.718</w:t>
            </w:r>
          </w:p>
        </w:tc>
        <w:tc>
          <w:tcPr>
            <w:tcW w:type="dxa" w:w="615"/>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4"/>
                <w:szCs w:val="14"/>
              </w:rPr>
              <w:t xml:space="preserve">4.07</w:t>
            </w:r>
          </w:p>
        </w:tc>
      </w:tr>
      <w:tr>
        <w:trPr>
          <w:cantSplit/>
        </w:trPr>
        <w:tc>
          <w:tcPr>
            <w:tcW w:type="dxa" w:w="2030"/>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4"/>
                <w:szCs w:val="14"/>
              </w:rPr>
              <w:t xml:space="preserve">SimCLR</w:t>
            </w:r>
          </w:p>
        </w:tc>
        <w:tc>
          <w:tcPr>
            <w:tcW w:type="dxa" w:w="710"/>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4"/>
                <w:szCs w:val="14"/>
              </w:rPr>
              <w:t xml:space="preserve">0.410</w:t>
            </w:r>
          </w:p>
        </w:tc>
        <w:tc>
          <w:tcPr>
            <w:tcW w:type="dxa" w:w="710"/>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4"/>
                <w:szCs w:val="14"/>
              </w:rPr>
              <w:t xml:space="preserve">0.405</w:t>
            </w:r>
          </w:p>
        </w:tc>
        <w:tc>
          <w:tcPr>
            <w:tcW w:type="dxa" w:w="710"/>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4"/>
                <w:szCs w:val="14"/>
              </w:rPr>
              <w:t xml:space="preserve">0.575</w:t>
            </w:r>
          </w:p>
        </w:tc>
        <w:tc>
          <w:tcPr>
            <w:tcW w:type="dxa" w:w="710"/>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4"/>
                <w:szCs w:val="14"/>
              </w:rPr>
              <w:t xml:space="preserve">0.078</w:t>
            </w:r>
          </w:p>
        </w:tc>
        <w:tc>
          <w:tcPr>
            <w:tcW w:type="dxa" w:w="710"/>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4"/>
                <w:szCs w:val="14"/>
              </w:rPr>
              <w:t xml:space="preserve">0.557</w:t>
            </w:r>
          </w:p>
        </w:tc>
        <w:tc>
          <w:tcPr>
            <w:tcW w:type="dxa" w:w="1522"/>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4"/>
                <w:szCs w:val="14"/>
              </w:rPr>
              <w:t xml:space="preserve">16.4 (13.2, 19.5)</w:t>
            </w:r>
          </w:p>
        </w:tc>
        <w:tc>
          <w:tcPr>
            <w:tcW w:type="dxa" w:w="609"/>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4"/>
                <w:szCs w:val="14"/>
              </w:rPr>
              <w:t xml:space="preserve">13.6</w:t>
            </w:r>
          </w:p>
        </w:tc>
        <w:tc>
          <w:tcPr>
            <w:tcW w:type="dxa" w:w="710"/>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4"/>
                <w:szCs w:val="14"/>
              </w:rPr>
              <w:t xml:space="preserve">0.461</w:t>
            </w:r>
          </w:p>
        </w:tc>
        <w:tc>
          <w:tcPr>
            <w:tcW w:type="dxa" w:w="710"/>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4"/>
                <w:szCs w:val="14"/>
              </w:rPr>
              <w:t xml:space="preserve">0.692</w:t>
            </w:r>
          </w:p>
        </w:tc>
        <w:tc>
          <w:tcPr>
            <w:tcW w:type="dxa" w:w="615"/>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4"/>
                <w:szCs w:val="14"/>
              </w:rPr>
              <w:t xml:space="preserve">5.80</w:t>
            </w:r>
          </w:p>
        </w:tc>
      </w:tr>
      <w:tr>
        <w:trPr>
          <w:cantSplit/>
        </w:trPr>
        <w:tc>
          <w:tcPr>
            <w:tcW w:type="dxa" w:w="2030"/>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4"/>
                <w:szCs w:val="14"/>
              </w:rPr>
              <w:t xml:space="preserve">MixMatch</w:t>
            </w:r>
          </w:p>
        </w:tc>
        <w:tc>
          <w:tcPr>
            <w:tcW w:type="dxa" w:w="710"/>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4"/>
                <w:szCs w:val="14"/>
              </w:rPr>
              <w:t xml:space="preserve">0.285</w:t>
            </w:r>
          </w:p>
        </w:tc>
        <w:tc>
          <w:tcPr>
            <w:tcW w:type="dxa" w:w="710"/>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4"/>
                <w:szCs w:val="14"/>
              </w:rPr>
              <w:t xml:space="preserve">0.243</w:t>
            </w:r>
          </w:p>
        </w:tc>
        <w:tc>
          <w:tcPr>
            <w:tcW w:type="dxa" w:w="710"/>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4"/>
                <w:szCs w:val="14"/>
              </w:rPr>
              <w:t xml:space="preserve">0.535</w:t>
            </w:r>
          </w:p>
        </w:tc>
        <w:tc>
          <w:tcPr>
            <w:tcW w:type="dxa" w:w="710"/>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4"/>
                <w:szCs w:val="14"/>
              </w:rPr>
              <w:t xml:space="preserve">0.087</w:t>
            </w:r>
          </w:p>
        </w:tc>
        <w:tc>
          <w:tcPr>
            <w:tcW w:type="dxa" w:w="710"/>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4"/>
                <w:szCs w:val="14"/>
              </w:rPr>
              <w:t xml:space="preserve">0.522</w:t>
            </w:r>
          </w:p>
        </w:tc>
        <w:tc>
          <w:tcPr>
            <w:tcW w:type="dxa" w:w="1522"/>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4"/>
                <w:szCs w:val="14"/>
              </w:rPr>
              <w:t xml:space="preserve">25.0 (22.0, 28.0)</w:t>
            </w:r>
          </w:p>
        </w:tc>
        <w:tc>
          <w:tcPr>
            <w:tcW w:type="dxa" w:w="609"/>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4"/>
                <w:szCs w:val="14"/>
              </w:rPr>
              <w:t xml:space="preserve">16.3</w:t>
            </w:r>
          </w:p>
        </w:tc>
        <w:tc>
          <w:tcPr>
            <w:tcW w:type="dxa" w:w="710"/>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4"/>
                <w:szCs w:val="14"/>
              </w:rPr>
              <w:t xml:space="preserve">0.380</w:t>
            </w:r>
          </w:p>
        </w:tc>
        <w:tc>
          <w:tcPr>
            <w:tcW w:type="dxa" w:w="710"/>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4"/>
                <w:szCs w:val="14"/>
              </w:rPr>
              <w:t xml:space="preserve">0.692</w:t>
            </w:r>
          </w:p>
        </w:tc>
        <w:tc>
          <w:tcPr>
            <w:tcW w:type="dxa" w:w="615"/>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4"/>
                <w:szCs w:val="14"/>
              </w:rPr>
              <w:t xml:space="preserve">7.33</w:t>
            </w:r>
          </w:p>
        </w:tc>
      </w:tr>
      <w:tr>
        <w:trPr>
          <w:cantSplit/>
        </w:trPr>
        <w:tc>
          <w:tcPr>
            <w:tcW w:type="dxa" w:w="2030"/>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4"/>
                <w:szCs w:val="14"/>
              </w:rPr>
              <w:t xml:space="preserve">DANCE teacher</w:t>
            </w:r>
          </w:p>
        </w:tc>
        <w:tc>
          <w:tcPr>
            <w:tcW w:type="dxa" w:w="710"/>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4"/>
                <w:szCs w:val="14"/>
              </w:rPr>
              <w:t xml:space="preserve">0.419</w:t>
            </w:r>
          </w:p>
        </w:tc>
        <w:tc>
          <w:tcPr>
            <w:tcW w:type="dxa" w:w="710"/>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4"/>
                <w:szCs w:val="14"/>
              </w:rPr>
              <w:t xml:space="preserve">0.408</w:t>
            </w:r>
          </w:p>
        </w:tc>
        <w:tc>
          <w:tcPr>
            <w:tcW w:type="dxa" w:w="710"/>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4"/>
                <w:szCs w:val="14"/>
              </w:rPr>
              <w:t xml:space="preserve">0.519</w:t>
            </w:r>
          </w:p>
        </w:tc>
        <w:tc>
          <w:tcPr>
            <w:tcW w:type="dxa" w:w="710"/>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4"/>
                <w:szCs w:val="14"/>
              </w:rPr>
              <w:t xml:space="preserve">0.080</w:t>
            </w:r>
          </w:p>
        </w:tc>
        <w:tc>
          <w:tcPr>
            <w:tcW w:type="dxa" w:w="710"/>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4"/>
                <w:szCs w:val="14"/>
              </w:rPr>
              <w:t xml:space="preserve">0.503</w:t>
            </w:r>
          </w:p>
        </w:tc>
        <w:tc>
          <w:tcPr>
            <w:tcW w:type="dxa" w:w="1522"/>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4"/>
                <w:szCs w:val="14"/>
              </w:rPr>
              <w:t xml:space="preserve">10.0 (7.0, 13.2)</w:t>
            </w:r>
          </w:p>
        </w:tc>
        <w:tc>
          <w:tcPr>
            <w:tcW w:type="dxa" w:w="609"/>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4"/>
                <w:szCs w:val="14"/>
              </w:rPr>
              <w:t xml:space="preserve">15.4</w:t>
            </w:r>
          </w:p>
        </w:tc>
        <w:tc>
          <w:tcPr>
            <w:tcW w:type="dxa" w:w="710"/>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4"/>
                <w:szCs w:val="14"/>
              </w:rPr>
              <w:t xml:space="preserve">0.409</w:t>
            </w:r>
          </w:p>
        </w:tc>
        <w:tc>
          <w:tcPr>
            <w:tcW w:type="dxa" w:w="710"/>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4"/>
                <w:szCs w:val="14"/>
              </w:rPr>
              <w:t xml:space="preserve">0.677</w:t>
            </w:r>
          </w:p>
        </w:tc>
        <w:tc>
          <w:tcPr>
            <w:tcW w:type="dxa" w:w="615"/>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4"/>
                <w:szCs w:val="14"/>
              </w:rPr>
              <w:t xml:space="preserve">8.20</w:t>
            </w:r>
          </w:p>
        </w:tc>
      </w:tr>
      <w:tr>
        <w:trPr>
          <w:cantSplit/>
        </w:trPr>
        <w:tc>
          <w:tcPr>
            <w:tcW w:type="dxa" w:w="2030"/>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4"/>
                <w:szCs w:val="14"/>
              </w:rPr>
              <w:t xml:space="preserve">Two-layer perceptron</w:t>
            </w:r>
          </w:p>
        </w:tc>
        <w:tc>
          <w:tcPr>
            <w:tcW w:type="dxa" w:w="710"/>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4"/>
                <w:szCs w:val="14"/>
              </w:rPr>
              <w:t xml:space="preserve">0.476</w:t>
            </w:r>
          </w:p>
        </w:tc>
        <w:tc>
          <w:tcPr>
            <w:tcW w:type="dxa" w:w="710"/>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4"/>
                <w:szCs w:val="14"/>
              </w:rPr>
              <w:t xml:space="preserve">0.474</w:t>
            </w:r>
          </w:p>
        </w:tc>
        <w:tc>
          <w:tcPr>
            <w:tcW w:type="dxa" w:w="710"/>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4"/>
                <w:szCs w:val="14"/>
              </w:rPr>
              <w:t xml:space="preserve">0.496</w:t>
            </w:r>
          </w:p>
        </w:tc>
        <w:tc>
          <w:tcPr>
            <w:tcW w:type="dxa" w:w="710"/>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4"/>
                <w:szCs w:val="14"/>
              </w:rPr>
              <w:t xml:space="preserve">0.096</w:t>
            </w:r>
          </w:p>
        </w:tc>
        <w:tc>
          <w:tcPr>
            <w:tcW w:type="dxa" w:w="710"/>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4"/>
                <w:szCs w:val="14"/>
              </w:rPr>
              <w:t xml:space="preserve">0.493</w:t>
            </w:r>
          </w:p>
        </w:tc>
        <w:tc>
          <w:tcPr>
            <w:tcW w:type="dxa" w:w="1522"/>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4"/>
                <w:szCs w:val="14"/>
              </w:rPr>
              <w:t xml:space="preserve">2.0 (0.9, 3.1)</w:t>
            </w:r>
          </w:p>
        </w:tc>
        <w:tc>
          <w:tcPr>
            <w:tcW w:type="dxa" w:w="609"/>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4"/>
                <w:szCs w:val="14"/>
              </w:rPr>
              <w:t xml:space="preserve">19.4</w:t>
            </w:r>
          </w:p>
        </w:tc>
        <w:tc>
          <w:tcPr>
            <w:tcW w:type="dxa" w:w="710"/>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4"/>
                <w:szCs w:val="14"/>
              </w:rPr>
              <w:t xml:space="preserve">0.305</w:t>
            </w:r>
          </w:p>
        </w:tc>
        <w:tc>
          <w:tcPr>
            <w:tcW w:type="dxa" w:w="710"/>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4"/>
                <w:szCs w:val="14"/>
              </w:rPr>
              <w:t xml:space="preserve">0.710</w:t>
            </w:r>
          </w:p>
        </w:tc>
        <w:tc>
          <w:tcPr>
            <w:tcW w:type="dxa" w:w="615"/>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4"/>
                <w:szCs w:val="14"/>
              </w:rPr>
              <w:t xml:space="preserve">8.33</w:t>
            </w:r>
          </w:p>
        </w:tc>
      </w:tr>
      <w:tr>
        <w:trPr>
          <w:cantSplit/>
        </w:trPr>
        <w:tc>
          <w:tcPr>
            <w:tcW w:type="dxa" w:w="2030"/>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4"/>
                <w:szCs w:val="14"/>
              </w:rPr>
              <w:t xml:space="preserve">Deep perceptron</w:t>
            </w:r>
          </w:p>
        </w:tc>
        <w:tc>
          <w:tcPr>
            <w:tcW w:type="dxa" w:w="710"/>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4"/>
                <w:szCs w:val="14"/>
              </w:rPr>
              <w:t xml:space="preserve">0.479</w:t>
            </w:r>
          </w:p>
        </w:tc>
        <w:tc>
          <w:tcPr>
            <w:tcW w:type="dxa" w:w="710"/>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4"/>
                <w:szCs w:val="14"/>
              </w:rPr>
              <w:t xml:space="preserve">0.476</w:t>
            </w:r>
          </w:p>
        </w:tc>
        <w:tc>
          <w:tcPr>
            <w:tcW w:type="dxa" w:w="710"/>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4"/>
                <w:szCs w:val="14"/>
              </w:rPr>
              <w:t xml:space="preserve">0.492</w:t>
            </w:r>
          </w:p>
        </w:tc>
        <w:tc>
          <w:tcPr>
            <w:tcW w:type="dxa" w:w="710"/>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4"/>
                <w:szCs w:val="14"/>
              </w:rPr>
              <w:t xml:space="preserve">0.100</w:t>
            </w:r>
          </w:p>
        </w:tc>
        <w:tc>
          <w:tcPr>
            <w:tcW w:type="dxa" w:w="710"/>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4"/>
                <w:szCs w:val="14"/>
              </w:rPr>
              <w:t xml:space="preserve">0.489</w:t>
            </w:r>
          </w:p>
        </w:tc>
        <w:tc>
          <w:tcPr>
            <w:tcW w:type="dxa" w:w="1522"/>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4"/>
                <w:szCs w:val="14"/>
              </w:rPr>
              <w:t xml:space="preserve">1.3 (0.3, 2.4)</w:t>
            </w:r>
          </w:p>
        </w:tc>
        <w:tc>
          <w:tcPr>
            <w:tcW w:type="dxa" w:w="609"/>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4"/>
                <w:szCs w:val="14"/>
              </w:rPr>
              <w:t xml:space="preserve">20.3</w:t>
            </w:r>
          </w:p>
        </w:tc>
        <w:tc>
          <w:tcPr>
            <w:tcW w:type="dxa" w:w="710"/>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4"/>
                <w:szCs w:val="14"/>
              </w:rPr>
              <w:t xml:space="preserve">0.306</w:t>
            </w:r>
          </w:p>
        </w:tc>
        <w:tc>
          <w:tcPr>
            <w:tcW w:type="dxa" w:w="710"/>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4"/>
                <w:szCs w:val="14"/>
              </w:rPr>
              <w:t xml:space="preserve">0.704</w:t>
            </w:r>
          </w:p>
        </w:tc>
        <w:tc>
          <w:tcPr>
            <w:tcW w:type="dxa" w:w="615"/>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4"/>
                <w:szCs w:val="14"/>
              </w:rPr>
              <w:t xml:space="preserve">8.67</w:t>
            </w:r>
          </w:p>
        </w:tc>
      </w:tr>
      <w:tr>
        <w:trPr>
          <w:cantSplit/>
        </w:trPr>
        <w:tc>
          <w:tcPr>
            <w:tcW w:type="dxa" w:w="2030"/>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4"/>
                <w:szCs w:val="14"/>
              </w:rPr>
              <w:t xml:space="preserve">EEG Conformer</w:t>
            </w:r>
          </w:p>
        </w:tc>
        <w:tc>
          <w:tcPr>
            <w:tcW w:type="dxa" w:w="710"/>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4"/>
                <w:szCs w:val="14"/>
              </w:rPr>
              <w:t xml:space="preserve">0.453</w:t>
            </w:r>
          </w:p>
        </w:tc>
        <w:tc>
          <w:tcPr>
            <w:tcW w:type="dxa" w:w="710"/>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4"/>
                <w:szCs w:val="14"/>
              </w:rPr>
              <w:t xml:space="preserve">0.447</w:t>
            </w:r>
          </w:p>
        </w:tc>
        <w:tc>
          <w:tcPr>
            <w:tcW w:type="dxa" w:w="710"/>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4"/>
                <w:szCs w:val="14"/>
              </w:rPr>
              <w:t xml:space="preserve">0.459</w:t>
            </w:r>
          </w:p>
        </w:tc>
        <w:tc>
          <w:tcPr>
            <w:tcW w:type="dxa" w:w="710"/>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4"/>
                <w:szCs w:val="14"/>
              </w:rPr>
              <w:t xml:space="preserve">0.109</w:t>
            </w:r>
          </w:p>
        </w:tc>
        <w:tc>
          <w:tcPr>
            <w:tcW w:type="dxa" w:w="710"/>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4"/>
                <w:szCs w:val="14"/>
              </w:rPr>
              <w:t xml:space="preserve">0.454</w:t>
            </w:r>
          </w:p>
        </w:tc>
        <w:tc>
          <w:tcPr>
            <w:tcW w:type="dxa" w:w="1522"/>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4"/>
                <w:szCs w:val="14"/>
              </w:rPr>
              <w:t xml:space="preserve">0.7 (−0.0, 1.5)</w:t>
            </w:r>
          </w:p>
        </w:tc>
        <w:tc>
          <w:tcPr>
            <w:tcW w:type="dxa" w:w="609"/>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4"/>
                <w:szCs w:val="14"/>
              </w:rPr>
              <w:t xml:space="preserve">23.8</w:t>
            </w:r>
          </w:p>
        </w:tc>
        <w:tc>
          <w:tcPr>
            <w:tcW w:type="dxa" w:w="710"/>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4"/>
                <w:szCs w:val="14"/>
              </w:rPr>
              <w:t xml:space="preserve">0.248</w:t>
            </w:r>
          </w:p>
        </w:tc>
        <w:tc>
          <w:tcPr>
            <w:tcW w:type="dxa" w:w="710"/>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4"/>
                <w:szCs w:val="14"/>
              </w:rPr>
              <w:t xml:space="preserve">0.635</w:t>
            </w:r>
          </w:p>
        </w:tc>
        <w:tc>
          <w:tcPr>
            <w:tcW w:type="dxa" w:w="615"/>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4"/>
                <w:szCs w:val="14"/>
              </w:rPr>
              <w:t xml:space="preserve">10.53</w:t>
            </w:r>
          </w:p>
        </w:tc>
      </w:tr>
      <w:tr>
        <w:trPr>
          <w:cantSplit/>
        </w:trPr>
        <w:tc>
          <w:tcPr>
            <w:tcW w:type="dxa" w:w="2030"/>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4"/>
                <w:szCs w:val="14"/>
              </w:rPr>
              <w:t xml:space="preserve">Conv1D</w:t>
            </w:r>
          </w:p>
        </w:tc>
        <w:tc>
          <w:tcPr>
            <w:tcW w:type="dxa" w:w="710"/>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4"/>
                <w:szCs w:val="14"/>
              </w:rPr>
              <w:t xml:space="preserve">0.430</w:t>
            </w:r>
          </w:p>
        </w:tc>
        <w:tc>
          <w:tcPr>
            <w:tcW w:type="dxa" w:w="710"/>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4"/>
                <w:szCs w:val="14"/>
              </w:rPr>
              <w:t xml:space="preserve">0.419</w:t>
            </w:r>
          </w:p>
        </w:tc>
        <w:tc>
          <w:tcPr>
            <w:tcW w:type="dxa" w:w="710"/>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4"/>
                <w:szCs w:val="14"/>
              </w:rPr>
              <w:t xml:space="preserve">0.445</w:t>
            </w:r>
          </w:p>
        </w:tc>
        <w:tc>
          <w:tcPr>
            <w:tcW w:type="dxa" w:w="710"/>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4"/>
                <w:szCs w:val="14"/>
              </w:rPr>
              <w:t xml:space="preserve">0.103</w:t>
            </w:r>
          </w:p>
        </w:tc>
        <w:tc>
          <w:tcPr>
            <w:tcW w:type="dxa" w:w="710"/>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4"/>
                <w:szCs w:val="14"/>
              </w:rPr>
              <w:t xml:space="preserve">0.438</w:t>
            </w:r>
          </w:p>
        </w:tc>
        <w:tc>
          <w:tcPr>
            <w:tcW w:type="dxa" w:w="1522"/>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4"/>
                <w:szCs w:val="14"/>
              </w:rPr>
              <w:t xml:space="preserve">1.5 (0.5, 2.7)</w:t>
            </w:r>
          </w:p>
        </w:tc>
        <w:tc>
          <w:tcPr>
            <w:tcW w:type="dxa" w:w="609"/>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4"/>
                <w:szCs w:val="14"/>
              </w:rPr>
              <w:t xml:space="preserve">23.2</w:t>
            </w:r>
          </w:p>
        </w:tc>
        <w:tc>
          <w:tcPr>
            <w:tcW w:type="dxa" w:w="710"/>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4"/>
                <w:szCs w:val="14"/>
              </w:rPr>
              <w:t xml:space="preserve">0.291</w:t>
            </w:r>
          </w:p>
        </w:tc>
        <w:tc>
          <w:tcPr>
            <w:tcW w:type="dxa" w:w="710"/>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4"/>
                <w:szCs w:val="14"/>
              </w:rPr>
              <w:t xml:space="preserve">0.677</w:t>
            </w:r>
          </w:p>
        </w:tc>
        <w:tc>
          <w:tcPr>
            <w:tcW w:type="dxa" w:w="615"/>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4"/>
                <w:szCs w:val="14"/>
              </w:rPr>
              <w:t xml:space="preserve">11.57</w:t>
            </w:r>
          </w:p>
        </w:tc>
      </w:tr>
      <w:tr>
        <w:trPr>
          <w:cantSplit/>
        </w:trPr>
        <w:tc>
          <w:tcPr>
            <w:tcW w:type="dxa" w:w="2030"/>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4"/>
                <w:szCs w:val="14"/>
              </w:rPr>
              <w:t xml:space="preserve">GRU</w:t>
            </w:r>
          </w:p>
        </w:tc>
        <w:tc>
          <w:tcPr>
            <w:tcW w:type="dxa" w:w="710"/>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4"/>
                <w:szCs w:val="14"/>
              </w:rPr>
              <w:t xml:space="preserve">0.439</w:t>
            </w:r>
          </w:p>
        </w:tc>
        <w:tc>
          <w:tcPr>
            <w:tcW w:type="dxa" w:w="710"/>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4"/>
                <w:szCs w:val="14"/>
              </w:rPr>
              <w:t xml:space="preserve">0.431</w:t>
            </w:r>
          </w:p>
        </w:tc>
        <w:tc>
          <w:tcPr>
            <w:tcW w:type="dxa" w:w="710"/>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4"/>
                <w:szCs w:val="14"/>
              </w:rPr>
              <w:t xml:space="preserve">0.441</w:t>
            </w:r>
          </w:p>
        </w:tc>
        <w:tc>
          <w:tcPr>
            <w:tcW w:type="dxa" w:w="710"/>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4"/>
                <w:szCs w:val="14"/>
              </w:rPr>
              <w:t xml:space="preserve">0.104</w:t>
            </w:r>
          </w:p>
        </w:tc>
        <w:tc>
          <w:tcPr>
            <w:tcW w:type="dxa" w:w="710"/>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4"/>
                <w:szCs w:val="14"/>
              </w:rPr>
              <w:t xml:space="preserve">0.434</w:t>
            </w:r>
          </w:p>
        </w:tc>
        <w:tc>
          <w:tcPr>
            <w:tcW w:type="dxa" w:w="1522"/>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4"/>
                <w:szCs w:val="14"/>
              </w:rPr>
              <w:t xml:space="preserve">0.2 (0.1, 0.4)</w:t>
            </w:r>
          </w:p>
        </w:tc>
        <w:tc>
          <w:tcPr>
            <w:tcW w:type="dxa" w:w="609"/>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4"/>
                <w:szCs w:val="14"/>
              </w:rPr>
              <w:t xml:space="preserve">23.5</w:t>
            </w:r>
          </w:p>
        </w:tc>
        <w:tc>
          <w:tcPr>
            <w:tcW w:type="dxa" w:w="710"/>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4"/>
                <w:szCs w:val="14"/>
              </w:rPr>
              <w:t xml:space="preserve">0.273</w:t>
            </w:r>
          </w:p>
        </w:tc>
        <w:tc>
          <w:tcPr>
            <w:tcW w:type="dxa" w:w="710"/>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4"/>
                <w:szCs w:val="14"/>
              </w:rPr>
              <w:t xml:space="preserve">0.691</w:t>
            </w:r>
          </w:p>
        </w:tc>
        <w:tc>
          <w:tcPr>
            <w:tcW w:type="dxa" w:w="615"/>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4"/>
                <w:szCs w:val="14"/>
              </w:rPr>
              <w:t xml:space="preserve">11.70</w:t>
            </w:r>
          </w:p>
        </w:tc>
      </w:tr>
      <w:tr>
        <w:trPr>
          <w:cantSplit/>
        </w:trPr>
        <w:tc>
          <w:tcPr>
            <w:tcW w:type="dxa" w:w="2030"/>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4"/>
                <w:szCs w:val="14"/>
              </w:rPr>
              <w:t xml:space="preserve">ChanDrop transformer</w:t>
            </w:r>
          </w:p>
        </w:tc>
        <w:tc>
          <w:tcPr>
            <w:tcW w:type="dxa" w:w="710"/>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4"/>
                <w:szCs w:val="14"/>
              </w:rPr>
              <w:t xml:space="preserve">0.430</w:t>
            </w:r>
          </w:p>
        </w:tc>
        <w:tc>
          <w:tcPr>
            <w:tcW w:type="dxa" w:w="710"/>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4"/>
                <w:szCs w:val="14"/>
              </w:rPr>
              <w:t xml:space="preserve">0.418</w:t>
            </w:r>
          </w:p>
        </w:tc>
        <w:tc>
          <w:tcPr>
            <w:tcW w:type="dxa" w:w="710"/>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4"/>
                <w:szCs w:val="14"/>
              </w:rPr>
              <w:t xml:space="preserve">0.431</w:t>
            </w:r>
          </w:p>
        </w:tc>
        <w:tc>
          <w:tcPr>
            <w:tcW w:type="dxa" w:w="710"/>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4"/>
                <w:szCs w:val="14"/>
              </w:rPr>
              <w:t xml:space="preserve">0.064</w:t>
            </w:r>
          </w:p>
        </w:tc>
        <w:tc>
          <w:tcPr>
            <w:tcW w:type="dxa" w:w="710"/>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4"/>
                <w:szCs w:val="14"/>
              </w:rPr>
              <w:t xml:space="preserve">0.419</w:t>
            </w:r>
          </w:p>
        </w:tc>
        <w:tc>
          <w:tcPr>
            <w:tcW w:type="dxa" w:w="1522"/>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4"/>
                <w:szCs w:val="14"/>
              </w:rPr>
              <w:t xml:space="preserve">0.1 (0.1, 0.2)</w:t>
            </w:r>
          </w:p>
        </w:tc>
        <w:tc>
          <w:tcPr>
            <w:tcW w:type="dxa" w:w="609"/>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4"/>
                <w:szCs w:val="14"/>
              </w:rPr>
              <w:t xml:space="preserve">14.8</w:t>
            </w:r>
          </w:p>
        </w:tc>
        <w:tc>
          <w:tcPr>
            <w:tcW w:type="dxa" w:w="710"/>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4"/>
                <w:szCs w:val="14"/>
              </w:rPr>
              <w:t xml:space="preserve">0.335</w:t>
            </w:r>
          </w:p>
        </w:tc>
        <w:tc>
          <w:tcPr>
            <w:tcW w:type="dxa" w:w="710"/>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4"/>
                <w:szCs w:val="14"/>
              </w:rPr>
              <w:t xml:space="preserve">0.579</w:t>
            </w:r>
          </w:p>
        </w:tc>
        <w:tc>
          <w:tcPr>
            <w:tcW w:type="dxa" w:w="615"/>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4"/>
                <w:szCs w:val="14"/>
              </w:rPr>
              <w:t xml:space="preserve">12.07</w:t>
            </w:r>
          </w:p>
        </w:tc>
      </w:tr>
      <w:tr>
        <w:trPr>
          <w:cantSplit/>
        </w:trPr>
        <w:tc>
          <w:tcPr>
            <w:tcW w:type="dxa" w:w="2030"/>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4"/>
                <w:szCs w:val="14"/>
              </w:rPr>
              <w:t xml:space="preserve">LSTM</w:t>
            </w:r>
          </w:p>
        </w:tc>
        <w:tc>
          <w:tcPr>
            <w:tcW w:type="dxa" w:w="710"/>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4"/>
                <w:szCs w:val="14"/>
              </w:rPr>
              <w:t xml:space="preserve">0.430</w:t>
            </w:r>
          </w:p>
        </w:tc>
        <w:tc>
          <w:tcPr>
            <w:tcW w:type="dxa" w:w="710"/>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4"/>
                <w:szCs w:val="14"/>
              </w:rPr>
              <w:t xml:space="preserve">0.420</w:t>
            </w:r>
          </w:p>
        </w:tc>
        <w:tc>
          <w:tcPr>
            <w:tcW w:type="dxa" w:w="710"/>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4"/>
                <w:szCs w:val="14"/>
              </w:rPr>
              <w:t xml:space="preserve">0.431</w:t>
            </w:r>
          </w:p>
        </w:tc>
        <w:tc>
          <w:tcPr>
            <w:tcW w:type="dxa" w:w="710"/>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4"/>
                <w:szCs w:val="14"/>
              </w:rPr>
              <w:t xml:space="preserve">0.116</w:t>
            </w:r>
          </w:p>
        </w:tc>
        <w:tc>
          <w:tcPr>
            <w:tcW w:type="dxa" w:w="710"/>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4"/>
                <w:szCs w:val="14"/>
              </w:rPr>
              <w:t xml:space="preserve">0.421</w:t>
            </w:r>
          </w:p>
        </w:tc>
        <w:tc>
          <w:tcPr>
            <w:tcW w:type="dxa" w:w="1522"/>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4"/>
                <w:szCs w:val="14"/>
              </w:rPr>
              <w:t xml:space="preserve">0.1 (0.0, 0.3)</w:t>
            </w:r>
          </w:p>
        </w:tc>
        <w:tc>
          <w:tcPr>
            <w:tcW w:type="dxa" w:w="609"/>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4"/>
                <w:szCs w:val="14"/>
              </w:rPr>
              <w:t xml:space="preserve">26.9</w:t>
            </w:r>
          </w:p>
        </w:tc>
        <w:tc>
          <w:tcPr>
            <w:tcW w:type="dxa" w:w="710"/>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4"/>
                <w:szCs w:val="14"/>
              </w:rPr>
              <w:t xml:space="preserve">0.268</w:t>
            </w:r>
          </w:p>
        </w:tc>
        <w:tc>
          <w:tcPr>
            <w:tcW w:type="dxa" w:w="710"/>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4"/>
                <w:szCs w:val="14"/>
              </w:rPr>
              <w:t xml:space="preserve">0.695</w:t>
            </w:r>
          </w:p>
        </w:tc>
        <w:tc>
          <w:tcPr>
            <w:tcW w:type="dxa" w:w="615"/>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4"/>
                <w:szCs w:val="14"/>
              </w:rPr>
              <w:t xml:space="preserve">12.40</w:t>
            </w:r>
          </w:p>
        </w:tc>
      </w:tr>
      <w:tr>
        <w:trPr>
          <w:cantSplit/>
        </w:trPr>
        <w:tc>
          <w:tcPr>
            <w:tcW w:type="dxa" w:w="2030"/>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4"/>
                <w:szCs w:val="14"/>
              </w:rPr>
              <w:t xml:space="preserve">Transformer</w:t>
            </w:r>
          </w:p>
        </w:tc>
        <w:tc>
          <w:tcPr>
            <w:tcW w:type="dxa" w:w="710"/>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4"/>
                <w:szCs w:val="14"/>
              </w:rPr>
              <w:t xml:space="preserve">0.405</w:t>
            </w:r>
          </w:p>
        </w:tc>
        <w:tc>
          <w:tcPr>
            <w:tcW w:type="dxa" w:w="710"/>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4"/>
                <w:szCs w:val="14"/>
              </w:rPr>
              <w:t xml:space="preserve">0.393</w:t>
            </w:r>
          </w:p>
        </w:tc>
        <w:tc>
          <w:tcPr>
            <w:tcW w:type="dxa" w:w="710"/>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4"/>
                <w:szCs w:val="14"/>
              </w:rPr>
              <w:t xml:space="preserve">0.407</w:t>
            </w:r>
          </w:p>
        </w:tc>
        <w:tc>
          <w:tcPr>
            <w:tcW w:type="dxa" w:w="710"/>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4"/>
                <w:szCs w:val="14"/>
              </w:rPr>
              <w:t xml:space="preserve">0.072</w:t>
            </w:r>
          </w:p>
        </w:tc>
        <w:tc>
          <w:tcPr>
            <w:tcW w:type="dxa" w:w="710"/>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4"/>
                <w:szCs w:val="14"/>
              </w:rPr>
              <w:t xml:space="preserve">0.395</w:t>
            </w:r>
          </w:p>
        </w:tc>
        <w:tc>
          <w:tcPr>
            <w:tcW w:type="dxa" w:w="1522"/>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4"/>
                <w:szCs w:val="14"/>
              </w:rPr>
              <w:t xml:space="preserve">0.2 (0.1, 0.3)</w:t>
            </w:r>
          </w:p>
        </w:tc>
        <w:tc>
          <w:tcPr>
            <w:tcW w:type="dxa" w:w="609"/>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4"/>
                <w:szCs w:val="14"/>
              </w:rPr>
              <w:t xml:space="preserve">17.6</w:t>
            </w:r>
          </w:p>
        </w:tc>
        <w:tc>
          <w:tcPr>
            <w:tcW w:type="dxa" w:w="710"/>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4"/>
                <w:szCs w:val="14"/>
              </w:rPr>
              <w:t xml:space="preserve">0.277</w:t>
            </w:r>
          </w:p>
        </w:tc>
        <w:tc>
          <w:tcPr>
            <w:tcW w:type="dxa" w:w="710"/>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4"/>
                <w:szCs w:val="14"/>
              </w:rPr>
              <w:t xml:space="preserve">0.555</w:t>
            </w:r>
          </w:p>
        </w:tc>
        <w:tc>
          <w:tcPr>
            <w:tcW w:type="dxa" w:w="615"/>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4"/>
                <w:szCs w:val="14"/>
              </w:rPr>
              <w:t xml:space="preserve">13.00</w:t>
            </w:r>
          </w:p>
        </w:tc>
      </w:tr>
      <w:tr>
        <w:trPr>
          <w:cantSplit/>
        </w:trPr>
        <w:tc>
          <w:tcPr>
            <w:tcW w:type="dxa" w:w="2030"/>
            <w:tcBorders>
              <w:top w:val="single" w:color="000000" w:sz="4"/>
              <w:left w:val="single" w:color="000000" w:sz="4"/>
              <w:bottom w:val="single" w:color="000000" w:sz="4"/>
              <w:right w:val="single" w:color="000000" w:sz="4"/>
            </w:tcBorders>
            <w:shd w:fill="E7E6E6" w:color="auto" w:val="clear"/>
            <w:tcMar>
              <w:top w:type="dxa" w:w="25"/>
              <w:left w:type="dxa" w:w="50"/>
              <w:bottom w:type="dxa" w:w="25"/>
              <w:right w:type="dxa" w:w="50"/>
            </w:tcMar>
          </w:tcPr>
          <w:p>
            <w:r>
              <w:rPr>
                <w:rFonts w:ascii="Times New Roman" w:cs="Times New Roman" w:eastAsia="Times New Roman" w:hAnsi="Times New Roman"/>
                <w:b/>
                <w:bCs/>
                <w:sz w:val="14"/>
                <w:szCs w:val="14"/>
              </w:rPr>
              <w:t xml:space="preserve">Six electrodes</w:t>
            </w:r>
          </w:p>
        </w:tc>
        <w:tc>
          <w:tcPr>
            <w:tcW w:type="dxa" w:w="710"/>
            <w:tcBorders>
              <w:top w:val="single" w:color="000000" w:sz="4"/>
              <w:left w:val="single" w:color="000000" w:sz="4"/>
              <w:bottom w:val="single" w:color="000000" w:sz="4"/>
              <w:right w:val="single" w:color="000000" w:sz="4"/>
            </w:tcBorders>
            <w:shd w:fill="E7E6E6" w:color="auto" w:val="clear"/>
            <w:tcMar>
              <w:top w:type="dxa" w:w="25"/>
              <w:left w:type="dxa" w:w="50"/>
              <w:bottom w:type="dxa" w:w="25"/>
              <w:right w:type="dxa" w:w="50"/>
            </w:tcMar>
          </w:tcPr>
          <w:p/>
        </w:tc>
        <w:tc>
          <w:tcPr>
            <w:tcW w:type="dxa" w:w="710"/>
            <w:tcBorders>
              <w:top w:val="single" w:color="000000" w:sz="4"/>
              <w:left w:val="single" w:color="000000" w:sz="4"/>
              <w:bottom w:val="single" w:color="000000" w:sz="4"/>
              <w:right w:val="single" w:color="000000" w:sz="4"/>
            </w:tcBorders>
            <w:shd w:fill="E7E6E6" w:color="auto" w:val="clear"/>
            <w:tcMar>
              <w:top w:type="dxa" w:w="25"/>
              <w:left w:type="dxa" w:w="50"/>
              <w:bottom w:type="dxa" w:w="25"/>
              <w:right w:type="dxa" w:w="50"/>
            </w:tcMar>
          </w:tcPr>
          <w:p/>
        </w:tc>
        <w:tc>
          <w:tcPr>
            <w:tcW w:type="dxa" w:w="710"/>
            <w:tcBorders>
              <w:top w:val="single" w:color="000000" w:sz="4"/>
              <w:left w:val="single" w:color="000000" w:sz="4"/>
              <w:bottom w:val="single" w:color="000000" w:sz="4"/>
              <w:right w:val="single" w:color="000000" w:sz="4"/>
            </w:tcBorders>
            <w:shd w:fill="E7E6E6" w:color="auto" w:val="clear"/>
            <w:tcMar>
              <w:top w:type="dxa" w:w="25"/>
              <w:left w:type="dxa" w:w="50"/>
              <w:bottom w:type="dxa" w:w="25"/>
              <w:right w:type="dxa" w:w="50"/>
            </w:tcMar>
          </w:tcPr>
          <w:p/>
        </w:tc>
        <w:tc>
          <w:tcPr>
            <w:tcW w:type="dxa" w:w="710"/>
            <w:tcBorders>
              <w:top w:val="single" w:color="000000" w:sz="4"/>
              <w:left w:val="single" w:color="000000" w:sz="4"/>
              <w:bottom w:val="single" w:color="000000" w:sz="4"/>
              <w:right w:val="single" w:color="000000" w:sz="4"/>
            </w:tcBorders>
            <w:shd w:fill="E7E6E6" w:color="auto" w:val="clear"/>
            <w:tcMar>
              <w:top w:type="dxa" w:w="25"/>
              <w:left w:type="dxa" w:w="50"/>
              <w:bottom w:type="dxa" w:w="25"/>
              <w:right w:type="dxa" w:w="50"/>
            </w:tcMar>
          </w:tcPr>
          <w:p/>
        </w:tc>
        <w:tc>
          <w:tcPr>
            <w:tcW w:type="dxa" w:w="710"/>
            <w:tcBorders>
              <w:top w:val="single" w:color="000000" w:sz="4"/>
              <w:left w:val="single" w:color="000000" w:sz="4"/>
              <w:bottom w:val="single" w:color="000000" w:sz="4"/>
              <w:right w:val="single" w:color="000000" w:sz="4"/>
            </w:tcBorders>
            <w:shd w:fill="E7E6E6" w:color="auto" w:val="clear"/>
            <w:tcMar>
              <w:top w:type="dxa" w:w="25"/>
              <w:left w:type="dxa" w:w="50"/>
              <w:bottom w:type="dxa" w:w="25"/>
              <w:right w:type="dxa" w:w="50"/>
            </w:tcMar>
          </w:tcPr>
          <w:p/>
        </w:tc>
        <w:tc>
          <w:tcPr>
            <w:tcW w:type="dxa" w:w="1522"/>
            <w:tcBorders>
              <w:top w:val="single" w:color="000000" w:sz="4"/>
              <w:left w:val="single" w:color="000000" w:sz="4"/>
              <w:bottom w:val="single" w:color="000000" w:sz="4"/>
              <w:right w:val="single" w:color="000000" w:sz="4"/>
            </w:tcBorders>
            <w:shd w:fill="E7E6E6" w:color="auto" w:val="clear"/>
            <w:tcMar>
              <w:top w:type="dxa" w:w="25"/>
              <w:left w:type="dxa" w:w="50"/>
              <w:bottom w:type="dxa" w:w="25"/>
              <w:right w:type="dxa" w:w="50"/>
            </w:tcMar>
          </w:tcPr>
          <w:p/>
        </w:tc>
        <w:tc>
          <w:tcPr>
            <w:tcW w:type="dxa" w:w="609"/>
            <w:tcBorders>
              <w:top w:val="single" w:color="000000" w:sz="4"/>
              <w:left w:val="single" w:color="000000" w:sz="4"/>
              <w:bottom w:val="single" w:color="000000" w:sz="4"/>
              <w:right w:val="single" w:color="000000" w:sz="4"/>
            </w:tcBorders>
            <w:shd w:fill="E7E6E6" w:color="auto" w:val="clear"/>
            <w:tcMar>
              <w:top w:type="dxa" w:w="25"/>
              <w:left w:type="dxa" w:w="50"/>
              <w:bottom w:type="dxa" w:w="25"/>
              <w:right w:type="dxa" w:w="50"/>
            </w:tcMar>
          </w:tcPr>
          <w:p/>
        </w:tc>
        <w:tc>
          <w:tcPr>
            <w:tcW w:type="dxa" w:w="710"/>
            <w:tcBorders>
              <w:top w:val="single" w:color="000000" w:sz="4"/>
              <w:left w:val="single" w:color="000000" w:sz="4"/>
              <w:bottom w:val="single" w:color="000000" w:sz="4"/>
              <w:right w:val="single" w:color="000000" w:sz="4"/>
            </w:tcBorders>
            <w:shd w:fill="E7E6E6" w:color="auto" w:val="clear"/>
            <w:tcMar>
              <w:top w:type="dxa" w:w="25"/>
              <w:left w:type="dxa" w:w="50"/>
              <w:bottom w:type="dxa" w:w="25"/>
              <w:right w:type="dxa" w:w="50"/>
            </w:tcMar>
          </w:tcPr>
          <w:p/>
        </w:tc>
        <w:tc>
          <w:tcPr>
            <w:tcW w:type="dxa" w:w="710"/>
            <w:tcBorders>
              <w:top w:val="single" w:color="000000" w:sz="4"/>
              <w:left w:val="single" w:color="000000" w:sz="4"/>
              <w:bottom w:val="single" w:color="000000" w:sz="4"/>
              <w:right w:val="single" w:color="000000" w:sz="4"/>
            </w:tcBorders>
            <w:shd w:fill="E7E6E6" w:color="auto" w:val="clear"/>
            <w:tcMar>
              <w:top w:type="dxa" w:w="25"/>
              <w:left w:type="dxa" w:w="50"/>
              <w:bottom w:type="dxa" w:w="25"/>
              <w:right w:type="dxa" w:w="50"/>
            </w:tcMar>
          </w:tcPr>
          <w:p/>
        </w:tc>
        <w:tc>
          <w:tcPr>
            <w:tcW w:type="dxa" w:w="615"/>
            <w:tcBorders>
              <w:top w:val="single" w:color="000000" w:sz="4"/>
              <w:left w:val="single" w:color="000000" w:sz="4"/>
              <w:bottom w:val="single" w:color="000000" w:sz="4"/>
              <w:right w:val="single" w:color="000000" w:sz="4"/>
            </w:tcBorders>
            <w:shd w:fill="E7E6E6" w:color="auto" w:val="clear"/>
            <w:tcMar>
              <w:top w:type="dxa" w:w="25"/>
              <w:left w:type="dxa" w:w="50"/>
              <w:bottom w:type="dxa" w:w="25"/>
              <w:right w:type="dxa" w:w="50"/>
            </w:tcMar>
          </w:tcPr>
          <w:p/>
        </w:tc>
      </w:tr>
      <w:tr>
        <w:trPr>
          <w:cantSplit/>
        </w:trPr>
        <w:tc>
          <w:tcPr>
            <w:tcW w:type="dxa" w:w="2030"/>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4"/>
                <w:szCs w:val="14"/>
              </w:rPr>
              <w:t xml:space="preserve">CLISA-EWU</w:t>
            </w:r>
          </w:p>
        </w:tc>
        <w:tc>
          <w:tcPr>
            <w:tcW w:type="dxa" w:w="710"/>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4"/>
                <w:szCs w:val="14"/>
              </w:rPr>
              <w:t xml:space="preserve">0.405</w:t>
            </w:r>
          </w:p>
        </w:tc>
        <w:tc>
          <w:tcPr>
            <w:tcW w:type="dxa" w:w="710"/>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4"/>
                <w:szCs w:val="14"/>
              </w:rPr>
              <w:t xml:space="preserve">0.398</w:t>
            </w:r>
          </w:p>
        </w:tc>
        <w:tc>
          <w:tcPr>
            <w:tcW w:type="dxa" w:w="710"/>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4"/>
                <w:szCs w:val="14"/>
              </w:rPr>
              <w:t xml:space="preserve">0.620</w:t>
            </w:r>
          </w:p>
        </w:tc>
        <w:tc>
          <w:tcPr>
            <w:tcW w:type="dxa" w:w="710"/>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4"/>
                <w:szCs w:val="14"/>
              </w:rPr>
              <w:t xml:space="preserve">0.060</w:t>
            </w:r>
          </w:p>
        </w:tc>
        <w:tc>
          <w:tcPr>
            <w:tcW w:type="dxa" w:w="710"/>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4"/>
                <w:szCs w:val="14"/>
              </w:rPr>
              <w:t xml:space="preserve">0.611</w:t>
            </w:r>
          </w:p>
        </w:tc>
        <w:tc>
          <w:tcPr>
            <w:tcW w:type="dxa" w:w="1522"/>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4"/>
                <w:szCs w:val="14"/>
              </w:rPr>
              <w:t xml:space="preserve">21.4 (18.2, 25.2)</w:t>
            </w:r>
          </w:p>
        </w:tc>
        <w:tc>
          <w:tcPr>
            <w:tcW w:type="dxa" w:w="609"/>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4"/>
                <w:szCs w:val="14"/>
              </w:rPr>
              <w:t xml:space="preserve">9.7</w:t>
            </w:r>
          </w:p>
        </w:tc>
        <w:tc>
          <w:tcPr>
            <w:tcW w:type="dxa" w:w="710"/>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4"/>
                <w:szCs w:val="14"/>
              </w:rPr>
              <w:t xml:space="preserve">0.518</w:t>
            </w:r>
          </w:p>
        </w:tc>
        <w:tc>
          <w:tcPr>
            <w:tcW w:type="dxa" w:w="710"/>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4"/>
                <w:szCs w:val="14"/>
              </w:rPr>
              <w:t xml:space="preserve">0.719</w:t>
            </w:r>
          </w:p>
        </w:tc>
        <w:tc>
          <w:tcPr>
            <w:tcW w:type="dxa" w:w="615"/>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4"/>
                <w:szCs w:val="14"/>
              </w:rPr>
              <w:t xml:space="preserve">2.67</w:t>
            </w:r>
          </w:p>
        </w:tc>
      </w:tr>
      <w:tr>
        <w:trPr>
          <w:cantSplit/>
        </w:trPr>
        <w:tc>
          <w:tcPr>
            <w:tcW w:type="dxa" w:w="2030"/>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4"/>
                <w:szCs w:val="14"/>
              </w:rPr>
              <w:t xml:space="preserve">BYOL</w:t>
            </w:r>
          </w:p>
        </w:tc>
        <w:tc>
          <w:tcPr>
            <w:tcW w:type="dxa" w:w="710"/>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4"/>
                <w:szCs w:val="14"/>
              </w:rPr>
              <w:t xml:space="preserve">0.440</w:t>
            </w:r>
          </w:p>
        </w:tc>
        <w:tc>
          <w:tcPr>
            <w:tcW w:type="dxa" w:w="710"/>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4"/>
                <w:szCs w:val="14"/>
              </w:rPr>
              <w:t xml:space="preserve">0.433</w:t>
            </w:r>
          </w:p>
        </w:tc>
        <w:tc>
          <w:tcPr>
            <w:tcW w:type="dxa" w:w="710"/>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4"/>
                <w:szCs w:val="14"/>
              </w:rPr>
              <w:t xml:space="preserve">0.612</w:t>
            </w:r>
          </w:p>
        </w:tc>
        <w:tc>
          <w:tcPr>
            <w:tcW w:type="dxa" w:w="710"/>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4"/>
                <w:szCs w:val="14"/>
              </w:rPr>
              <w:t xml:space="preserve">0.086</w:t>
            </w:r>
          </w:p>
        </w:tc>
        <w:tc>
          <w:tcPr>
            <w:tcW w:type="dxa" w:w="710"/>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4"/>
                <w:szCs w:val="14"/>
              </w:rPr>
              <w:t xml:space="preserve">0.598</w:t>
            </w:r>
          </w:p>
        </w:tc>
        <w:tc>
          <w:tcPr>
            <w:tcW w:type="dxa" w:w="1522"/>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4"/>
                <w:szCs w:val="14"/>
              </w:rPr>
              <w:t xml:space="preserve">17.2 (14.0, 20.3)</w:t>
            </w:r>
          </w:p>
        </w:tc>
        <w:tc>
          <w:tcPr>
            <w:tcW w:type="dxa" w:w="609"/>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4"/>
                <w:szCs w:val="14"/>
              </w:rPr>
              <w:t xml:space="preserve">14.0</w:t>
            </w:r>
          </w:p>
        </w:tc>
        <w:tc>
          <w:tcPr>
            <w:tcW w:type="dxa" w:w="710"/>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4"/>
                <w:szCs w:val="14"/>
              </w:rPr>
              <w:t xml:space="preserve">0.469</w:t>
            </w:r>
          </w:p>
        </w:tc>
        <w:tc>
          <w:tcPr>
            <w:tcW w:type="dxa" w:w="710"/>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4"/>
                <w:szCs w:val="14"/>
              </w:rPr>
              <w:t xml:space="preserve">0.735</w:t>
            </w:r>
          </w:p>
        </w:tc>
        <w:tc>
          <w:tcPr>
            <w:tcW w:type="dxa" w:w="615"/>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4"/>
                <w:szCs w:val="14"/>
              </w:rPr>
              <w:t xml:space="preserve">3.07</w:t>
            </w:r>
          </w:p>
        </w:tc>
      </w:tr>
      <w:tr>
        <w:trPr>
          <w:cantSplit/>
        </w:trPr>
        <w:tc>
          <w:tcPr>
            <w:tcW w:type="dxa" w:w="2030"/>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4"/>
                <w:szCs w:val="14"/>
              </w:rPr>
              <w:t xml:space="preserve">PseudoLabel</w:t>
            </w:r>
          </w:p>
        </w:tc>
        <w:tc>
          <w:tcPr>
            <w:tcW w:type="dxa" w:w="710"/>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4"/>
                <w:szCs w:val="14"/>
              </w:rPr>
              <w:t xml:space="preserve">0.405</w:t>
            </w:r>
          </w:p>
        </w:tc>
        <w:tc>
          <w:tcPr>
            <w:tcW w:type="dxa" w:w="710"/>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4"/>
                <w:szCs w:val="14"/>
              </w:rPr>
              <w:t xml:space="preserve">0.394</w:t>
            </w:r>
          </w:p>
        </w:tc>
        <w:tc>
          <w:tcPr>
            <w:tcW w:type="dxa" w:w="710"/>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4"/>
                <w:szCs w:val="14"/>
              </w:rPr>
              <w:t xml:space="preserve">0.610</w:t>
            </w:r>
          </w:p>
        </w:tc>
        <w:tc>
          <w:tcPr>
            <w:tcW w:type="dxa" w:w="710"/>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4"/>
                <w:szCs w:val="14"/>
              </w:rPr>
              <w:t xml:space="preserve">0.072</w:t>
            </w:r>
          </w:p>
        </w:tc>
        <w:tc>
          <w:tcPr>
            <w:tcW w:type="dxa" w:w="710"/>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4"/>
                <w:szCs w:val="14"/>
              </w:rPr>
              <w:t xml:space="preserve">0.600</w:t>
            </w:r>
          </w:p>
        </w:tc>
        <w:tc>
          <w:tcPr>
            <w:tcW w:type="dxa" w:w="1522"/>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4"/>
                <w:szCs w:val="14"/>
              </w:rPr>
              <w:t xml:space="preserve">20.6 (17.5, 24.0)</w:t>
            </w:r>
          </w:p>
        </w:tc>
        <w:tc>
          <w:tcPr>
            <w:tcW w:type="dxa" w:w="609"/>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4"/>
                <w:szCs w:val="14"/>
              </w:rPr>
              <w:t xml:space="preserve">11.7</w:t>
            </w:r>
          </w:p>
        </w:tc>
        <w:tc>
          <w:tcPr>
            <w:tcW w:type="dxa" w:w="710"/>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4"/>
                <w:szCs w:val="14"/>
              </w:rPr>
              <w:t xml:space="preserve">0.484</w:t>
            </w:r>
          </w:p>
        </w:tc>
        <w:tc>
          <w:tcPr>
            <w:tcW w:type="dxa" w:w="710"/>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4"/>
                <w:szCs w:val="14"/>
              </w:rPr>
              <w:t xml:space="preserve">0.725</w:t>
            </w:r>
          </w:p>
        </w:tc>
        <w:tc>
          <w:tcPr>
            <w:tcW w:type="dxa" w:w="615"/>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4"/>
                <w:szCs w:val="14"/>
              </w:rPr>
              <w:t xml:space="preserve">3.07</w:t>
            </w:r>
          </w:p>
        </w:tc>
      </w:tr>
      <w:tr>
        <w:trPr>
          <w:cantSplit/>
        </w:trPr>
        <w:tc>
          <w:tcPr>
            <w:tcW w:type="dxa" w:w="2030"/>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4"/>
                <w:szCs w:val="14"/>
              </w:rPr>
              <w:t xml:space="preserve">SimCLR</w:t>
            </w:r>
          </w:p>
        </w:tc>
        <w:tc>
          <w:tcPr>
            <w:tcW w:type="dxa" w:w="710"/>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4"/>
                <w:szCs w:val="14"/>
              </w:rPr>
              <w:t xml:space="preserve">0.446</w:t>
            </w:r>
          </w:p>
        </w:tc>
        <w:tc>
          <w:tcPr>
            <w:tcW w:type="dxa" w:w="710"/>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4"/>
                <w:szCs w:val="14"/>
              </w:rPr>
              <w:t xml:space="preserve">0.441</w:t>
            </w:r>
          </w:p>
        </w:tc>
        <w:tc>
          <w:tcPr>
            <w:tcW w:type="dxa" w:w="710"/>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4"/>
                <w:szCs w:val="14"/>
              </w:rPr>
              <w:t xml:space="preserve">0.602</w:t>
            </w:r>
          </w:p>
        </w:tc>
        <w:tc>
          <w:tcPr>
            <w:tcW w:type="dxa" w:w="710"/>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4"/>
                <w:szCs w:val="14"/>
              </w:rPr>
              <w:t xml:space="preserve">0.090</w:t>
            </w:r>
          </w:p>
        </w:tc>
        <w:tc>
          <w:tcPr>
            <w:tcW w:type="dxa" w:w="710"/>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4"/>
                <w:szCs w:val="14"/>
              </w:rPr>
              <w:t xml:space="preserve">0.582</w:t>
            </w:r>
          </w:p>
        </w:tc>
        <w:tc>
          <w:tcPr>
            <w:tcW w:type="dxa" w:w="1522"/>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4"/>
                <w:szCs w:val="14"/>
              </w:rPr>
              <w:t xml:space="preserve">15.6 (13.0, 17.8)</w:t>
            </w:r>
          </w:p>
        </w:tc>
        <w:tc>
          <w:tcPr>
            <w:tcW w:type="dxa" w:w="609"/>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4"/>
                <w:szCs w:val="14"/>
              </w:rPr>
              <w:t xml:space="preserve">14.9</w:t>
            </w:r>
          </w:p>
        </w:tc>
        <w:tc>
          <w:tcPr>
            <w:tcW w:type="dxa" w:w="710"/>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4"/>
                <w:szCs w:val="14"/>
              </w:rPr>
              <w:t xml:space="preserve">0.423</w:t>
            </w:r>
          </w:p>
        </w:tc>
        <w:tc>
          <w:tcPr>
            <w:tcW w:type="dxa" w:w="710"/>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4"/>
                <w:szCs w:val="14"/>
              </w:rPr>
              <w:t xml:space="preserve">0.739</w:t>
            </w:r>
          </w:p>
        </w:tc>
        <w:tc>
          <w:tcPr>
            <w:tcW w:type="dxa" w:w="615"/>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4"/>
                <w:szCs w:val="14"/>
              </w:rPr>
              <w:t xml:space="preserve">3.73</w:t>
            </w:r>
          </w:p>
        </w:tc>
      </w:tr>
      <w:tr>
        <w:trPr>
          <w:cantSplit/>
        </w:trPr>
        <w:tc>
          <w:tcPr>
            <w:tcW w:type="dxa" w:w="2030"/>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4"/>
                <w:szCs w:val="14"/>
              </w:rPr>
              <w:t xml:space="preserve">DANN</w:t>
            </w:r>
          </w:p>
        </w:tc>
        <w:tc>
          <w:tcPr>
            <w:tcW w:type="dxa" w:w="710"/>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4"/>
                <w:szCs w:val="14"/>
              </w:rPr>
              <w:t xml:space="preserve">0.396</w:t>
            </w:r>
          </w:p>
        </w:tc>
        <w:tc>
          <w:tcPr>
            <w:tcW w:type="dxa" w:w="710"/>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4"/>
                <w:szCs w:val="14"/>
              </w:rPr>
              <w:t xml:space="preserve">0.386</w:t>
            </w:r>
          </w:p>
        </w:tc>
        <w:tc>
          <w:tcPr>
            <w:tcW w:type="dxa" w:w="710"/>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4"/>
                <w:szCs w:val="14"/>
              </w:rPr>
              <w:t xml:space="preserve">0.590</w:t>
            </w:r>
          </w:p>
        </w:tc>
        <w:tc>
          <w:tcPr>
            <w:tcW w:type="dxa" w:w="710"/>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4"/>
                <w:szCs w:val="14"/>
              </w:rPr>
              <w:t xml:space="preserve">0.063</w:t>
            </w:r>
          </w:p>
        </w:tc>
        <w:tc>
          <w:tcPr>
            <w:tcW w:type="dxa" w:w="710"/>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4"/>
                <w:szCs w:val="14"/>
              </w:rPr>
              <w:t xml:space="preserve">0.579</w:t>
            </w:r>
          </w:p>
        </w:tc>
        <w:tc>
          <w:tcPr>
            <w:tcW w:type="dxa" w:w="1522"/>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4"/>
                <w:szCs w:val="14"/>
              </w:rPr>
              <w:t xml:space="preserve">19.4 (16.5, 22.5)</w:t>
            </w:r>
          </w:p>
        </w:tc>
        <w:tc>
          <w:tcPr>
            <w:tcW w:type="dxa" w:w="609"/>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4"/>
                <w:szCs w:val="14"/>
              </w:rPr>
              <w:t xml:space="preserve">10.7</w:t>
            </w:r>
          </w:p>
        </w:tc>
        <w:tc>
          <w:tcPr>
            <w:tcW w:type="dxa" w:w="710"/>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4"/>
                <w:szCs w:val="14"/>
              </w:rPr>
              <w:t xml:space="preserve">0.500</w:t>
            </w:r>
          </w:p>
        </w:tc>
        <w:tc>
          <w:tcPr>
            <w:tcW w:type="dxa" w:w="710"/>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4"/>
                <w:szCs w:val="14"/>
              </w:rPr>
              <w:t xml:space="preserve">0.695</w:t>
            </w:r>
          </w:p>
        </w:tc>
        <w:tc>
          <w:tcPr>
            <w:tcW w:type="dxa" w:w="615"/>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4"/>
                <w:szCs w:val="14"/>
              </w:rPr>
              <w:t xml:space="preserve">3.87</w:t>
            </w:r>
          </w:p>
        </w:tc>
      </w:tr>
      <w:tr>
        <w:trPr>
          <w:cantSplit/>
        </w:trPr>
        <w:tc>
          <w:tcPr>
            <w:tcW w:type="dxa" w:w="2030"/>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4"/>
                <w:szCs w:val="14"/>
              </w:rPr>
              <w:t xml:space="preserve">DANCE student</w:t>
            </w:r>
          </w:p>
        </w:tc>
        <w:tc>
          <w:tcPr>
            <w:tcW w:type="dxa" w:w="710"/>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4"/>
                <w:szCs w:val="14"/>
              </w:rPr>
              <w:t xml:space="preserve">0.390</w:t>
            </w:r>
          </w:p>
        </w:tc>
        <w:tc>
          <w:tcPr>
            <w:tcW w:type="dxa" w:w="710"/>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4"/>
                <w:szCs w:val="14"/>
              </w:rPr>
              <w:t xml:space="preserve">0.377</w:t>
            </w:r>
          </w:p>
        </w:tc>
        <w:tc>
          <w:tcPr>
            <w:tcW w:type="dxa" w:w="710"/>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4"/>
                <w:szCs w:val="14"/>
              </w:rPr>
              <w:t xml:space="preserve">0.571</w:t>
            </w:r>
          </w:p>
        </w:tc>
        <w:tc>
          <w:tcPr>
            <w:tcW w:type="dxa" w:w="710"/>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4"/>
                <w:szCs w:val="14"/>
              </w:rPr>
              <w:t xml:space="preserve">0.078</w:t>
            </w:r>
          </w:p>
        </w:tc>
        <w:tc>
          <w:tcPr>
            <w:tcW w:type="dxa" w:w="710"/>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4"/>
                <w:szCs w:val="14"/>
              </w:rPr>
              <w:t xml:space="preserve">0.541</w:t>
            </w:r>
          </w:p>
        </w:tc>
        <w:tc>
          <w:tcPr>
            <w:tcW w:type="dxa" w:w="1522"/>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4"/>
                <w:szCs w:val="14"/>
              </w:rPr>
              <w:t xml:space="preserve">18.1 (14.9, 21.5)</w:t>
            </w:r>
          </w:p>
        </w:tc>
        <w:tc>
          <w:tcPr>
            <w:tcW w:type="dxa" w:w="609"/>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4"/>
                <w:szCs w:val="14"/>
              </w:rPr>
              <w:t xml:space="preserve">13.6</w:t>
            </w:r>
          </w:p>
        </w:tc>
        <w:tc>
          <w:tcPr>
            <w:tcW w:type="dxa" w:w="710"/>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4"/>
                <w:szCs w:val="14"/>
              </w:rPr>
              <w:t xml:space="preserve">0.452</w:t>
            </w:r>
          </w:p>
        </w:tc>
        <w:tc>
          <w:tcPr>
            <w:tcW w:type="dxa" w:w="710"/>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4"/>
                <w:szCs w:val="14"/>
              </w:rPr>
              <w:t xml:space="preserve">0.699</w:t>
            </w:r>
          </w:p>
        </w:tc>
        <w:tc>
          <w:tcPr>
            <w:tcW w:type="dxa" w:w="615"/>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4"/>
                <w:szCs w:val="14"/>
              </w:rPr>
              <w:t xml:space="preserve">4.60</w:t>
            </w:r>
          </w:p>
        </w:tc>
      </w:tr>
      <w:tr>
        <w:trPr>
          <w:cantSplit/>
        </w:trPr>
        <w:tc>
          <w:tcPr>
            <w:tcW w:type="dxa" w:w="2030"/>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4"/>
                <w:szCs w:val="14"/>
              </w:rPr>
              <w:t xml:space="preserve">Two-layer perceptron</w:t>
            </w:r>
          </w:p>
        </w:tc>
        <w:tc>
          <w:tcPr>
            <w:tcW w:type="dxa" w:w="710"/>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4"/>
                <w:szCs w:val="14"/>
              </w:rPr>
              <w:t xml:space="preserve">0.400</w:t>
            </w:r>
          </w:p>
        </w:tc>
        <w:tc>
          <w:tcPr>
            <w:tcW w:type="dxa" w:w="710"/>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4"/>
                <w:szCs w:val="14"/>
              </w:rPr>
              <w:t xml:space="preserve">0.393</w:t>
            </w:r>
          </w:p>
        </w:tc>
        <w:tc>
          <w:tcPr>
            <w:tcW w:type="dxa" w:w="710"/>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4"/>
                <w:szCs w:val="14"/>
              </w:rPr>
              <w:t xml:space="preserve">0.412</w:t>
            </w:r>
          </w:p>
        </w:tc>
        <w:tc>
          <w:tcPr>
            <w:tcW w:type="dxa" w:w="710"/>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4"/>
                <w:szCs w:val="14"/>
              </w:rPr>
              <w:t xml:space="preserve">0.085</w:t>
            </w:r>
          </w:p>
        </w:tc>
        <w:tc>
          <w:tcPr>
            <w:tcW w:type="dxa" w:w="710"/>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4"/>
                <w:szCs w:val="14"/>
              </w:rPr>
              <w:t xml:space="preserve">0.405</w:t>
            </w:r>
          </w:p>
        </w:tc>
        <w:tc>
          <w:tcPr>
            <w:tcW w:type="dxa" w:w="1522"/>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4"/>
                <w:szCs w:val="14"/>
              </w:rPr>
              <w:t xml:space="preserve">1.1 (0.3, 1.9)</w:t>
            </w:r>
          </w:p>
        </w:tc>
        <w:tc>
          <w:tcPr>
            <w:tcW w:type="dxa" w:w="609"/>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4"/>
                <w:szCs w:val="14"/>
              </w:rPr>
              <w:t xml:space="preserve">20.6</w:t>
            </w:r>
          </w:p>
        </w:tc>
        <w:tc>
          <w:tcPr>
            <w:tcW w:type="dxa" w:w="710"/>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4"/>
                <w:szCs w:val="14"/>
              </w:rPr>
              <w:t xml:space="preserve">0.256</w:t>
            </w:r>
          </w:p>
        </w:tc>
        <w:tc>
          <w:tcPr>
            <w:tcW w:type="dxa" w:w="710"/>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4"/>
                <w:szCs w:val="14"/>
              </w:rPr>
              <w:t xml:space="preserve">0.539</w:t>
            </w:r>
          </w:p>
        </w:tc>
        <w:tc>
          <w:tcPr>
            <w:tcW w:type="dxa" w:w="615"/>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4"/>
                <w:szCs w:val="14"/>
              </w:rPr>
              <w:t xml:space="preserve">9.33</w:t>
            </w:r>
          </w:p>
        </w:tc>
      </w:tr>
      <w:tr>
        <w:trPr>
          <w:cantSplit/>
        </w:trPr>
        <w:tc>
          <w:tcPr>
            <w:tcW w:type="dxa" w:w="2030"/>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4"/>
                <w:szCs w:val="14"/>
              </w:rPr>
              <w:t xml:space="preserve">ChanDrop transformer</w:t>
            </w:r>
          </w:p>
        </w:tc>
        <w:tc>
          <w:tcPr>
            <w:tcW w:type="dxa" w:w="710"/>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4"/>
                <w:szCs w:val="14"/>
              </w:rPr>
              <w:t xml:space="preserve">0.391</w:t>
            </w:r>
          </w:p>
        </w:tc>
        <w:tc>
          <w:tcPr>
            <w:tcW w:type="dxa" w:w="710"/>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4"/>
                <w:szCs w:val="14"/>
              </w:rPr>
              <w:t xml:space="preserve">0.383</w:t>
            </w:r>
          </w:p>
        </w:tc>
        <w:tc>
          <w:tcPr>
            <w:tcW w:type="dxa" w:w="710"/>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4"/>
                <w:szCs w:val="14"/>
              </w:rPr>
              <w:t xml:space="preserve">0.398</w:t>
            </w:r>
          </w:p>
        </w:tc>
        <w:tc>
          <w:tcPr>
            <w:tcW w:type="dxa" w:w="710"/>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4"/>
                <w:szCs w:val="14"/>
              </w:rPr>
              <w:t xml:space="preserve">0.049</w:t>
            </w:r>
          </w:p>
        </w:tc>
        <w:tc>
          <w:tcPr>
            <w:tcW w:type="dxa" w:w="710"/>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4"/>
                <w:szCs w:val="14"/>
              </w:rPr>
              <w:t xml:space="preserve">0.390</w:t>
            </w:r>
          </w:p>
        </w:tc>
        <w:tc>
          <w:tcPr>
            <w:tcW w:type="dxa" w:w="1522"/>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4"/>
                <w:szCs w:val="14"/>
              </w:rPr>
              <w:t xml:space="preserve">0.7 (0.4, 1.0)</w:t>
            </w:r>
          </w:p>
        </w:tc>
        <w:tc>
          <w:tcPr>
            <w:tcW w:type="dxa" w:w="609"/>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4"/>
                <w:szCs w:val="14"/>
              </w:rPr>
              <w:t xml:space="preserve">12.4</w:t>
            </w:r>
          </w:p>
        </w:tc>
        <w:tc>
          <w:tcPr>
            <w:tcW w:type="dxa" w:w="710"/>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4"/>
                <w:szCs w:val="14"/>
              </w:rPr>
              <w:t xml:space="preserve">0.323</w:t>
            </w:r>
          </w:p>
        </w:tc>
        <w:tc>
          <w:tcPr>
            <w:tcW w:type="dxa" w:w="710"/>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4"/>
                <w:szCs w:val="14"/>
              </w:rPr>
              <w:t xml:space="preserve">0.497</w:t>
            </w:r>
          </w:p>
        </w:tc>
        <w:tc>
          <w:tcPr>
            <w:tcW w:type="dxa" w:w="615"/>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4"/>
                <w:szCs w:val="14"/>
              </w:rPr>
              <w:t xml:space="preserve">9.67</w:t>
            </w:r>
          </w:p>
        </w:tc>
      </w:tr>
      <w:tr>
        <w:trPr>
          <w:cantSplit/>
        </w:trPr>
        <w:tc>
          <w:tcPr>
            <w:tcW w:type="dxa" w:w="2030"/>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4"/>
                <w:szCs w:val="14"/>
              </w:rPr>
              <w:t xml:space="preserve">Deep perceptron</w:t>
            </w:r>
          </w:p>
        </w:tc>
        <w:tc>
          <w:tcPr>
            <w:tcW w:type="dxa" w:w="710"/>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4"/>
                <w:szCs w:val="14"/>
              </w:rPr>
              <w:t xml:space="preserve">0.398</w:t>
            </w:r>
          </w:p>
        </w:tc>
        <w:tc>
          <w:tcPr>
            <w:tcW w:type="dxa" w:w="710"/>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4"/>
                <w:szCs w:val="14"/>
              </w:rPr>
              <w:t xml:space="preserve">0.389</w:t>
            </w:r>
          </w:p>
        </w:tc>
        <w:tc>
          <w:tcPr>
            <w:tcW w:type="dxa" w:w="710"/>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4"/>
                <w:szCs w:val="14"/>
              </w:rPr>
              <w:t xml:space="preserve">0.401</w:t>
            </w:r>
          </w:p>
        </w:tc>
        <w:tc>
          <w:tcPr>
            <w:tcW w:type="dxa" w:w="710"/>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4"/>
                <w:szCs w:val="14"/>
              </w:rPr>
              <w:t xml:space="preserve">0.076</w:t>
            </w:r>
          </w:p>
        </w:tc>
        <w:tc>
          <w:tcPr>
            <w:tcW w:type="dxa" w:w="710"/>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4"/>
                <w:szCs w:val="14"/>
              </w:rPr>
              <w:t xml:space="preserve">0.396</w:t>
            </w:r>
          </w:p>
        </w:tc>
        <w:tc>
          <w:tcPr>
            <w:tcW w:type="dxa" w:w="1522"/>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4"/>
                <w:szCs w:val="14"/>
              </w:rPr>
              <w:t xml:space="preserve">0.3 (−0.6, 1.2)</w:t>
            </w:r>
          </w:p>
        </w:tc>
        <w:tc>
          <w:tcPr>
            <w:tcW w:type="dxa" w:w="609"/>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4"/>
                <w:szCs w:val="14"/>
              </w:rPr>
              <w:t xml:space="preserve">18.9</w:t>
            </w:r>
          </w:p>
        </w:tc>
        <w:tc>
          <w:tcPr>
            <w:tcW w:type="dxa" w:w="710"/>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4"/>
                <w:szCs w:val="14"/>
              </w:rPr>
              <w:t xml:space="preserve">0.254</w:t>
            </w:r>
          </w:p>
        </w:tc>
        <w:tc>
          <w:tcPr>
            <w:tcW w:type="dxa" w:w="710"/>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4"/>
                <w:szCs w:val="14"/>
              </w:rPr>
              <w:t xml:space="preserve">0.516</w:t>
            </w:r>
          </w:p>
        </w:tc>
        <w:tc>
          <w:tcPr>
            <w:tcW w:type="dxa" w:w="615"/>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4"/>
                <w:szCs w:val="14"/>
              </w:rPr>
              <w:t xml:space="preserve">10.00</w:t>
            </w:r>
          </w:p>
        </w:tc>
      </w:tr>
      <w:tr>
        <w:trPr>
          <w:cantSplit/>
        </w:trPr>
        <w:tc>
          <w:tcPr>
            <w:tcW w:type="dxa" w:w="2030"/>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4"/>
                <w:szCs w:val="14"/>
              </w:rPr>
              <w:t xml:space="preserve">Transformer</w:t>
            </w:r>
          </w:p>
        </w:tc>
        <w:tc>
          <w:tcPr>
            <w:tcW w:type="dxa" w:w="710"/>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4"/>
                <w:szCs w:val="14"/>
              </w:rPr>
              <w:t xml:space="preserve">0.368</w:t>
            </w:r>
          </w:p>
        </w:tc>
        <w:tc>
          <w:tcPr>
            <w:tcW w:type="dxa" w:w="710"/>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4"/>
                <w:szCs w:val="14"/>
              </w:rPr>
              <w:t xml:space="preserve">0.358</w:t>
            </w:r>
          </w:p>
        </w:tc>
        <w:tc>
          <w:tcPr>
            <w:tcW w:type="dxa" w:w="710"/>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4"/>
                <w:szCs w:val="14"/>
              </w:rPr>
              <w:t xml:space="preserve">0.371</w:t>
            </w:r>
          </w:p>
        </w:tc>
        <w:tc>
          <w:tcPr>
            <w:tcW w:type="dxa" w:w="710"/>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4"/>
                <w:szCs w:val="14"/>
              </w:rPr>
              <w:t xml:space="preserve">0.052</w:t>
            </w:r>
          </w:p>
        </w:tc>
        <w:tc>
          <w:tcPr>
            <w:tcW w:type="dxa" w:w="710"/>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4"/>
                <w:szCs w:val="14"/>
              </w:rPr>
              <w:t xml:space="preserve">0.360</w:t>
            </w:r>
          </w:p>
        </w:tc>
        <w:tc>
          <w:tcPr>
            <w:tcW w:type="dxa" w:w="1522"/>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4"/>
                <w:szCs w:val="14"/>
              </w:rPr>
              <w:t xml:space="preserve">0.3 (0.1, 0.4)</w:t>
            </w:r>
          </w:p>
        </w:tc>
        <w:tc>
          <w:tcPr>
            <w:tcW w:type="dxa" w:w="609"/>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4"/>
                <w:szCs w:val="14"/>
              </w:rPr>
              <w:t xml:space="preserve">14.1</w:t>
            </w:r>
          </w:p>
        </w:tc>
        <w:tc>
          <w:tcPr>
            <w:tcW w:type="dxa" w:w="710"/>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4"/>
                <w:szCs w:val="14"/>
              </w:rPr>
              <w:t xml:space="preserve">0.296</w:t>
            </w:r>
          </w:p>
        </w:tc>
        <w:tc>
          <w:tcPr>
            <w:tcW w:type="dxa" w:w="710"/>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4"/>
                <w:szCs w:val="14"/>
              </w:rPr>
              <w:t xml:space="preserve">0.490</w:t>
            </w:r>
          </w:p>
        </w:tc>
        <w:tc>
          <w:tcPr>
            <w:tcW w:type="dxa" w:w="615"/>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4"/>
                <w:szCs w:val="14"/>
              </w:rPr>
              <w:t xml:space="preserve">10.93</w:t>
            </w:r>
          </w:p>
        </w:tc>
      </w:tr>
      <w:tr>
        <w:trPr>
          <w:cantSplit/>
        </w:trPr>
        <w:tc>
          <w:tcPr>
            <w:tcW w:type="dxa" w:w="2030"/>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4"/>
                <w:szCs w:val="14"/>
              </w:rPr>
              <w:t xml:space="preserve">LSTM</w:t>
            </w:r>
          </w:p>
        </w:tc>
        <w:tc>
          <w:tcPr>
            <w:tcW w:type="dxa" w:w="710"/>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4"/>
                <w:szCs w:val="14"/>
              </w:rPr>
              <w:t xml:space="preserve">0.384</w:t>
            </w:r>
          </w:p>
        </w:tc>
        <w:tc>
          <w:tcPr>
            <w:tcW w:type="dxa" w:w="710"/>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4"/>
                <w:szCs w:val="14"/>
              </w:rPr>
              <w:t xml:space="preserve">0.376</w:t>
            </w:r>
          </w:p>
        </w:tc>
        <w:tc>
          <w:tcPr>
            <w:tcW w:type="dxa" w:w="710"/>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4"/>
                <w:szCs w:val="14"/>
              </w:rPr>
              <w:t xml:space="preserve">0.385</w:t>
            </w:r>
          </w:p>
        </w:tc>
        <w:tc>
          <w:tcPr>
            <w:tcW w:type="dxa" w:w="710"/>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4"/>
                <w:szCs w:val="14"/>
              </w:rPr>
              <w:t xml:space="preserve">0.066</w:t>
            </w:r>
          </w:p>
        </w:tc>
        <w:tc>
          <w:tcPr>
            <w:tcW w:type="dxa" w:w="710"/>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4"/>
                <w:szCs w:val="14"/>
              </w:rPr>
              <w:t xml:space="preserve">0.377</w:t>
            </w:r>
          </w:p>
        </w:tc>
        <w:tc>
          <w:tcPr>
            <w:tcW w:type="dxa" w:w="1522"/>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4"/>
                <w:szCs w:val="14"/>
              </w:rPr>
              <w:t xml:space="preserve">0.1 (−0.1, 0.2)</w:t>
            </w:r>
          </w:p>
        </w:tc>
        <w:tc>
          <w:tcPr>
            <w:tcW w:type="dxa" w:w="609"/>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4"/>
                <w:szCs w:val="14"/>
              </w:rPr>
              <w:t xml:space="preserve">17.2</w:t>
            </w:r>
          </w:p>
        </w:tc>
        <w:tc>
          <w:tcPr>
            <w:tcW w:type="dxa" w:w="710"/>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4"/>
                <w:szCs w:val="14"/>
              </w:rPr>
              <w:t xml:space="preserve">0.246</w:t>
            </w:r>
          </w:p>
        </w:tc>
        <w:tc>
          <w:tcPr>
            <w:tcW w:type="dxa" w:w="710"/>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4"/>
                <w:szCs w:val="14"/>
              </w:rPr>
              <w:t xml:space="preserve">0.520</w:t>
            </w:r>
          </w:p>
        </w:tc>
        <w:tc>
          <w:tcPr>
            <w:tcW w:type="dxa" w:w="615"/>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4"/>
                <w:szCs w:val="14"/>
              </w:rPr>
              <w:t xml:space="preserve">11.13</w:t>
            </w:r>
          </w:p>
        </w:tc>
      </w:tr>
      <w:tr>
        <w:trPr>
          <w:cantSplit/>
        </w:trPr>
        <w:tc>
          <w:tcPr>
            <w:tcW w:type="dxa" w:w="2030"/>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4"/>
                <w:szCs w:val="14"/>
              </w:rPr>
              <w:t xml:space="preserve">Conv1D</w:t>
            </w:r>
          </w:p>
        </w:tc>
        <w:tc>
          <w:tcPr>
            <w:tcW w:type="dxa" w:w="710"/>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4"/>
                <w:szCs w:val="14"/>
              </w:rPr>
              <w:t xml:space="preserve">0.375</w:t>
            </w:r>
          </w:p>
        </w:tc>
        <w:tc>
          <w:tcPr>
            <w:tcW w:type="dxa" w:w="710"/>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4"/>
                <w:szCs w:val="14"/>
              </w:rPr>
              <w:t xml:space="preserve">0.366</w:t>
            </w:r>
          </w:p>
        </w:tc>
        <w:tc>
          <w:tcPr>
            <w:tcW w:type="dxa" w:w="710"/>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4"/>
                <w:szCs w:val="14"/>
              </w:rPr>
              <w:t xml:space="preserve">0.379</w:t>
            </w:r>
          </w:p>
        </w:tc>
        <w:tc>
          <w:tcPr>
            <w:tcW w:type="dxa" w:w="710"/>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4"/>
                <w:szCs w:val="14"/>
              </w:rPr>
              <w:t xml:space="preserve">0.074</w:t>
            </w:r>
          </w:p>
        </w:tc>
        <w:tc>
          <w:tcPr>
            <w:tcW w:type="dxa" w:w="710"/>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4"/>
                <w:szCs w:val="14"/>
              </w:rPr>
              <w:t xml:space="preserve">0.373</w:t>
            </w:r>
          </w:p>
        </w:tc>
        <w:tc>
          <w:tcPr>
            <w:tcW w:type="dxa" w:w="1522"/>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4"/>
                <w:szCs w:val="14"/>
              </w:rPr>
              <w:t xml:space="preserve">0.4 (−0.4, 1.1)</w:t>
            </w:r>
          </w:p>
        </w:tc>
        <w:tc>
          <w:tcPr>
            <w:tcW w:type="dxa" w:w="609"/>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4"/>
                <w:szCs w:val="14"/>
              </w:rPr>
              <w:t xml:space="preserve">19.6</w:t>
            </w:r>
          </w:p>
        </w:tc>
        <w:tc>
          <w:tcPr>
            <w:tcW w:type="dxa" w:w="710"/>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4"/>
                <w:szCs w:val="14"/>
              </w:rPr>
              <w:t xml:space="preserve">0.232</w:t>
            </w:r>
          </w:p>
        </w:tc>
        <w:tc>
          <w:tcPr>
            <w:tcW w:type="dxa" w:w="710"/>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4"/>
                <w:szCs w:val="14"/>
              </w:rPr>
              <w:t xml:space="preserve">0.522</w:t>
            </w:r>
          </w:p>
        </w:tc>
        <w:tc>
          <w:tcPr>
            <w:tcW w:type="dxa" w:w="615"/>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4"/>
                <w:szCs w:val="14"/>
              </w:rPr>
              <w:t xml:space="preserve">11.47</w:t>
            </w:r>
          </w:p>
        </w:tc>
      </w:tr>
      <w:tr>
        <w:trPr>
          <w:cantSplit/>
        </w:trPr>
        <w:tc>
          <w:tcPr>
            <w:tcW w:type="dxa" w:w="2030"/>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4"/>
                <w:szCs w:val="14"/>
              </w:rPr>
              <w:t xml:space="preserve">GRU</w:t>
            </w:r>
          </w:p>
        </w:tc>
        <w:tc>
          <w:tcPr>
            <w:tcW w:type="dxa" w:w="710"/>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4"/>
                <w:szCs w:val="14"/>
              </w:rPr>
              <w:t xml:space="preserve">0.376</w:t>
            </w:r>
          </w:p>
        </w:tc>
        <w:tc>
          <w:tcPr>
            <w:tcW w:type="dxa" w:w="710"/>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4"/>
                <w:szCs w:val="14"/>
              </w:rPr>
              <w:t xml:space="preserve">0.369</w:t>
            </w:r>
          </w:p>
        </w:tc>
        <w:tc>
          <w:tcPr>
            <w:tcW w:type="dxa" w:w="710"/>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4"/>
                <w:szCs w:val="14"/>
              </w:rPr>
              <w:t xml:space="preserve">0.378</w:t>
            </w:r>
          </w:p>
        </w:tc>
        <w:tc>
          <w:tcPr>
            <w:tcW w:type="dxa" w:w="710"/>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4"/>
                <w:szCs w:val="14"/>
              </w:rPr>
              <w:t xml:space="preserve">0.073</w:t>
            </w:r>
          </w:p>
        </w:tc>
        <w:tc>
          <w:tcPr>
            <w:tcW w:type="dxa" w:w="710"/>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4"/>
                <w:szCs w:val="14"/>
              </w:rPr>
              <w:t xml:space="preserve">0.371</w:t>
            </w:r>
          </w:p>
        </w:tc>
        <w:tc>
          <w:tcPr>
            <w:tcW w:type="dxa" w:w="1522"/>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4"/>
                <w:szCs w:val="14"/>
              </w:rPr>
              <w:t xml:space="preserve">0.2 (0.0, 0.4)</w:t>
            </w:r>
          </w:p>
        </w:tc>
        <w:tc>
          <w:tcPr>
            <w:tcW w:type="dxa" w:w="609"/>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4"/>
                <w:szCs w:val="14"/>
              </w:rPr>
              <w:t xml:space="preserve">19.4</w:t>
            </w:r>
          </w:p>
        </w:tc>
        <w:tc>
          <w:tcPr>
            <w:tcW w:type="dxa" w:w="710"/>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4"/>
                <w:szCs w:val="14"/>
              </w:rPr>
              <w:t xml:space="preserve">0.269</w:t>
            </w:r>
          </w:p>
        </w:tc>
        <w:tc>
          <w:tcPr>
            <w:tcW w:type="dxa" w:w="710"/>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4"/>
                <w:szCs w:val="14"/>
              </w:rPr>
              <w:t xml:space="preserve">0.532</w:t>
            </w:r>
          </w:p>
        </w:tc>
        <w:tc>
          <w:tcPr>
            <w:tcW w:type="dxa" w:w="615"/>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4"/>
                <w:szCs w:val="14"/>
              </w:rPr>
              <w:t xml:space="preserve">11.73</w:t>
            </w:r>
          </w:p>
        </w:tc>
      </w:tr>
      <w:tr>
        <w:trPr>
          <w:cantSplit/>
        </w:trPr>
        <w:tc>
          <w:tcPr>
            <w:tcW w:type="dxa" w:w="2030"/>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4"/>
                <w:szCs w:val="14"/>
              </w:rPr>
              <w:t xml:space="preserve">MixMatch</w:t>
            </w:r>
          </w:p>
        </w:tc>
        <w:tc>
          <w:tcPr>
            <w:tcW w:type="dxa" w:w="710"/>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4"/>
                <w:szCs w:val="14"/>
              </w:rPr>
              <w:t xml:space="preserve">0.270</w:t>
            </w:r>
          </w:p>
        </w:tc>
        <w:tc>
          <w:tcPr>
            <w:tcW w:type="dxa" w:w="710"/>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4"/>
                <w:szCs w:val="14"/>
              </w:rPr>
              <w:t xml:space="preserve">0.226</w:t>
            </w:r>
          </w:p>
        </w:tc>
        <w:tc>
          <w:tcPr>
            <w:tcW w:type="dxa" w:w="710"/>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4"/>
                <w:szCs w:val="14"/>
              </w:rPr>
              <w:t xml:space="preserve">0.364</w:t>
            </w:r>
          </w:p>
        </w:tc>
        <w:tc>
          <w:tcPr>
            <w:tcW w:type="dxa" w:w="710"/>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4"/>
                <w:szCs w:val="14"/>
              </w:rPr>
              <w:t xml:space="preserve">0.038</w:t>
            </w:r>
          </w:p>
        </w:tc>
        <w:tc>
          <w:tcPr>
            <w:tcW w:type="dxa" w:w="710"/>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4"/>
                <w:szCs w:val="14"/>
              </w:rPr>
              <w:t xml:space="preserve">0.334</w:t>
            </w:r>
          </w:p>
        </w:tc>
        <w:tc>
          <w:tcPr>
            <w:tcW w:type="dxa" w:w="1522"/>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4"/>
                <w:szCs w:val="14"/>
              </w:rPr>
              <w:t xml:space="preserve">9.4 (7.8, 11.1)</w:t>
            </w:r>
          </w:p>
        </w:tc>
        <w:tc>
          <w:tcPr>
            <w:tcW w:type="dxa" w:w="609"/>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4"/>
                <w:szCs w:val="14"/>
              </w:rPr>
              <w:t xml:space="preserve">10.4</w:t>
            </w:r>
          </w:p>
        </w:tc>
        <w:tc>
          <w:tcPr>
            <w:tcW w:type="dxa" w:w="710"/>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4"/>
                <w:szCs w:val="14"/>
              </w:rPr>
              <w:t xml:space="preserve">0.312</w:t>
            </w:r>
          </w:p>
        </w:tc>
        <w:tc>
          <w:tcPr>
            <w:tcW w:type="dxa" w:w="710"/>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4"/>
                <w:szCs w:val="14"/>
              </w:rPr>
              <w:t xml:space="preserve">0.431</w:t>
            </w:r>
          </w:p>
        </w:tc>
        <w:tc>
          <w:tcPr>
            <w:tcW w:type="dxa" w:w="615"/>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4"/>
                <w:szCs w:val="14"/>
              </w:rPr>
              <w:t xml:space="preserve">12.07</w:t>
            </w:r>
          </w:p>
        </w:tc>
      </w:tr>
      <w:tr>
        <w:trPr>
          <w:cantSplit/>
        </w:trPr>
        <w:tc>
          <w:tcPr>
            <w:tcW w:type="dxa" w:w="2030"/>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4"/>
                <w:szCs w:val="14"/>
              </w:rPr>
              <w:t xml:space="preserve">EEG Conformer</w:t>
            </w:r>
          </w:p>
        </w:tc>
        <w:tc>
          <w:tcPr>
            <w:tcW w:type="dxa" w:w="710"/>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4"/>
                <w:szCs w:val="14"/>
              </w:rPr>
              <w:t xml:space="preserve">0.353</w:t>
            </w:r>
          </w:p>
        </w:tc>
        <w:tc>
          <w:tcPr>
            <w:tcW w:type="dxa" w:w="710"/>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4"/>
                <w:szCs w:val="14"/>
              </w:rPr>
              <w:t xml:space="preserve">0.344</w:t>
            </w:r>
          </w:p>
        </w:tc>
        <w:tc>
          <w:tcPr>
            <w:tcW w:type="dxa" w:w="710"/>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4"/>
                <w:szCs w:val="14"/>
              </w:rPr>
              <w:t xml:space="preserve">0.361</w:t>
            </w:r>
          </w:p>
        </w:tc>
        <w:tc>
          <w:tcPr>
            <w:tcW w:type="dxa" w:w="710"/>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4"/>
                <w:szCs w:val="14"/>
              </w:rPr>
              <w:t xml:space="preserve">0.065</w:t>
            </w:r>
          </w:p>
        </w:tc>
        <w:tc>
          <w:tcPr>
            <w:tcW w:type="dxa" w:w="710"/>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4"/>
                <w:szCs w:val="14"/>
              </w:rPr>
              <w:t xml:space="preserve">0.353</w:t>
            </w:r>
          </w:p>
        </w:tc>
        <w:tc>
          <w:tcPr>
            <w:tcW w:type="dxa" w:w="1522"/>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4"/>
                <w:szCs w:val="14"/>
              </w:rPr>
              <w:t xml:space="preserve">0.8 (0.2, 1.4)</w:t>
            </w:r>
          </w:p>
        </w:tc>
        <w:tc>
          <w:tcPr>
            <w:tcW w:type="dxa" w:w="609"/>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4"/>
                <w:szCs w:val="14"/>
              </w:rPr>
              <w:t xml:space="preserve">18.1</w:t>
            </w:r>
          </w:p>
        </w:tc>
        <w:tc>
          <w:tcPr>
            <w:tcW w:type="dxa" w:w="710"/>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4"/>
                <w:szCs w:val="14"/>
              </w:rPr>
              <w:t xml:space="preserve">0.263</w:t>
            </w:r>
          </w:p>
        </w:tc>
        <w:tc>
          <w:tcPr>
            <w:tcW w:type="dxa" w:w="710"/>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4"/>
                <w:szCs w:val="14"/>
              </w:rPr>
              <w:t xml:space="preserve">0.481</w:t>
            </w:r>
          </w:p>
        </w:tc>
        <w:tc>
          <w:tcPr>
            <w:tcW w:type="dxa" w:w="615"/>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4"/>
                <w:szCs w:val="14"/>
              </w:rPr>
              <w:t xml:space="preserve">12.67</w:t>
            </w:r>
          </w:p>
        </w:tc>
      </w:tr>
    </w:tbl>
    <w:p>
      <w:pPr>
        <w:pBdr>
          <w:bottom w:val="dotted" w:color="A6A6A6" w:sz="6" w:space="6"/>
        </w:pBdr>
        <w:spacing w:after="360" w:before="120" w:line="240"/>
        <w:ind w:left="1700"/>
        <w:jc w:val="left"/>
      </w:pPr>
      <w:r>
        <w:rPr>
          <w:rFonts w:ascii="Times New Roman" w:cs="Times New Roman" w:eastAsia="Times New Roman" w:hAnsi="Times New Roman"/>
          <w:b/>
          <w:bCs/>
          <w:sz w:val="19"/>
          <w:szCs w:val="19"/>
        </w:rPr>
        <w:t xml:space="preserve">Table 5</w:t>
      </w:r>
      <w:r>
        <w:rPr>
          <w:rFonts w:ascii="Times New Roman" w:cs="Times New Roman" w:eastAsia="Times New Roman" w:hAnsi="Times New Roman"/>
          <w:sz w:val="19"/>
          <w:szCs w:val="19"/>
        </w:rPr>
        <w:t xml:space="preserve">. Cross-participant four-class emotion recognition for all 15 deep models per montage, zero-shot (ZS) and after 20-window calibration (Cal). Values are means over 15 held-out participants (each averaged over three seeds). Gain = calibrated minus zero-shot accuracy in percentage points with 95% bootstrap CI; CV = between-participant coefficient of variation of calibrated accuracy; worst/best = lowest/highest participant; rank = Friedman average rank after calibration (1 = best). Chance accuracy is 0.25.</w:t>
      </w:r>
    </w:p>
    <w:p>
      <w:pPr>
        <w:keepNext/>
        <w:spacing w:before="240"/>
        <w:jc w:val="center"/>
      </w:pPr>
      <w:r>
        <w:drawing>
          <wp:inline distT="0" distB="0" distL="0" distR="0">
            <wp:extent cx="6096000" cy="2466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6096000" cy="2466975"/>
                    </a:xfrm>
                    <a:prstGeom prst="rect">
                      <a:avLst/>
                    </a:prstGeom>
                  </pic:spPr>
                </pic:pic>
              </a:graphicData>
            </a:graphic>
          </wp:inline>
        </w:drawing>
      </w:r>
    </w:p>
    <w:p>
      <w:pPr>
        <w:pBdr>
          <w:bottom w:val="dotted" w:color="A6A6A6" w:sz="6" w:space="6"/>
        </w:pBdr>
        <w:spacing w:after="360" w:before="120" w:line="240"/>
        <w:ind w:left="1700"/>
        <w:jc w:val="left"/>
      </w:pPr>
      <w:r>
        <w:rPr>
          <w:rFonts w:ascii="Times New Roman" w:cs="Times New Roman" w:eastAsia="Times New Roman" w:hAnsi="Times New Roman"/>
          <w:b/>
          <w:bCs/>
          <w:sz w:val="19"/>
          <w:szCs w:val="19"/>
        </w:rPr>
        <w:t xml:space="preserve">Fig. 5</w:t>
      </w:r>
      <w:r>
        <w:rPr>
          <w:rFonts w:ascii="Times New Roman" w:cs="Times New Roman" w:eastAsia="Times New Roman" w:hAnsi="Times New Roman"/>
          <w:sz w:val="19"/>
          <w:szCs w:val="19"/>
        </w:rPr>
        <w:t xml:space="preserve">. Classical machine-learning baselines. Mean macro F1 over 45 leave-one-participant-out runs with (a) 62 electrodes and (b) six electrodes.</w:t>
      </w:r>
    </w:p>
    <w:p>
      <w:pPr>
        <w:keepNext/>
        <w:spacing w:before="240"/>
        <w:jc w:val="center"/>
      </w:pPr>
      <w:r>
        <w:drawing>
          <wp:inline distT="0" distB="0" distL="0" distR="0">
            <wp:extent cx="6096000" cy="2590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6096000" cy="2590800"/>
                    </a:xfrm>
                    <a:prstGeom prst="rect">
                      <a:avLst/>
                    </a:prstGeom>
                  </pic:spPr>
                </pic:pic>
              </a:graphicData>
            </a:graphic>
          </wp:inline>
        </w:drawing>
      </w:r>
    </w:p>
    <w:p>
      <w:pPr>
        <w:pBdr>
          <w:bottom w:val="dotted" w:color="A6A6A6" w:sz="6" w:space="6"/>
        </w:pBdr>
        <w:spacing w:after="360" w:before="120" w:line="240"/>
        <w:ind w:left="1700"/>
        <w:jc w:val="left"/>
      </w:pPr>
      <w:r>
        <w:rPr>
          <w:rFonts w:ascii="Times New Roman" w:cs="Times New Roman" w:eastAsia="Times New Roman" w:hAnsi="Times New Roman"/>
          <w:b/>
          <w:bCs/>
          <w:sz w:val="19"/>
          <w:szCs w:val="19"/>
        </w:rPr>
        <w:t xml:space="preserve">Fig. 6</w:t>
      </w:r>
      <w:r>
        <w:rPr>
          <w:rFonts w:ascii="Times New Roman" w:cs="Times New Roman" w:eastAsia="Times New Roman" w:hAnsi="Times New Roman"/>
          <w:sz w:val="19"/>
          <w:szCs w:val="19"/>
        </w:rPr>
        <w:t xml:space="preserve">. Calibrated performance of all deep models. Mean accuracy over 45 runs after 20-window calibration with (a) 62 electrodes and (b) six electrodes. Colours denote model family (proposed, domain-adaptive, self/semi-supervised, DANCE, supervised baselines). Zero-shot results are shown in Fig. 7. The axis label ‘balanced accuracy’ in this thesis figure denotes accuracy (see Methods).</w:t>
      </w:r>
    </w:p>
    <w:p>
      <w:pPr>
        <w:pStyle w:val="Heading2"/>
        <w:keepNext/>
        <w:spacing w:after="40" w:before="220"/>
        <w:ind w:left="1700"/>
      </w:pPr>
      <w:r>
        <w:rPr>
          <w:rFonts w:ascii="Arial" w:cs="Arial" w:eastAsia="Arial" w:hAnsi="Arial"/>
          <w:b/>
          <w:bCs/>
          <w:color w:val="000000"/>
          <w:sz w:val="21"/>
          <w:szCs w:val="21"/>
        </w:rPr>
        <w:t xml:space="preserve">4.2 Zero-shot cross-participant decoding</w:t>
      </w:r>
    </w:p>
    <w:p>
      <w:pPr>
        <w:spacing w:after="0" w:line="252"/>
        <w:ind w:left="1700" w:firstLine="0"/>
        <w:jc w:val="both"/>
      </w:pPr>
      <w:r>
        <w:rPr>
          <w:rFonts w:ascii="Times New Roman" w:cs="Times New Roman" w:eastAsia="Times New Roman" w:hAnsi="Times New Roman"/>
          <w:sz w:val="20"/>
          <w:szCs w:val="20"/>
        </w:rPr>
        <w:t xml:space="preserve">Without target data, no model approached the accuracies reported in much of the literature (Fig. 7). With 62 electrodes, CLISA-EWU had the highest mean zero-shot accuracy (0.485, 95% CI 0.428–0.542) but did not differ from the two-layer perceptron (difference 0.9 percentage points, −0.5 to 2.1; Wilcoxon p = 0.25) or the deep perceptron (0.6 points, −0.9 to 2.2; p = 0.64). Its advantage over DANN (2.7 points, 1.0 to 4.2; unadjusted p = 0.010) did not survive Holm correction (p = 0.12). With six electrodes, zero-shot accuracy fell to 0.406 (0.370–0.439) for CLISA-EWU, and SimCLR (0.446) and BYOL (0.440) were numerically higher (both Holm-adjusted p = 1.00). Zero-shot performance varied greatly between participants, from 0.244 (participant 11, at chance) to 0.723 (participant 7) for CLISA-EWU with 62 electrodes (Fig. 8a).</w:t>
      </w:r>
    </w:p>
    <w:p>
      <w:pPr>
        <w:keepNext/>
        <w:spacing w:before="240"/>
        <w:jc w:val="center"/>
      </w:pPr>
      <w:r>
        <w:drawing>
          <wp:inline distT="0" distB="0" distL="0" distR="0">
            <wp:extent cx="6096000" cy="3724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6096000" cy="3724275"/>
                    </a:xfrm>
                    <a:prstGeom prst="rect">
                      <a:avLst/>
                    </a:prstGeom>
                  </pic:spPr>
                </pic:pic>
              </a:graphicData>
            </a:graphic>
          </wp:inline>
        </w:drawing>
      </w:r>
    </w:p>
    <w:p>
      <w:pPr>
        <w:pBdr>
          <w:bottom w:val="dotted" w:color="A6A6A6" w:sz="6" w:space="6"/>
        </w:pBdr>
        <w:spacing w:after="360" w:before="120" w:line="240"/>
        <w:ind w:left="1700"/>
        <w:jc w:val="left"/>
      </w:pPr>
      <w:r>
        <w:rPr>
          <w:rFonts w:ascii="Times New Roman" w:cs="Times New Roman" w:eastAsia="Times New Roman" w:hAnsi="Times New Roman"/>
          <w:b/>
          <w:bCs/>
          <w:sz w:val="19"/>
          <w:szCs w:val="19"/>
        </w:rPr>
        <w:t xml:space="preserve">Fig. 7</w:t>
      </w:r>
      <w:r>
        <w:rPr>
          <w:rFonts w:ascii="Times New Roman" w:cs="Times New Roman" w:eastAsia="Times New Roman" w:hAnsi="Times New Roman"/>
          <w:sz w:val="19"/>
          <w:szCs w:val="19"/>
        </w:rPr>
        <w:t xml:space="preserve">. Zero-shot versus calibrated accuracy for 16 deep models. (a) 62 electrodes. (b) Six electrodes (FP1, FP2, F7, F8, T7, T8). Points are means over 15 held-out participants (each averaged over three seeds); bars are 95% bootstrap confidence intervals; the grey segment joins the two protocols for each model. The dotted line marks chance (0.25).</w:t>
      </w:r>
    </w:p>
    <w:p>
      <w:pPr>
        <w:keepNext/>
        <w:spacing w:before="240"/>
        <w:jc w:val="center"/>
      </w:pPr>
      <w:r>
        <w:drawing>
          <wp:inline distT="0" distB="0" distL="0" distR="0">
            <wp:extent cx="6096000" cy="2876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6096000" cy="2876550"/>
                    </a:xfrm>
                    <a:prstGeom prst="rect">
                      <a:avLst/>
                    </a:prstGeom>
                  </pic:spPr>
                </pic:pic>
              </a:graphicData>
            </a:graphic>
          </wp:inline>
        </w:drawing>
      </w:r>
    </w:p>
    <w:p>
      <w:pPr>
        <w:pBdr>
          <w:bottom w:val="dotted" w:color="A6A6A6" w:sz="6" w:space="6"/>
        </w:pBdr>
        <w:spacing w:after="360" w:before="120" w:line="240"/>
        <w:ind w:left="1700"/>
        <w:jc w:val="left"/>
      </w:pPr>
      <w:r>
        <w:rPr>
          <w:rFonts w:ascii="Times New Roman" w:cs="Times New Roman" w:eastAsia="Times New Roman" w:hAnsi="Times New Roman"/>
          <w:b/>
          <w:bCs/>
          <w:sz w:val="19"/>
          <w:szCs w:val="19"/>
        </w:rPr>
        <w:t xml:space="preserve">Fig. 8</w:t>
      </w:r>
      <w:r>
        <w:rPr>
          <w:rFonts w:ascii="Times New Roman" w:cs="Times New Roman" w:eastAsia="Times New Roman" w:hAnsi="Times New Roman"/>
          <w:sz w:val="19"/>
          <w:szCs w:val="19"/>
        </w:rPr>
        <w:t xml:space="preserve">. Participant-level accuracy of CLISA-EWU with 62 and six electrodes. (a) Zero-shot. (b) After 20-window calibration. Each line is one held-out participant (mean of three seeds); black bars are means over participants. The dotted line marks chance (0.25).</w:t>
      </w:r>
    </w:p>
    <w:p>
      <w:pPr>
        <w:pStyle w:val="Heading2"/>
        <w:keepNext/>
        <w:spacing w:after="40" w:before="220"/>
        <w:ind w:left="1700"/>
      </w:pPr>
      <w:r>
        <w:rPr>
          <w:rFonts w:ascii="Arial" w:cs="Arial" w:eastAsia="Arial" w:hAnsi="Arial"/>
          <w:b/>
          <w:bCs/>
          <w:color w:val="000000"/>
          <w:sz w:val="21"/>
          <w:szCs w:val="21"/>
        </w:rPr>
        <w:t xml:space="preserve">4.3 Effect of few-shot calibration</w:t>
      </w:r>
    </w:p>
    <w:p>
      <w:pPr>
        <w:spacing w:after="0" w:line="252"/>
        <w:ind w:left="1700" w:firstLine="0"/>
        <w:jc w:val="both"/>
      </w:pPr>
      <w:r>
        <w:rPr>
          <w:rFonts w:ascii="Times New Roman" w:cs="Times New Roman" w:eastAsia="Times New Roman" w:hAnsi="Times New Roman"/>
          <w:sz w:val="20"/>
          <w:szCs w:val="20"/>
        </w:rPr>
        <w:t xml:space="preserve">Calibration with 20 labelled windows changed the ranking of models (Fig. 7, Table 5). Models trained with a contrastive, domain-adversarial or pseudo-label objective (CLISA-EWU, SimCLR, BYOL, DANN, PseudoLabel) gained 15.6–21.4 percentage points (MixMatch and the DANCE pair gained 9.4–25.0 points), whereas purely supervised networks gained 0.1–2.0 points under the identical calibration routine. After calibration CLISA-EWU had the highest mean accuracy with both montages: 0.678 (0.641–0.718) with 62 electrodes and 0.620 (0.590–0.648) with six (Fig. 9). The mechanism behind the objective-dependent gain is not established here; candidate explanations include adaptation of batch-normalisation statistics to the new participant</w:t>
      </w:r>
      <w:r>
        <w:rPr>
          <w:rFonts w:ascii="Times New Roman" w:cs="Times New Roman" w:eastAsia="Times New Roman" w:hAnsi="Times New Roman"/>
          <w:color w:val="1F4E9A"/>
          <w:sz w:val="20"/>
          <w:szCs w:val="20"/>
          <w:vertAlign w:val="superscript"/>
        </w:rPr>
        <w:t xml:space="preserve">45</w:t>
      </w:r>
      <w:r>
        <w:rPr>
          <w:rFonts w:ascii="Times New Roman" w:cs="Times New Roman" w:eastAsia="Times New Roman" w:hAnsi="Times New Roman"/>
          <w:sz w:val="20"/>
          <w:szCs w:val="20"/>
        </w:rPr>
        <w:t xml:space="preserve"> and differences in how sharply each objective fits the training participants </w:t>
      </w:r>
      <w:r>
        <w:rPr>
          <w:rFonts w:ascii="Times New Roman" w:cs="Times New Roman" w:eastAsia="Times New Roman" w:hAnsi="Times New Roman"/>
          <w:sz w:val="20"/>
          <w:szCs w:val="20"/>
          <w:highlight w:val="yellow"/>
          <w:highlightCs w:val="yellow"/>
        </w:rPr>
        <w:t xml:space="preserve">[pending ablation: calibrate batch-normalisation statistics only, the classifier only, and all parameters]</w:t>
      </w:r>
      <w:r>
        <w:rPr>
          <w:rFonts w:ascii="Times New Roman" w:cs="Times New Roman" w:eastAsia="Times New Roman" w:hAnsi="Times New Roman"/>
          <w:sz w:val="20"/>
          <w:szCs w:val="20"/>
        </w:rPr>
        <w:t xml:space="preserve">.</w:t>
      </w:r>
    </w:p>
    <w:p>
      <w:pPr>
        <w:keepNext/>
        <w:spacing w:before="240"/>
        <w:jc w:val="center"/>
      </w:pPr>
      <w:r>
        <w:drawing>
          <wp:inline distT="0" distB="0" distL="0" distR="0">
            <wp:extent cx="6096000" cy="4400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6096000" cy="4400550"/>
                    </a:xfrm>
                    <a:prstGeom prst="rect">
                      <a:avLst/>
                    </a:prstGeom>
                  </pic:spPr>
                </pic:pic>
              </a:graphicData>
            </a:graphic>
          </wp:inline>
        </w:drawing>
      </w:r>
    </w:p>
    <w:p>
      <w:pPr>
        <w:pBdr>
          <w:bottom w:val="dotted" w:color="A6A6A6" w:sz="6" w:space="6"/>
        </w:pBdr>
        <w:spacing w:after="360" w:before="120" w:line="240"/>
        <w:ind w:left="1700"/>
        <w:jc w:val="left"/>
      </w:pPr>
      <w:r>
        <w:rPr>
          <w:rFonts w:ascii="Times New Roman" w:cs="Times New Roman" w:eastAsia="Times New Roman" w:hAnsi="Times New Roman"/>
          <w:b/>
          <w:bCs/>
          <w:sz w:val="19"/>
          <w:szCs w:val="19"/>
        </w:rPr>
        <w:t xml:space="preserve">Fig. 9</w:t>
      </w:r>
      <w:r>
        <w:rPr>
          <w:rFonts w:ascii="Times New Roman" w:cs="Times New Roman" w:eastAsia="Times New Roman" w:hAnsi="Times New Roman"/>
          <w:sz w:val="19"/>
          <w:szCs w:val="19"/>
        </w:rPr>
        <w:t xml:space="preserve">. Run-level distribution of calibrated CLISA-EWU performance. Accuracy for each of the 45 runs (15 held-out participants × 3 seeds) with 62 and six electrodes. Horizontal lines mark the mean and range; stars mark the best single runs (85.35% and 78.63%), shown for completeness and not as estimates of expected performance. The axis label ‘balanced accuracy’ in this thesis figure denotes accuracy (see Methods).</w:t>
      </w:r>
    </w:p>
    <w:p>
      <w:pPr>
        <w:spacing w:after="0" w:line="252"/>
        <w:ind w:left="1700" w:firstLine="240"/>
        <w:jc w:val="both"/>
      </w:pPr>
      <w:r>
        <w:rPr>
          <w:rFonts w:ascii="Times New Roman" w:cs="Times New Roman" w:eastAsia="Times New Roman" w:hAnsi="Times New Roman"/>
          <w:sz w:val="20"/>
          <w:szCs w:val="20"/>
        </w:rPr>
        <w:t xml:space="preserve">In paired participant-level comparisons (Table 6, Fig. 10), calibrated CLISA-EWU outperformed BYOL (6.9 points, 5.2–8.5), SimCLR (10.3 points) and all supervised networks with 62 electrodes, for every one of the 15 participants. Its margin over PseudoLabel (2.1 points, 1.0–3.1; Holm p = 0.016) remained significant, but its margin over DANN (1.6 points, 0.6–2.6; Holm p = 0.062) did not. With six electrodes, CLISA-EWU, BYOL, PseudoLabel, SimCLR and DANN were statistically indistinguishable.</w:t>
      </w:r>
    </w:p>
    <w:p>
      <w:pPr>
        <w:spacing w:before="20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33"/>
        <w:gridCol w:w="2030"/>
        <w:gridCol w:w="812"/>
        <w:gridCol w:w="812"/>
        <w:gridCol w:w="812"/>
        <w:gridCol w:w="1015"/>
        <w:gridCol w:w="1015"/>
        <w:gridCol w:w="1017"/>
      </w:tblGrid>
      <w:tr>
        <w:trPr>
          <w:tblHeader/>
        </w:trPr>
        <w:tc>
          <w:tcPr>
            <w:tcW w:type="dxa" w:w="2233"/>
            <w:tcBorders>
              <w:top w:val="single" w:color="000000" w:sz="4"/>
              <w:left w:val="single" w:color="000000" w:sz="4"/>
              <w:bottom w:val="single" w:color="000000" w:sz="4"/>
              <w:right w:val="single" w:color="000000" w:sz="4"/>
            </w:tcBorders>
            <w:shd w:fill="BFBFBF" w:color="auto" w:val="clear"/>
            <w:tcMar>
              <w:top w:type="dxa" w:w="25"/>
              <w:left w:type="dxa" w:w="50"/>
              <w:bottom w:type="dxa" w:w="25"/>
              <w:right w:type="dxa" w:w="50"/>
            </w:tcMar>
          </w:tcPr>
          <w:p>
            <w:r>
              <w:rPr>
                <w:rFonts w:ascii="Times New Roman" w:cs="Times New Roman" w:eastAsia="Times New Roman" w:hAnsi="Times New Roman"/>
                <w:b/>
                <w:bCs/>
                <w:sz w:val="15"/>
                <w:szCs w:val="15"/>
              </w:rPr>
              <w:t xml:space="preserve">Comparison</w:t>
            </w:r>
          </w:p>
        </w:tc>
        <w:tc>
          <w:tcPr>
            <w:tcW w:type="dxa" w:w="2030"/>
            <w:tcBorders>
              <w:top w:val="single" w:color="000000" w:sz="4"/>
              <w:left w:val="single" w:color="000000" w:sz="4"/>
              <w:bottom w:val="single" w:color="000000" w:sz="4"/>
              <w:right w:val="single" w:color="000000" w:sz="4"/>
            </w:tcBorders>
            <w:shd w:fill="BFBFBF" w:color="auto" w:val="clear"/>
            <w:tcMar>
              <w:top w:type="dxa" w:w="25"/>
              <w:left w:type="dxa" w:w="50"/>
              <w:bottom w:type="dxa" w:w="25"/>
              <w:right w:type="dxa" w:w="50"/>
            </w:tcMar>
          </w:tcPr>
          <w:p>
            <w:r>
              <w:rPr>
                <w:rFonts w:ascii="Times New Roman" w:cs="Times New Roman" w:eastAsia="Times New Roman" w:hAnsi="Times New Roman"/>
                <w:b/>
                <w:bCs/>
                <w:sz w:val="15"/>
                <w:szCs w:val="15"/>
              </w:rPr>
              <w:t xml:space="preserve">Δ, points (95% CI)</w:t>
            </w:r>
          </w:p>
        </w:tc>
        <w:tc>
          <w:tcPr>
            <w:tcW w:type="dxa" w:w="812"/>
            <w:tcBorders>
              <w:top w:val="single" w:color="000000" w:sz="4"/>
              <w:left w:val="single" w:color="000000" w:sz="4"/>
              <w:bottom w:val="single" w:color="000000" w:sz="4"/>
              <w:right w:val="single" w:color="000000" w:sz="4"/>
            </w:tcBorders>
            <w:shd w:fill="BFBFBF" w:color="auto" w:val="clear"/>
            <w:tcMar>
              <w:top w:type="dxa" w:w="25"/>
              <w:left w:type="dxa" w:w="50"/>
              <w:bottom w:type="dxa" w:w="25"/>
              <w:right w:type="dxa" w:w="50"/>
            </w:tcMar>
          </w:tcPr>
          <w:p>
            <w:r>
              <w:rPr>
                <w:rFonts w:ascii="Times New Roman" w:cs="Times New Roman" w:eastAsia="Times New Roman" w:hAnsi="Times New Roman"/>
                <w:b/>
                <w:bCs/>
                <w:sz w:val="15"/>
                <w:szCs w:val="15"/>
              </w:rPr>
              <w:t xml:space="preserve">d</w:t>
            </w:r>
            <w:r>
              <w:rPr>
                <w:rFonts w:ascii="Times New Roman" w:cs="Times New Roman" w:eastAsia="Times New Roman" w:hAnsi="Times New Roman"/>
                <w:b/>
                <w:bCs/>
                <w:sz w:val="15"/>
                <w:szCs w:val="15"/>
                <w:vertAlign w:val="subscript"/>
              </w:rPr>
              <w:t xml:space="preserve">z</w:t>
            </w:r>
          </w:p>
        </w:tc>
        <w:tc>
          <w:tcPr>
            <w:tcW w:type="dxa" w:w="812"/>
            <w:tcBorders>
              <w:top w:val="single" w:color="000000" w:sz="4"/>
              <w:left w:val="single" w:color="000000" w:sz="4"/>
              <w:bottom w:val="single" w:color="000000" w:sz="4"/>
              <w:right w:val="single" w:color="000000" w:sz="4"/>
            </w:tcBorders>
            <w:shd w:fill="BFBFBF" w:color="auto" w:val="clear"/>
            <w:tcMar>
              <w:top w:type="dxa" w:w="25"/>
              <w:left w:type="dxa" w:w="50"/>
              <w:bottom w:type="dxa" w:w="25"/>
              <w:right w:type="dxa" w:w="50"/>
            </w:tcMar>
          </w:tcPr>
          <w:p>
            <w:r>
              <w:rPr>
                <w:rFonts w:ascii="Times New Roman" w:cs="Times New Roman" w:eastAsia="Times New Roman" w:hAnsi="Times New Roman"/>
                <w:b/>
                <w:bCs/>
                <w:sz w:val="15"/>
                <w:szCs w:val="15"/>
              </w:rPr>
              <w:t xml:space="preserve">r</w:t>
            </w:r>
            <w:r>
              <w:rPr>
                <w:rFonts w:ascii="Times New Roman" w:cs="Times New Roman" w:eastAsia="Times New Roman" w:hAnsi="Times New Roman"/>
                <w:b/>
                <w:bCs/>
                <w:sz w:val="15"/>
                <w:szCs w:val="15"/>
                <w:vertAlign w:val="subscript"/>
              </w:rPr>
              <w:t xml:space="preserve">rb</w:t>
            </w:r>
          </w:p>
        </w:tc>
        <w:tc>
          <w:tcPr>
            <w:tcW w:type="dxa" w:w="812"/>
            <w:tcBorders>
              <w:top w:val="single" w:color="000000" w:sz="4"/>
              <w:left w:val="single" w:color="000000" w:sz="4"/>
              <w:bottom w:val="single" w:color="000000" w:sz="4"/>
              <w:right w:val="single" w:color="000000" w:sz="4"/>
            </w:tcBorders>
            <w:shd w:fill="BFBFBF" w:color="auto" w:val="clear"/>
            <w:tcMar>
              <w:top w:type="dxa" w:w="25"/>
              <w:left w:type="dxa" w:w="50"/>
              <w:bottom w:type="dxa" w:w="25"/>
              <w:right w:type="dxa" w:w="50"/>
            </w:tcMar>
          </w:tcPr>
          <w:p>
            <w:r>
              <w:rPr>
                <w:rFonts w:ascii="Times New Roman" w:cs="Times New Roman" w:eastAsia="Times New Roman" w:hAnsi="Times New Roman"/>
                <w:b/>
                <w:bCs/>
                <w:sz w:val="15"/>
                <w:szCs w:val="15"/>
              </w:rPr>
              <w:t xml:space="preserve">Wins</w:t>
            </w:r>
          </w:p>
        </w:tc>
        <w:tc>
          <w:tcPr>
            <w:tcW w:type="dxa" w:w="1015"/>
            <w:tcBorders>
              <w:top w:val="single" w:color="000000" w:sz="4"/>
              <w:left w:val="single" w:color="000000" w:sz="4"/>
              <w:bottom w:val="single" w:color="000000" w:sz="4"/>
              <w:right w:val="single" w:color="000000" w:sz="4"/>
            </w:tcBorders>
            <w:shd w:fill="BFBFBF" w:color="auto" w:val="clear"/>
            <w:tcMar>
              <w:top w:type="dxa" w:w="25"/>
              <w:left w:type="dxa" w:w="50"/>
              <w:bottom w:type="dxa" w:w="25"/>
              <w:right w:type="dxa" w:w="50"/>
            </w:tcMar>
          </w:tcPr>
          <w:p>
            <w:r>
              <w:rPr>
                <w:rFonts w:ascii="Times New Roman" w:cs="Times New Roman" w:eastAsia="Times New Roman" w:hAnsi="Times New Roman"/>
                <w:b/>
                <w:bCs/>
                <w:sz w:val="15"/>
                <w:szCs w:val="15"/>
              </w:rPr>
              <w:t xml:space="preserve">t-test p</w:t>
            </w:r>
          </w:p>
        </w:tc>
        <w:tc>
          <w:tcPr>
            <w:tcW w:type="dxa" w:w="1015"/>
            <w:tcBorders>
              <w:top w:val="single" w:color="000000" w:sz="4"/>
              <w:left w:val="single" w:color="000000" w:sz="4"/>
              <w:bottom w:val="single" w:color="000000" w:sz="4"/>
              <w:right w:val="single" w:color="000000" w:sz="4"/>
            </w:tcBorders>
            <w:shd w:fill="BFBFBF" w:color="auto" w:val="clear"/>
            <w:tcMar>
              <w:top w:type="dxa" w:w="25"/>
              <w:left w:type="dxa" w:w="50"/>
              <w:bottom w:type="dxa" w:w="25"/>
              <w:right w:type="dxa" w:w="50"/>
            </w:tcMar>
          </w:tcPr>
          <w:p>
            <w:r>
              <w:rPr>
                <w:rFonts w:ascii="Times New Roman" w:cs="Times New Roman" w:eastAsia="Times New Roman" w:hAnsi="Times New Roman"/>
                <w:b/>
                <w:bCs/>
                <w:sz w:val="15"/>
                <w:szCs w:val="15"/>
              </w:rPr>
              <w:t xml:space="preserve">Wilcoxon p</w:t>
            </w:r>
          </w:p>
        </w:tc>
        <w:tc>
          <w:tcPr>
            <w:tcW w:type="dxa" w:w="1017"/>
            <w:tcBorders>
              <w:top w:val="single" w:color="000000" w:sz="4"/>
              <w:left w:val="single" w:color="000000" w:sz="4"/>
              <w:bottom w:val="single" w:color="000000" w:sz="4"/>
              <w:right w:val="single" w:color="000000" w:sz="4"/>
            </w:tcBorders>
            <w:shd w:fill="BFBFBF" w:color="auto" w:val="clear"/>
            <w:tcMar>
              <w:top w:type="dxa" w:w="25"/>
              <w:left w:type="dxa" w:w="50"/>
              <w:bottom w:type="dxa" w:w="25"/>
              <w:right w:type="dxa" w:w="50"/>
            </w:tcMar>
          </w:tcPr>
          <w:p>
            <w:r>
              <w:rPr>
                <w:rFonts w:ascii="Times New Roman" w:cs="Times New Roman" w:eastAsia="Times New Roman" w:hAnsi="Times New Roman"/>
                <w:b/>
                <w:bCs/>
                <w:sz w:val="15"/>
                <w:szCs w:val="15"/>
              </w:rPr>
              <w:t xml:space="preserve">Holm p</w:t>
            </w:r>
          </w:p>
        </w:tc>
      </w:tr>
      <w:tr>
        <w:trPr>
          <w:cantSplit/>
        </w:trPr>
        <w:tc>
          <w:tcPr>
            <w:tcW w:type="dxa" w:w="2233"/>
            <w:tcBorders>
              <w:top w:val="single" w:color="000000" w:sz="4"/>
              <w:left w:val="single" w:color="000000" w:sz="4"/>
              <w:bottom w:val="single" w:color="000000" w:sz="4"/>
              <w:right w:val="single" w:color="000000" w:sz="4"/>
            </w:tcBorders>
            <w:shd w:fill="E7E6E6" w:color="auto" w:val="clear"/>
            <w:tcMar>
              <w:top w:type="dxa" w:w="25"/>
              <w:left w:type="dxa" w:w="50"/>
              <w:bottom w:type="dxa" w:w="25"/>
              <w:right w:type="dxa" w:w="50"/>
            </w:tcMar>
          </w:tcPr>
          <w:p>
            <w:r>
              <w:rPr>
                <w:rFonts w:ascii="Times New Roman" w:cs="Times New Roman" w:eastAsia="Times New Roman" w:hAnsi="Times New Roman"/>
                <w:b/>
                <w:bCs/>
                <w:sz w:val="15"/>
                <w:szCs w:val="15"/>
              </w:rPr>
              <w:t xml:space="preserve">Calibrated, 62 electrodes</w:t>
            </w:r>
          </w:p>
        </w:tc>
        <w:tc>
          <w:tcPr>
            <w:tcW w:type="dxa" w:w="2030"/>
            <w:tcBorders>
              <w:top w:val="single" w:color="000000" w:sz="4"/>
              <w:left w:val="single" w:color="000000" w:sz="4"/>
              <w:bottom w:val="single" w:color="000000" w:sz="4"/>
              <w:right w:val="single" w:color="000000" w:sz="4"/>
            </w:tcBorders>
            <w:shd w:fill="E7E6E6" w:color="auto" w:val="clear"/>
            <w:tcMar>
              <w:top w:type="dxa" w:w="25"/>
              <w:left w:type="dxa" w:w="50"/>
              <w:bottom w:type="dxa" w:w="25"/>
              <w:right w:type="dxa" w:w="50"/>
            </w:tcMar>
          </w:tcPr>
          <w:p/>
        </w:tc>
        <w:tc>
          <w:tcPr>
            <w:tcW w:type="dxa" w:w="812"/>
            <w:tcBorders>
              <w:top w:val="single" w:color="000000" w:sz="4"/>
              <w:left w:val="single" w:color="000000" w:sz="4"/>
              <w:bottom w:val="single" w:color="000000" w:sz="4"/>
              <w:right w:val="single" w:color="000000" w:sz="4"/>
            </w:tcBorders>
            <w:shd w:fill="E7E6E6" w:color="auto" w:val="clear"/>
            <w:tcMar>
              <w:top w:type="dxa" w:w="25"/>
              <w:left w:type="dxa" w:w="50"/>
              <w:bottom w:type="dxa" w:w="25"/>
              <w:right w:type="dxa" w:w="50"/>
            </w:tcMar>
          </w:tcPr>
          <w:p/>
        </w:tc>
        <w:tc>
          <w:tcPr>
            <w:tcW w:type="dxa" w:w="812"/>
            <w:tcBorders>
              <w:top w:val="single" w:color="000000" w:sz="4"/>
              <w:left w:val="single" w:color="000000" w:sz="4"/>
              <w:bottom w:val="single" w:color="000000" w:sz="4"/>
              <w:right w:val="single" w:color="000000" w:sz="4"/>
            </w:tcBorders>
            <w:shd w:fill="E7E6E6" w:color="auto" w:val="clear"/>
            <w:tcMar>
              <w:top w:type="dxa" w:w="25"/>
              <w:left w:type="dxa" w:w="50"/>
              <w:bottom w:type="dxa" w:w="25"/>
              <w:right w:type="dxa" w:w="50"/>
            </w:tcMar>
          </w:tcPr>
          <w:p/>
        </w:tc>
        <w:tc>
          <w:tcPr>
            <w:tcW w:type="dxa" w:w="812"/>
            <w:tcBorders>
              <w:top w:val="single" w:color="000000" w:sz="4"/>
              <w:left w:val="single" w:color="000000" w:sz="4"/>
              <w:bottom w:val="single" w:color="000000" w:sz="4"/>
              <w:right w:val="single" w:color="000000" w:sz="4"/>
            </w:tcBorders>
            <w:shd w:fill="E7E6E6" w:color="auto" w:val="clear"/>
            <w:tcMar>
              <w:top w:type="dxa" w:w="25"/>
              <w:left w:type="dxa" w:w="50"/>
              <w:bottom w:type="dxa" w:w="25"/>
              <w:right w:type="dxa" w:w="50"/>
            </w:tcMar>
          </w:tcPr>
          <w:p/>
        </w:tc>
        <w:tc>
          <w:tcPr>
            <w:tcW w:type="dxa" w:w="1015"/>
            <w:tcBorders>
              <w:top w:val="single" w:color="000000" w:sz="4"/>
              <w:left w:val="single" w:color="000000" w:sz="4"/>
              <w:bottom w:val="single" w:color="000000" w:sz="4"/>
              <w:right w:val="single" w:color="000000" w:sz="4"/>
            </w:tcBorders>
            <w:shd w:fill="E7E6E6" w:color="auto" w:val="clear"/>
            <w:tcMar>
              <w:top w:type="dxa" w:w="25"/>
              <w:left w:type="dxa" w:w="50"/>
              <w:bottom w:type="dxa" w:w="25"/>
              <w:right w:type="dxa" w:w="50"/>
            </w:tcMar>
          </w:tcPr>
          <w:p/>
        </w:tc>
        <w:tc>
          <w:tcPr>
            <w:tcW w:type="dxa" w:w="1015"/>
            <w:tcBorders>
              <w:top w:val="single" w:color="000000" w:sz="4"/>
              <w:left w:val="single" w:color="000000" w:sz="4"/>
              <w:bottom w:val="single" w:color="000000" w:sz="4"/>
              <w:right w:val="single" w:color="000000" w:sz="4"/>
            </w:tcBorders>
            <w:shd w:fill="E7E6E6" w:color="auto" w:val="clear"/>
            <w:tcMar>
              <w:top w:type="dxa" w:w="25"/>
              <w:left w:type="dxa" w:w="50"/>
              <w:bottom w:type="dxa" w:w="25"/>
              <w:right w:type="dxa" w:w="50"/>
            </w:tcMar>
          </w:tcPr>
          <w:p/>
        </w:tc>
        <w:tc>
          <w:tcPr>
            <w:tcW w:type="dxa" w:w="1017"/>
            <w:tcBorders>
              <w:top w:val="single" w:color="000000" w:sz="4"/>
              <w:left w:val="single" w:color="000000" w:sz="4"/>
              <w:bottom w:val="single" w:color="000000" w:sz="4"/>
              <w:right w:val="single" w:color="000000" w:sz="4"/>
            </w:tcBorders>
            <w:shd w:fill="E7E6E6" w:color="auto" w:val="clear"/>
            <w:tcMar>
              <w:top w:type="dxa" w:w="25"/>
              <w:left w:type="dxa" w:w="50"/>
              <w:bottom w:type="dxa" w:w="25"/>
              <w:right w:type="dxa" w:w="50"/>
            </w:tcMar>
          </w:tcPr>
          <w:p/>
        </w:tc>
      </w:tr>
      <w:tr>
        <w:trPr>
          <w:cantSplit/>
        </w:trPr>
        <w:tc>
          <w:tcPr>
            <w:tcW w:type="dxa" w:w="2233"/>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5"/>
                <w:szCs w:val="15"/>
              </w:rPr>
              <w:t xml:space="preserve">vs DANN</w:t>
            </w:r>
          </w:p>
        </w:tc>
        <w:tc>
          <w:tcPr>
            <w:tcW w:type="dxa" w:w="2030"/>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5"/>
                <w:szCs w:val="15"/>
              </w:rPr>
              <w:t xml:space="preserve">1.6 (0.7, 2.6)</w:t>
            </w:r>
          </w:p>
        </w:tc>
        <w:tc>
          <w:tcPr>
            <w:tcW w:type="dxa" w:w="812"/>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5"/>
                <w:szCs w:val="15"/>
              </w:rPr>
              <w:t xml:space="preserve">0.82</w:t>
            </w:r>
          </w:p>
        </w:tc>
        <w:tc>
          <w:tcPr>
            <w:tcW w:type="dxa" w:w="812"/>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5"/>
                <w:szCs w:val="15"/>
              </w:rPr>
              <w:t xml:space="preserve">0.72</w:t>
            </w:r>
          </w:p>
        </w:tc>
        <w:tc>
          <w:tcPr>
            <w:tcW w:type="dxa" w:w="812"/>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5"/>
                <w:szCs w:val="15"/>
              </w:rPr>
              <w:t xml:space="preserve">11/15</w:t>
            </w:r>
          </w:p>
        </w:tc>
        <w:tc>
          <w:tcPr>
            <w:tcW w:type="dxa" w:w="1015"/>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5"/>
                <w:szCs w:val="15"/>
              </w:rPr>
              <w:t xml:space="preserve">0.007</w:t>
            </w:r>
          </w:p>
        </w:tc>
        <w:tc>
          <w:tcPr>
            <w:tcW w:type="dxa" w:w="1015"/>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5"/>
                <w:szCs w:val="15"/>
              </w:rPr>
              <w:t xml:space="preserve">0.012</w:t>
            </w:r>
          </w:p>
        </w:tc>
        <w:tc>
          <w:tcPr>
            <w:tcW w:type="dxa" w:w="1017"/>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5"/>
                <w:szCs w:val="15"/>
              </w:rPr>
              <w:t xml:space="preserve">0.062</w:t>
            </w:r>
          </w:p>
        </w:tc>
      </w:tr>
      <w:tr>
        <w:trPr>
          <w:cantSplit/>
        </w:trPr>
        <w:tc>
          <w:tcPr>
            <w:tcW w:type="dxa" w:w="2233"/>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5"/>
                <w:szCs w:val="15"/>
              </w:rPr>
              <w:t xml:space="preserve">vs PseudoLabel</w:t>
            </w:r>
          </w:p>
        </w:tc>
        <w:tc>
          <w:tcPr>
            <w:tcW w:type="dxa" w:w="2030"/>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5"/>
                <w:szCs w:val="15"/>
              </w:rPr>
              <w:t xml:space="preserve">2.1 (1.0, 3.1)</w:t>
            </w:r>
          </w:p>
        </w:tc>
        <w:tc>
          <w:tcPr>
            <w:tcW w:type="dxa" w:w="812"/>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5"/>
                <w:szCs w:val="15"/>
              </w:rPr>
              <w:t xml:space="preserve">0.98</w:t>
            </w:r>
          </w:p>
        </w:tc>
        <w:tc>
          <w:tcPr>
            <w:tcW w:type="dxa" w:w="812"/>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5"/>
                <w:szCs w:val="15"/>
              </w:rPr>
              <w:t xml:space="preserve">0.83</w:t>
            </w:r>
          </w:p>
        </w:tc>
        <w:tc>
          <w:tcPr>
            <w:tcW w:type="dxa" w:w="812"/>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5"/>
                <w:szCs w:val="15"/>
              </w:rPr>
              <w:t xml:space="preserve">13/15</w:t>
            </w:r>
          </w:p>
        </w:tc>
        <w:tc>
          <w:tcPr>
            <w:tcW w:type="dxa" w:w="1015"/>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5"/>
                <w:szCs w:val="15"/>
              </w:rPr>
              <w:t xml:space="preserve">0.002</w:t>
            </w:r>
          </w:p>
        </w:tc>
        <w:tc>
          <w:tcPr>
            <w:tcW w:type="dxa" w:w="1015"/>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5"/>
                <w:szCs w:val="15"/>
              </w:rPr>
              <w:t xml:space="preserve">0.003</w:t>
            </w:r>
          </w:p>
        </w:tc>
        <w:tc>
          <w:tcPr>
            <w:tcW w:type="dxa" w:w="1017"/>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5"/>
                <w:szCs w:val="15"/>
              </w:rPr>
              <w:t xml:space="preserve">0.016</w:t>
            </w:r>
          </w:p>
        </w:tc>
      </w:tr>
      <w:tr>
        <w:trPr>
          <w:cantSplit/>
        </w:trPr>
        <w:tc>
          <w:tcPr>
            <w:tcW w:type="dxa" w:w="2233"/>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5"/>
                <w:szCs w:val="15"/>
              </w:rPr>
              <w:t xml:space="preserve">vs BYOL</w:t>
            </w:r>
          </w:p>
        </w:tc>
        <w:tc>
          <w:tcPr>
            <w:tcW w:type="dxa" w:w="2030"/>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5"/>
                <w:szCs w:val="15"/>
              </w:rPr>
              <w:t xml:space="preserve">6.9 (5.3, 8.6)</w:t>
            </w:r>
          </w:p>
        </w:tc>
        <w:tc>
          <w:tcPr>
            <w:tcW w:type="dxa" w:w="812"/>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5"/>
                <w:szCs w:val="15"/>
              </w:rPr>
              <w:t xml:space="preserve">2.04</w:t>
            </w:r>
          </w:p>
        </w:tc>
        <w:tc>
          <w:tcPr>
            <w:tcW w:type="dxa" w:w="812"/>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5"/>
                <w:szCs w:val="15"/>
              </w:rPr>
              <w:t xml:space="preserve">1.00</w:t>
            </w:r>
          </w:p>
        </w:tc>
        <w:tc>
          <w:tcPr>
            <w:tcW w:type="dxa" w:w="812"/>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5"/>
                <w:szCs w:val="15"/>
              </w:rPr>
              <w:t xml:space="preserve">15/15</w:t>
            </w:r>
          </w:p>
        </w:tc>
        <w:tc>
          <w:tcPr>
            <w:tcW w:type="dxa" w:w="1015"/>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5"/>
                <w:szCs w:val="15"/>
              </w:rPr>
              <w:t xml:space="preserve">&lt;0.001</w:t>
            </w:r>
          </w:p>
        </w:tc>
        <w:tc>
          <w:tcPr>
            <w:tcW w:type="dxa" w:w="1015"/>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5"/>
                <w:szCs w:val="15"/>
              </w:rPr>
              <w:t xml:space="preserve">&lt;0.001</w:t>
            </w:r>
          </w:p>
        </w:tc>
        <w:tc>
          <w:tcPr>
            <w:tcW w:type="dxa" w:w="1017"/>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5"/>
                <w:szCs w:val="15"/>
              </w:rPr>
              <w:t xml:space="preserve">&lt;0.001</w:t>
            </w:r>
          </w:p>
        </w:tc>
      </w:tr>
      <w:tr>
        <w:trPr>
          <w:cantSplit/>
        </w:trPr>
        <w:tc>
          <w:tcPr>
            <w:tcW w:type="dxa" w:w="2233"/>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5"/>
                <w:szCs w:val="15"/>
              </w:rPr>
              <w:t xml:space="preserve">vs SimCLR</w:t>
            </w:r>
          </w:p>
        </w:tc>
        <w:tc>
          <w:tcPr>
            <w:tcW w:type="dxa" w:w="2030"/>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5"/>
                <w:szCs w:val="15"/>
              </w:rPr>
              <w:t xml:space="preserve">10.3 (8.4, 12.3)</w:t>
            </w:r>
          </w:p>
        </w:tc>
        <w:tc>
          <w:tcPr>
            <w:tcW w:type="dxa" w:w="812"/>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5"/>
                <w:szCs w:val="15"/>
              </w:rPr>
              <w:t xml:space="preserve">2.62</w:t>
            </w:r>
          </w:p>
        </w:tc>
        <w:tc>
          <w:tcPr>
            <w:tcW w:type="dxa" w:w="812"/>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5"/>
                <w:szCs w:val="15"/>
              </w:rPr>
              <w:t xml:space="preserve">1.00</w:t>
            </w:r>
          </w:p>
        </w:tc>
        <w:tc>
          <w:tcPr>
            <w:tcW w:type="dxa" w:w="812"/>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5"/>
                <w:szCs w:val="15"/>
              </w:rPr>
              <w:t xml:space="preserve">15/15</w:t>
            </w:r>
          </w:p>
        </w:tc>
        <w:tc>
          <w:tcPr>
            <w:tcW w:type="dxa" w:w="1015"/>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5"/>
                <w:szCs w:val="15"/>
              </w:rPr>
              <w:t xml:space="preserve">&lt;0.001</w:t>
            </w:r>
          </w:p>
        </w:tc>
        <w:tc>
          <w:tcPr>
            <w:tcW w:type="dxa" w:w="1015"/>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5"/>
                <w:szCs w:val="15"/>
              </w:rPr>
              <w:t xml:space="preserve">&lt;0.001</w:t>
            </w:r>
          </w:p>
        </w:tc>
        <w:tc>
          <w:tcPr>
            <w:tcW w:type="dxa" w:w="1017"/>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5"/>
                <w:szCs w:val="15"/>
              </w:rPr>
              <w:t xml:space="preserve">&lt;0.001</w:t>
            </w:r>
          </w:p>
        </w:tc>
      </w:tr>
      <w:tr>
        <w:trPr>
          <w:cantSplit/>
        </w:trPr>
        <w:tc>
          <w:tcPr>
            <w:tcW w:type="dxa" w:w="2233"/>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5"/>
                <w:szCs w:val="15"/>
              </w:rPr>
              <w:t xml:space="preserve">vs Two-layer perceptron</w:t>
            </w:r>
          </w:p>
        </w:tc>
        <w:tc>
          <w:tcPr>
            <w:tcW w:type="dxa" w:w="2030"/>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5"/>
                <w:szCs w:val="15"/>
              </w:rPr>
              <w:t xml:space="preserve">18.2 (14.3, 22.0)</w:t>
            </w:r>
          </w:p>
        </w:tc>
        <w:tc>
          <w:tcPr>
            <w:tcW w:type="dxa" w:w="812"/>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5"/>
                <w:szCs w:val="15"/>
              </w:rPr>
              <w:t xml:space="preserve">2.33</w:t>
            </w:r>
          </w:p>
        </w:tc>
        <w:tc>
          <w:tcPr>
            <w:tcW w:type="dxa" w:w="812"/>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5"/>
                <w:szCs w:val="15"/>
              </w:rPr>
              <w:t xml:space="preserve">1.00</w:t>
            </w:r>
          </w:p>
        </w:tc>
        <w:tc>
          <w:tcPr>
            <w:tcW w:type="dxa" w:w="812"/>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5"/>
                <w:szCs w:val="15"/>
              </w:rPr>
              <w:t xml:space="preserve">15/15</w:t>
            </w:r>
          </w:p>
        </w:tc>
        <w:tc>
          <w:tcPr>
            <w:tcW w:type="dxa" w:w="1015"/>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5"/>
                <w:szCs w:val="15"/>
              </w:rPr>
              <w:t xml:space="preserve">&lt;0.001</w:t>
            </w:r>
          </w:p>
        </w:tc>
        <w:tc>
          <w:tcPr>
            <w:tcW w:type="dxa" w:w="1015"/>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5"/>
                <w:szCs w:val="15"/>
              </w:rPr>
              <w:t xml:space="preserve">&lt;0.001</w:t>
            </w:r>
          </w:p>
        </w:tc>
        <w:tc>
          <w:tcPr>
            <w:tcW w:type="dxa" w:w="1017"/>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5"/>
                <w:szCs w:val="15"/>
              </w:rPr>
              <w:t xml:space="preserve">&lt;0.001</w:t>
            </w:r>
          </w:p>
        </w:tc>
      </w:tr>
      <w:tr>
        <w:trPr>
          <w:cantSplit/>
        </w:trPr>
        <w:tc>
          <w:tcPr>
            <w:tcW w:type="dxa" w:w="2233"/>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5"/>
                <w:szCs w:val="15"/>
              </w:rPr>
              <w:t xml:space="preserve">vs Deep perceptron</w:t>
            </w:r>
          </w:p>
        </w:tc>
        <w:tc>
          <w:tcPr>
            <w:tcW w:type="dxa" w:w="2030"/>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5"/>
                <w:szCs w:val="15"/>
              </w:rPr>
              <w:t xml:space="preserve">18.6 (14.1, 22.9)</w:t>
            </w:r>
          </w:p>
        </w:tc>
        <w:tc>
          <w:tcPr>
            <w:tcW w:type="dxa" w:w="812"/>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5"/>
                <w:szCs w:val="15"/>
              </w:rPr>
              <w:t xml:space="preserve">2.07</w:t>
            </w:r>
          </w:p>
        </w:tc>
        <w:tc>
          <w:tcPr>
            <w:tcW w:type="dxa" w:w="812"/>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5"/>
                <w:szCs w:val="15"/>
              </w:rPr>
              <w:t xml:space="preserve">1.00</w:t>
            </w:r>
          </w:p>
        </w:tc>
        <w:tc>
          <w:tcPr>
            <w:tcW w:type="dxa" w:w="812"/>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5"/>
                <w:szCs w:val="15"/>
              </w:rPr>
              <w:t xml:space="preserve">15/15</w:t>
            </w:r>
          </w:p>
        </w:tc>
        <w:tc>
          <w:tcPr>
            <w:tcW w:type="dxa" w:w="1015"/>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5"/>
                <w:szCs w:val="15"/>
              </w:rPr>
              <w:t xml:space="preserve">&lt;0.001</w:t>
            </w:r>
          </w:p>
        </w:tc>
        <w:tc>
          <w:tcPr>
            <w:tcW w:type="dxa" w:w="1015"/>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5"/>
                <w:szCs w:val="15"/>
              </w:rPr>
              <w:t xml:space="preserve">&lt;0.001</w:t>
            </w:r>
          </w:p>
        </w:tc>
        <w:tc>
          <w:tcPr>
            <w:tcW w:type="dxa" w:w="1017"/>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5"/>
                <w:szCs w:val="15"/>
              </w:rPr>
              <w:t xml:space="preserve">&lt;0.001</w:t>
            </w:r>
          </w:p>
        </w:tc>
      </w:tr>
      <w:tr>
        <w:trPr>
          <w:cantSplit/>
        </w:trPr>
        <w:tc>
          <w:tcPr>
            <w:tcW w:type="dxa" w:w="2233"/>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5"/>
                <w:szCs w:val="15"/>
              </w:rPr>
              <w:t xml:space="preserve">vs EEG Conformer</w:t>
            </w:r>
          </w:p>
        </w:tc>
        <w:tc>
          <w:tcPr>
            <w:tcW w:type="dxa" w:w="2030"/>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5"/>
                <w:szCs w:val="15"/>
              </w:rPr>
              <w:t xml:space="preserve">21.9 (17.6, 26.4)</w:t>
            </w:r>
          </w:p>
        </w:tc>
        <w:tc>
          <w:tcPr>
            <w:tcW w:type="dxa" w:w="812"/>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5"/>
                <w:szCs w:val="15"/>
              </w:rPr>
              <w:t xml:space="preserve">2.42</w:t>
            </w:r>
          </w:p>
        </w:tc>
        <w:tc>
          <w:tcPr>
            <w:tcW w:type="dxa" w:w="812"/>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5"/>
                <w:szCs w:val="15"/>
              </w:rPr>
              <w:t xml:space="preserve">1.00</w:t>
            </w:r>
          </w:p>
        </w:tc>
        <w:tc>
          <w:tcPr>
            <w:tcW w:type="dxa" w:w="812"/>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5"/>
                <w:szCs w:val="15"/>
              </w:rPr>
              <w:t xml:space="preserve">15/15</w:t>
            </w:r>
          </w:p>
        </w:tc>
        <w:tc>
          <w:tcPr>
            <w:tcW w:type="dxa" w:w="1015"/>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5"/>
                <w:szCs w:val="15"/>
              </w:rPr>
              <w:t xml:space="preserve">&lt;0.001</w:t>
            </w:r>
          </w:p>
        </w:tc>
        <w:tc>
          <w:tcPr>
            <w:tcW w:type="dxa" w:w="1015"/>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5"/>
                <w:szCs w:val="15"/>
              </w:rPr>
              <w:t xml:space="preserve">&lt;0.001</w:t>
            </w:r>
          </w:p>
        </w:tc>
        <w:tc>
          <w:tcPr>
            <w:tcW w:type="dxa" w:w="1017"/>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5"/>
                <w:szCs w:val="15"/>
              </w:rPr>
              <w:t xml:space="preserve">&lt;0.001</w:t>
            </w:r>
          </w:p>
        </w:tc>
      </w:tr>
      <w:tr>
        <w:trPr>
          <w:cantSplit/>
        </w:trPr>
        <w:tc>
          <w:tcPr>
            <w:tcW w:type="dxa" w:w="2233"/>
            <w:tcBorders>
              <w:top w:val="single" w:color="000000" w:sz="4"/>
              <w:left w:val="single" w:color="000000" w:sz="4"/>
              <w:bottom w:val="single" w:color="000000" w:sz="4"/>
              <w:right w:val="single" w:color="000000" w:sz="4"/>
            </w:tcBorders>
            <w:shd w:fill="E7E6E6" w:color="auto" w:val="clear"/>
            <w:tcMar>
              <w:top w:type="dxa" w:w="25"/>
              <w:left w:type="dxa" w:w="50"/>
              <w:bottom w:type="dxa" w:w="25"/>
              <w:right w:type="dxa" w:w="50"/>
            </w:tcMar>
          </w:tcPr>
          <w:p>
            <w:r>
              <w:rPr>
                <w:rFonts w:ascii="Times New Roman" w:cs="Times New Roman" w:eastAsia="Times New Roman" w:hAnsi="Times New Roman"/>
                <w:b/>
                <w:bCs/>
                <w:sz w:val="15"/>
                <w:szCs w:val="15"/>
              </w:rPr>
              <w:t xml:space="preserve">Calibrated, six electrodes</w:t>
            </w:r>
          </w:p>
        </w:tc>
        <w:tc>
          <w:tcPr>
            <w:tcW w:type="dxa" w:w="2030"/>
            <w:tcBorders>
              <w:top w:val="single" w:color="000000" w:sz="4"/>
              <w:left w:val="single" w:color="000000" w:sz="4"/>
              <w:bottom w:val="single" w:color="000000" w:sz="4"/>
              <w:right w:val="single" w:color="000000" w:sz="4"/>
            </w:tcBorders>
            <w:shd w:fill="E7E6E6" w:color="auto" w:val="clear"/>
            <w:tcMar>
              <w:top w:type="dxa" w:w="25"/>
              <w:left w:type="dxa" w:w="50"/>
              <w:bottom w:type="dxa" w:w="25"/>
              <w:right w:type="dxa" w:w="50"/>
            </w:tcMar>
          </w:tcPr>
          <w:p/>
        </w:tc>
        <w:tc>
          <w:tcPr>
            <w:tcW w:type="dxa" w:w="812"/>
            <w:tcBorders>
              <w:top w:val="single" w:color="000000" w:sz="4"/>
              <w:left w:val="single" w:color="000000" w:sz="4"/>
              <w:bottom w:val="single" w:color="000000" w:sz="4"/>
              <w:right w:val="single" w:color="000000" w:sz="4"/>
            </w:tcBorders>
            <w:shd w:fill="E7E6E6" w:color="auto" w:val="clear"/>
            <w:tcMar>
              <w:top w:type="dxa" w:w="25"/>
              <w:left w:type="dxa" w:w="50"/>
              <w:bottom w:type="dxa" w:w="25"/>
              <w:right w:type="dxa" w:w="50"/>
            </w:tcMar>
          </w:tcPr>
          <w:p/>
        </w:tc>
        <w:tc>
          <w:tcPr>
            <w:tcW w:type="dxa" w:w="812"/>
            <w:tcBorders>
              <w:top w:val="single" w:color="000000" w:sz="4"/>
              <w:left w:val="single" w:color="000000" w:sz="4"/>
              <w:bottom w:val="single" w:color="000000" w:sz="4"/>
              <w:right w:val="single" w:color="000000" w:sz="4"/>
            </w:tcBorders>
            <w:shd w:fill="E7E6E6" w:color="auto" w:val="clear"/>
            <w:tcMar>
              <w:top w:type="dxa" w:w="25"/>
              <w:left w:type="dxa" w:w="50"/>
              <w:bottom w:type="dxa" w:w="25"/>
              <w:right w:type="dxa" w:w="50"/>
            </w:tcMar>
          </w:tcPr>
          <w:p/>
        </w:tc>
        <w:tc>
          <w:tcPr>
            <w:tcW w:type="dxa" w:w="812"/>
            <w:tcBorders>
              <w:top w:val="single" w:color="000000" w:sz="4"/>
              <w:left w:val="single" w:color="000000" w:sz="4"/>
              <w:bottom w:val="single" w:color="000000" w:sz="4"/>
              <w:right w:val="single" w:color="000000" w:sz="4"/>
            </w:tcBorders>
            <w:shd w:fill="E7E6E6" w:color="auto" w:val="clear"/>
            <w:tcMar>
              <w:top w:type="dxa" w:w="25"/>
              <w:left w:type="dxa" w:w="50"/>
              <w:bottom w:type="dxa" w:w="25"/>
              <w:right w:type="dxa" w:w="50"/>
            </w:tcMar>
          </w:tcPr>
          <w:p/>
        </w:tc>
        <w:tc>
          <w:tcPr>
            <w:tcW w:type="dxa" w:w="1015"/>
            <w:tcBorders>
              <w:top w:val="single" w:color="000000" w:sz="4"/>
              <w:left w:val="single" w:color="000000" w:sz="4"/>
              <w:bottom w:val="single" w:color="000000" w:sz="4"/>
              <w:right w:val="single" w:color="000000" w:sz="4"/>
            </w:tcBorders>
            <w:shd w:fill="E7E6E6" w:color="auto" w:val="clear"/>
            <w:tcMar>
              <w:top w:type="dxa" w:w="25"/>
              <w:left w:type="dxa" w:w="50"/>
              <w:bottom w:type="dxa" w:w="25"/>
              <w:right w:type="dxa" w:w="50"/>
            </w:tcMar>
          </w:tcPr>
          <w:p/>
        </w:tc>
        <w:tc>
          <w:tcPr>
            <w:tcW w:type="dxa" w:w="1015"/>
            <w:tcBorders>
              <w:top w:val="single" w:color="000000" w:sz="4"/>
              <w:left w:val="single" w:color="000000" w:sz="4"/>
              <w:bottom w:val="single" w:color="000000" w:sz="4"/>
              <w:right w:val="single" w:color="000000" w:sz="4"/>
            </w:tcBorders>
            <w:shd w:fill="E7E6E6" w:color="auto" w:val="clear"/>
            <w:tcMar>
              <w:top w:type="dxa" w:w="25"/>
              <w:left w:type="dxa" w:w="50"/>
              <w:bottom w:type="dxa" w:w="25"/>
              <w:right w:type="dxa" w:w="50"/>
            </w:tcMar>
          </w:tcPr>
          <w:p/>
        </w:tc>
        <w:tc>
          <w:tcPr>
            <w:tcW w:type="dxa" w:w="1017"/>
            <w:tcBorders>
              <w:top w:val="single" w:color="000000" w:sz="4"/>
              <w:left w:val="single" w:color="000000" w:sz="4"/>
              <w:bottom w:val="single" w:color="000000" w:sz="4"/>
              <w:right w:val="single" w:color="000000" w:sz="4"/>
            </w:tcBorders>
            <w:shd w:fill="E7E6E6" w:color="auto" w:val="clear"/>
            <w:tcMar>
              <w:top w:type="dxa" w:w="25"/>
              <w:left w:type="dxa" w:w="50"/>
              <w:bottom w:type="dxa" w:w="25"/>
              <w:right w:type="dxa" w:w="50"/>
            </w:tcMar>
          </w:tcPr>
          <w:p/>
        </w:tc>
      </w:tr>
      <w:tr>
        <w:trPr>
          <w:cantSplit/>
        </w:trPr>
        <w:tc>
          <w:tcPr>
            <w:tcW w:type="dxa" w:w="2233"/>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5"/>
                <w:szCs w:val="15"/>
              </w:rPr>
              <w:t xml:space="preserve">vs DANN</w:t>
            </w:r>
          </w:p>
        </w:tc>
        <w:tc>
          <w:tcPr>
            <w:tcW w:type="dxa" w:w="2030"/>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5"/>
                <w:szCs w:val="15"/>
              </w:rPr>
              <w:t xml:space="preserve">3.0 (0.9, 5.0)</w:t>
            </w:r>
          </w:p>
        </w:tc>
        <w:tc>
          <w:tcPr>
            <w:tcW w:type="dxa" w:w="812"/>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5"/>
                <w:szCs w:val="15"/>
              </w:rPr>
              <w:t xml:space="preserve">0.70</w:t>
            </w:r>
          </w:p>
        </w:tc>
        <w:tc>
          <w:tcPr>
            <w:tcW w:type="dxa" w:w="812"/>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5"/>
                <w:szCs w:val="15"/>
              </w:rPr>
              <w:t xml:space="preserve">0.67</w:t>
            </w:r>
          </w:p>
        </w:tc>
        <w:tc>
          <w:tcPr>
            <w:tcW w:type="dxa" w:w="812"/>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5"/>
                <w:szCs w:val="15"/>
              </w:rPr>
              <w:t xml:space="preserve">11/15</w:t>
            </w:r>
          </w:p>
        </w:tc>
        <w:tc>
          <w:tcPr>
            <w:tcW w:type="dxa" w:w="1015"/>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5"/>
                <w:szCs w:val="15"/>
              </w:rPr>
              <w:t xml:space="preserve">0.017</w:t>
            </w:r>
          </w:p>
        </w:tc>
        <w:tc>
          <w:tcPr>
            <w:tcW w:type="dxa" w:w="1015"/>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5"/>
                <w:szCs w:val="15"/>
              </w:rPr>
              <w:t xml:space="preserve">0.022</w:t>
            </w:r>
          </w:p>
        </w:tc>
        <w:tc>
          <w:tcPr>
            <w:tcW w:type="dxa" w:w="1017"/>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5"/>
                <w:szCs w:val="15"/>
              </w:rPr>
              <w:t xml:space="preserve">0.086</w:t>
            </w:r>
          </w:p>
        </w:tc>
      </w:tr>
      <w:tr>
        <w:trPr>
          <w:cantSplit/>
        </w:trPr>
        <w:tc>
          <w:tcPr>
            <w:tcW w:type="dxa" w:w="2233"/>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5"/>
                <w:szCs w:val="15"/>
              </w:rPr>
              <w:t xml:space="preserve">vs PseudoLabel</w:t>
            </w:r>
          </w:p>
        </w:tc>
        <w:tc>
          <w:tcPr>
            <w:tcW w:type="dxa" w:w="2030"/>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5"/>
                <w:szCs w:val="15"/>
              </w:rPr>
              <w:t xml:space="preserve">1.0 (−0.7, 2.7)</w:t>
            </w:r>
          </w:p>
        </w:tc>
        <w:tc>
          <w:tcPr>
            <w:tcW w:type="dxa" w:w="812"/>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5"/>
                <w:szCs w:val="15"/>
              </w:rPr>
              <w:t xml:space="preserve">0.28</w:t>
            </w:r>
          </w:p>
        </w:tc>
        <w:tc>
          <w:tcPr>
            <w:tcW w:type="dxa" w:w="812"/>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5"/>
                <w:szCs w:val="15"/>
              </w:rPr>
              <w:t xml:space="preserve">0.30</w:t>
            </w:r>
          </w:p>
        </w:tc>
        <w:tc>
          <w:tcPr>
            <w:tcW w:type="dxa" w:w="812"/>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5"/>
                <w:szCs w:val="15"/>
              </w:rPr>
              <w:t xml:space="preserve">9/15</w:t>
            </w:r>
          </w:p>
        </w:tc>
        <w:tc>
          <w:tcPr>
            <w:tcW w:type="dxa" w:w="1015"/>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5"/>
                <w:szCs w:val="15"/>
              </w:rPr>
              <w:t xml:space="preserve">0.300</w:t>
            </w:r>
          </w:p>
        </w:tc>
        <w:tc>
          <w:tcPr>
            <w:tcW w:type="dxa" w:w="1015"/>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5"/>
                <w:szCs w:val="15"/>
              </w:rPr>
              <w:t xml:space="preserve">0.330</w:t>
            </w:r>
          </w:p>
        </w:tc>
        <w:tc>
          <w:tcPr>
            <w:tcW w:type="dxa" w:w="1017"/>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5"/>
                <w:szCs w:val="15"/>
              </w:rPr>
              <w:t xml:space="preserve">0.688</w:t>
            </w:r>
          </w:p>
        </w:tc>
      </w:tr>
      <w:tr>
        <w:trPr>
          <w:cantSplit/>
        </w:trPr>
        <w:tc>
          <w:tcPr>
            <w:tcW w:type="dxa" w:w="2233"/>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5"/>
                <w:szCs w:val="15"/>
              </w:rPr>
              <w:t xml:space="preserve">vs BYOL</w:t>
            </w:r>
          </w:p>
        </w:tc>
        <w:tc>
          <w:tcPr>
            <w:tcW w:type="dxa" w:w="2030"/>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5"/>
                <w:szCs w:val="15"/>
              </w:rPr>
              <w:t xml:space="preserve">0.7 (−1.8, 3.4)</w:t>
            </w:r>
          </w:p>
        </w:tc>
        <w:tc>
          <w:tcPr>
            <w:tcW w:type="dxa" w:w="812"/>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5"/>
                <w:szCs w:val="15"/>
              </w:rPr>
              <w:t xml:space="preserve">0.14</w:t>
            </w:r>
          </w:p>
        </w:tc>
        <w:tc>
          <w:tcPr>
            <w:tcW w:type="dxa" w:w="812"/>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5"/>
                <w:szCs w:val="15"/>
              </w:rPr>
              <w:t xml:space="preserve">0.13</w:t>
            </w:r>
          </w:p>
        </w:tc>
        <w:tc>
          <w:tcPr>
            <w:tcW w:type="dxa" w:w="812"/>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5"/>
                <w:szCs w:val="15"/>
              </w:rPr>
              <w:t xml:space="preserve">8/15</w:t>
            </w:r>
          </w:p>
        </w:tc>
        <w:tc>
          <w:tcPr>
            <w:tcW w:type="dxa" w:w="1015"/>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5"/>
                <w:szCs w:val="15"/>
              </w:rPr>
              <w:t xml:space="preserve">0.591</w:t>
            </w:r>
          </w:p>
        </w:tc>
        <w:tc>
          <w:tcPr>
            <w:tcW w:type="dxa" w:w="1015"/>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5"/>
                <w:szCs w:val="15"/>
              </w:rPr>
              <w:t xml:space="preserve">0.679</w:t>
            </w:r>
          </w:p>
        </w:tc>
        <w:tc>
          <w:tcPr>
            <w:tcW w:type="dxa" w:w="1017"/>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5"/>
                <w:szCs w:val="15"/>
              </w:rPr>
              <w:t xml:space="preserve">0.688</w:t>
            </w:r>
          </w:p>
        </w:tc>
      </w:tr>
      <w:tr>
        <w:trPr>
          <w:cantSplit/>
        </w:trPr>
        <w:tc>
          <w:tcPr>
            <w:tcW w:type="dxa" w:w="2233"/>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5"/>
                <w:szCs w:val="15"/>
              </w:rPr>
              <w:t xml:space="preserve">vs SimCLR</w:t>
            </w:r>
          </w:p>
        </w:tc>
        <w:tc>
          <w:tcPr>
            <w:tcW w:type="dxa" w:w="2030"/>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5"/>
                <w:szCs w:val="15"/>
              </w:rPr>
              <w:t xml:space="preserve">1.8 (−1.2, 4.7)</w:t>
            </w:r>
          </w:p>
        </w:tc>
        <w:tc>
          <w:tcPr>
            <w:tcW w:type="dxa" w:w="812"/>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5"/>
                <w:szCs w:val="15"/>
              </w:rPr>
              <w:t xml:space="preserve">0.30</w:t>
            </w:r>
          </w:p>
        </w:tc>
        <w:tc>
          <w:tcPr>
            <w:tcW w:type="dxa" w:w="812"/>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5"/>
                <w:szCs w:val="15"/>
              </w:rPr>
              <w:t xml:space="preserve">0.37</w:t>
            </w:r>
          </w:p>
        </w:tc>
        <w:tc>
          <w:tcPr>
            <w:tcW w:type="dxa" w:w="812"/>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5"/>
                <w:szCs w:val="15"/>
              </w:rPr>
              <w:t xml:space="preserve">10/15</w:t>
            </w:r>
          </w:p>
        </w:tc>
        <w:tc>
          <w:tcPr>
            <w:tcW w:type="dxa" w:w="1015"/>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5"/>
                <w:szCs w:val="15"/>
              </w:rPr>
              <w:t xml:space="preserve">0.266</w:t>
            </w:r>
          </w:p>
        </w:tc>
        <w:tc>
          <w:tcPr>
            <w:tcW w:type="dxa" w:w="1015"/>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5"/>
                <w:szCs w:val="15"/>
              </w:rPr>
              <w:t xml:space="preserve">0.229</w:t>
            </w:r>
          </w:p>
        </w:tc>
        <w:tc>
          <w:tcPr>
            <w:tcW w:type="dxa" w:w="1017"/>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5"/>
                <w:szCs w:val="15"/>
              </w:rPr>
              <w:t xml:space="preserve">0.688</w:t>
            </w:r>
          </w:p>
        </w:tc>
      </w:tr>
      <w:tr>
        <w:trPr>
          <w:cantSplit/>
        </w:trPr>
        <w:tc>
          <w:tcPr>
            <w:tcW w:type="dxa" w:w="2233"/>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5"/>
                <w:szCs w:val="15"/>
              </w:rPr>
              <w:t xml:space="preserve">vs Two-layer perceptron</w:t>
            </w:r>
          </w:p>
        </w:tc>
        <w:tc>
          <w:tcPr>
            <w:tcW w:type="dxa" w:w="2030"/>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5"/>
                <w:szCs w:val="15"/>
              </w:rPr>
              <w:t xml:space="preserve">20.8 (17.0, 24.9)</w:t>
            </w:r>
          </w:p>
        </w:tc>
        <w:tc>
          <w:tcPr>
            <w:tcW w:type="dxa" w:w="812"/>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5"/>
                <w:szCs w:val="15"/>
              </w:rPr>
              <w:t xml:space="preserve">2.58</w:t>
            </w:r>
          </w:p>
        </w:tc>
        <w:tc>
          <w:tcPr>
            <w:tcW w:type="dxa" w:w="812"/>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5"/>
                <w:szCs w:val="15"/>
              </w:rPr>
              <w:t xml:space="preserve">1.00</w:t>
            </w:r>
          </w:p>
        </w:tc>
        <w:tc>
          <w:tcPr>
            <w:tcW w:type="dxa" w:w="812"/>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5"/>
                <w:szCs w:val="15"/>
              </w:rPr>
              <w:t xml:space="preserve">15/15</w:t>
            </w:r>
          </w:p>
        </w:tc>
        <w:tc>
          <w:tcPr>
            <w:tcW w:type="dxa" w:w="1015"/>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5"/>
                <w:szCs w:val="15"/>
              </w:rPr>
              <w:t xml:space="preserve">&lt;0.001</w:t>
            </w:r>
          </w:p>
        </w:tc>
        <w:tc>
          <w:tcPr>
            <w:tcW w:type="dxa" w:w="1015"/>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5"/>
                <w:szCs w:val="15"/>
              </w:rPr>
              <w:t xml:space="preserve">&lt;0.001</w:t>
            </w:r>
          </w:p>
        </w:tc>
        <w:tc>
          <w:tcPr>
            <w:tcW w:type="dxa" w:w="1017"/>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5"/>
                <w:szCs w:val="15"/>
              </w:rPr>
              <w:t xml:space="preserve">&lt;0.001</w:t>
            </w:r>
          </w:p>
        </w:tc>
      </w:tr>
      <w:tr>
        <w:trPr>
          <w:cantSplit/>
        </w:trPr>
        <w:tc>
          <w:tcPr>
            <w:tcW w:type="dxa" w:w="2233"/>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5"/>
                <w:szCs w:val="15"/>
              </w:rPr>
              <w:t xml:space="preserve">vs Deep perceptron</w:t>
            </w:r>
          </w:p>
        </w:tc>
        <w:tc>
          <w:tcPr>
            <w:tcW w:type="dxa" w:w="2030"/>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5"/>
                <w:szCs w:val="15"/>
              </w:rPr>
              <w:t xml:space="preserve">21.9 (18.6, 25.5)</w:t>
            </w:r>
          </w:p>
        </w:tc>
        <w:tc>
          <w:tcPr>
            <w:tcW w:type="dxa" w:w="812"/>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5"/>
                <w:szCs w:val="15"/>
              </w:rPr>
              <w:t xml:space="preserve">3.07</w:t>
            </w:r>
          </w:p>
        </w:tc>
        <w:tc>
          <w:tcPr>
            <w:tcW w:type="dxa" w:w="812"/>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5"/>
                <w:szCs w:val="15"/>
              </w:rPr>
              <w:t xml:space="preserve">1.00</w:t>
            </w:r>
          </w:p>
        </w:tc>
        <w:tc>
          <w:tcPr>
            <w:tcW w:type="dxa" w:w="812"/>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5"/>
                <w:szCs w:val="15"/>
              </w:rPr>
              <w:t xml:space="preserve">15/15</w:t>
            </w:r>
          </w:p>
        </w:tc>
        <w:tc>
          <w:tcPr>
            <w:tcW w:type="dxa" w:w="1015"/>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5"/>
                <w:szCs w:val="15"/>
              </w:rPr>
              <w:t xml:space="preserve">&lt;0.001</w:t>
            </w:r>
          </w:p>
        </w:tc>
        <w:tc>
          <w:tcPr>
            <w:tcW w:type="dxa" w:w="1015"/>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5"/>
                <w:szCs w:val="15"/>
              </w:rPr>
              <w:t xml:space="preserve">&lt;0.001</w:t>
            </w:r>
          </w:p>
        </w:tc>
        <w:tc>
          <w:tcPr>
            <w:tcW w:type="dxa" w:w="1017"/>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5"/>
                <w:szCs w:val="15"/>
              </w:rPr>
              <w:t xml:space="preserve">&lt;0.001</w:t>
            </w:r>
          </w:p>
        </w:tc>
      </w:tr>
      <w:tr>
        <w:trPr>
          <w:cantSplit/>
        </w:trPr>
        <w:tc>
          <w:tcPr>
            <w:tcW w:type="dxa" w:w="2233"/>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5"/>
                <w:szCs w:val="15"/>
              </w:rPr>
              <w:t xml:space="preserve">vs EEG Conformer</w:t>
            </w:r>
          </w:p>
        </w:tc>
        <w:tc>
          <w:tcPr>
            <w:tcW w:type="dxa" w:w="2030"/>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5"/>
                <w:szCs w:val="15"/>
              </w:rPr>
              <w:t xml:space="preserve">25.9 (22.6, 29.4)</w:t>
            </w:r>
          </w:p>
        </w:tc>
        <w:tc>
          <w:tcPr>
            <w:tcW w:type="dxa" w:w="812"/>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5"/>
                <w:szCs w:val="15"/>
              </w:rPr>
              <w:t xml:space="preserve">3.61</w:t>
            </w:r>
          </w:p>
        </w:tc>
        <w:tc>
          <w:tcPr>
            <w:tcW w:type="dxa" w:w="812"/>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5"/>
                <w:szCs w:val="15"/>
              </w:rPr>
              <w:t xml:space="preserve">1.00</w:t>
            </w:r>
          </w:p>
        </w:tc>
        <w:tc>
          <w:tcPr>
            <w:tcW w:type="dxa" w:w="812"/>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5"/>
                <w:szCs w:val="15"/>
              </w:rPr>
              <w:t xml:space="preserve">15/15</w:t>
            </w:r>
          </w:p>
        </w:tc>
        <w:tc>
          <w:tcPr>
            <w:tcW w:type="dxa" w:w="1015"/>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5"/>
                <w:szCs w:val="15"/>
              </w:rPr>
              <w:t xml:space="preserve">&lt;0.001</w:t>
            </w:r>
          </w:p>
        </w:tc>
        <w:tc>
          <w:tcPr>
            <w:tcW w:type="dxa" w:w="1015"/>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5"/>
                <w:szCs w:val="15"/>
              </w:rPr>
              <w:t xml:space="preserve">&lt;0.001</w:t>
            </w:r>
          </w:p>
        </w:tc>
        <w:tc>
          <w:tcPr>
            <w:tcW w:type="dxa" w:w="1017"/>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5"/>
                <w:szCs w:val="15"/>
              </w:rPr>
              <w:t xml:space="preserve">&lt;0.001</w:t>
            </w:r>
          </w:p>
        </w:tc>
      </w:tr>
      <w:tr>
        <w:trPr>
          <w:cantSplit/>
        </w:trPr>
        <w:tc>
          <w:tcPr>
            <w:tcW w:type="dxa" w:w="2233"/>
            <w:tcBorders>
              <w:top w:val="single" w:color="000000" w:sz="4"/>
              <w:left w:val="single" w:color="000000" w:sz="4"/>
              <w:bottom w:val="single" w:color="000000" w:sz="4"/>
              <w:right w:val="single" w:color="000000" w:sz="4"/>
            </w:tcBorders>
            <w:shd w:fill="E7E6E6" w:color="auto" w:val="clear"/>
            <w:tcMar>
              <w:top w:type="dxa" w:w="25"/>
              <w:left w:type="dxa" w:w="50"/>
              <w:bottom w:type="dxa" w:w="25"/>
              <w:right w:type="dxa" w:w="50"/>
            </w:tcMar>
          </w:tcPr>
          <w:p>
            <w:r>
              <w:rPr>
                <w:rFonts w:ascii="Times New Roman" w:cs="Times New Roman" w:eastAsia="Times New Roman" w:hAnsi="Times New Roman"/>
                <w:b/>
                <w:bCs/>
                <w:sz w:val="15"/>
                <w:szCs w:val="15"/>
              </w:rPr>
              <w:t xml:space="preserve">Zero-shot, 62 electrodes</w:t>
            </w:r>
          </w:p>
        </w:tc>
        <w:tc>
          <w:tcPr>
            <w:tcW w:type="dxa" w:w="2030"/>
            <w:tcBorders>
              <w:top w:val="single" w:color="000000" w:sz="4"/>
              <w:left w:val="single" w:color="000000" w:sz="4"/>
              <w:bottom w:val="single" w:color="000000" w:sz="4"/>
              <w:right w:val="single" w:color="000000" w:sz="4"/>
            </w:tcBorders>
            <w:shd w:fill="E7E6E6" w:color="auto" w:val="clear"/>
            <w:tcMar>
              <w:top w:type="dxa" w:w="25"/>
              <w:left w:type="dxa" w:w="50"/>
              <w:bottom w:type="dxa" w:w="25"/>
              <w:right w:type="dxa" w:w="50"/>
            </w:tcMar>
          </w:tcPr>
          <w:p/>
        </w:tc>
        <w:tc>
          <w:tcPr>
            <w:tcW w:type="dxa" w:w="812"/>
            <w:tcBorders>
              <w:top w:val="single" w:color="000000" w:sz="4"/>
              <w:left w:val="single" w:color="000000" w:sz="4"/>
              <w:bottom w:val="single" w:color="000000" w:sz="4"/>
              <w:right w:val="single" w:color="000000" w:sz="4"/>
            </w:tcBorders>
            <w:shd w:fill="E7E6E6" w:color="auto" w:val="clear"/>
            <w:tcMar>
              <w:top w:type="dxa" w:w="25"/>
              <w:left w:type="dxa" w:w="50"/>
              <w:bottom w:type="dxa" w:w="25"/>
              <w:right w:type="dxa" w:w="50"/>
            </w:tcMar>
          </w:tcPr>
          <w:p/>
        </w:tc>
        <w:tc>
          <w:tcPr>
            <w:tcW w:type="dxa" w:w="812"/>
            <w:tcBorders>
              <w:top w:val="single" w:color="000000" w:sz="4"/>
              <w:left w:val="single" w:color="000000" w:sz="4"/>
              <w:bottom w:val="single" w:color="000000" w:sz="4"/>
              <w:right w:val="single" w:color="000000" w:sz="4"/>
            </w:tcBorders>
            <w:shd w:fill="E7E6E6" w:color="auto" w:val="clear"/>
            <w:tcMar>
              <w:top w:type="dxa" w:w="25"/>
              <w:left w:type="dxa" w:w="50"/>
              <w:bottom w:type="dxa" w:w="25"/>
              <w:right w:type="dxa" w:w="50"/>
            </w:tcMar>
          </w:tcPr>
          <w:p/>
        </w:tc>
        <w:tc>
          <w:tcPr>
            <w:tcW w:type="dxa" w:w="812"/>
            <w:tcBorders>
              <w:top w:val="single" w:color="000000" w:sz="4"/>
              <w:left w:val="single" w:color="000000" w:sz="4"/>
              <w:bottom w:val="single" w:color="000000" w:sz="4"/>
              <w:right w:val="single" w:color="000000" w:sz="4"/>
            </w:tcBorders>
            <w:shd w:fill="E7E6E6" w:color="auto" w:val="clear"/>
            <w:tcMar>
              <w:top w:type="dxa" w:w="25"/>
              <w:left w:type="dxa" w:w="50"/>
              <w:bottom w:type="dxa" w:w="25"/>
              <w:right w:type="dxa" w:w="50"/>
            </w:tcMar>
          </w:tcPr>
          <w:p/>
        </w:tc>
        <w:tc>
          <w:tcPr>
            <w:tcW w:type="dxa" w:w="1015"/>
            <w:tcBorders>
              <w:top w:val="single" w:color="000000" w:sz="4"/>
              <w:left w:val="single" w:color="000000" w:sz="4"/>
              <w:bottom w:val="single" w:color="000000" w:sz="4"/>
              <w:right w:val="single" w:color="000000" w:sz="4"/>
            </w:tcBorders>
            <w:shd w:fill="E7E6E6" w:color="auto" w:val="clear"/>
            <w:tcMar>
              <w:top w:type="dxa" w:w="25"/>
              <w:left w:type="dxa" w:w="50"/>
              <w:bottom w:type="dxa" w:w="25"/>
              <w:right w:type="dxa" w:w="50"/>
            </w:tcMar>
          </w:tcPr>
          <w:p/>
        </w:tc>
        <w:tc>
          <w:tcPr>
            <w:tcW w:type="dxa" w:w="1015"/>
            <w:tcBorders>
              <w:top w:val="single" w:color="000000" w:sz="4"/>
              <w:left w:val="single" w:color="000000" w:sz="4"/>
              <w:bottom w:val="single" w:color="000000" w:sz="4"/>
              <w:right w:val="single" w:color="000000" w:sz="4"/>
            </w:tcBorders>
            <w:shd w:fill="E7E6E6" w:color="auto" w:val="clear"/>
            <w:tcMar>
              <w:top w:type="dxa" w:w="25"/>
              <w:left w:type="dxa" w:w="50"/>
              <w:bottom w:type="dxa" w:w="25"/>
              <w:right w:type="dxa" w:w="50"/>
            </w:tcMar>
          </w:tcPr>
          <w:p/>
        </w:tc>
        <w:tc>
          <w:tcPr>
            <w:tcW w:type="dxa" w:w="1017"/>
            <w:tcBorders>
              <w:top w:val="single" w:color="000000" w:sz="4"/>
              <w:left w:val="single" w:color="000000" w:sz="4"/>
              <w:bottom w:val="single" w:color="000000" w:sz="4"/>
              <w:right w:val="single" w:color="000000" w:sz="4"/>
            </w:tcBorders>
            <w:shd w:fill="E7E6E6" w:color="auto" w:val="clear"/>
            <w:tcMar>
              <w:top w:type="dxa" w:w="25"/>
              <w:left w:type="dxa" w:w="50"/>
              <w:bottom w:type="dxa" w:w="25"/>
              <w:right w:type="dxa" w:w="50"/>
            </w:tcMar>
          </w:tcPr>
          <w:p/>
        </w:tc>
      </w:tr>
      <w:tr>
        <w:trPr>
          <w:cantSplit/>
        </w:trPr>
        <w:tc>
          <w:tcPr>
            <w:tcW w:type="dxa" w:w="2233"/>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5"/>
                <w:szCs w:val="15"/>
              </w:rPr>
              <w:t xml:space="preserve">vs DANN</w:t>
            </w:r>
          </w:p>
        </w:tc>
        <w:tc>
          <w:tcPr>
            <w:tcW w:type="dxa" w:w="2030"/>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5"/>
                <w:szCs w:val="15"/>
              </w:rPr>
              <w:t xml:space="preserve">2.7 (1.0, 4.3)</w:t>
            </w:r>
          </w:p>
        </w:tc>
        <w:tc>
          <w:tcPr>
            <w:tcW w:type="dxa" w:w="812"/>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5"/>
                <w:szCs w:val="15"/>
              </w:rPr>
              <w:t xml:space="preserve">0.80</w:t>
            </w:r>
          </w:p>
        </w:tc>
        <w:tc>
          <w:tcPr>
            <w:tcW w:type="dxa" w:w="812"/>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5"/>
                <w:szCs w:val="15"/>
              </w:rPr>
              <w:t xml:space="preserve">0.73</w:t>
            </w:r>
          </w:p>
        </w:tc>
        <w:tc>
          <w:tcPr>
            <w:tcW w:type="dxa" w:w="812"/>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5"/>
                <w:szCs w:val="15"/>
              </w:rPr>
              <w:t xml:space="preserve">12/15</w:t>
            </w:r>
          </w:p>
        </w:tc>
        <w:tc>
          <w:tcPr>
            <w:tcW w:type="dxa" w:w="1015"/>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5"/>
                <w:szCs w:val="15"/>
              </w:rPr>
              <w:t xml:space="preserve">0.008</w:t>
            </w:r>
          </w:p>
        </w:tc>
        <w:tc>
          <w:tcPr>
            <w:tcW w:type="dxa" w:w="1015"/>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5"/>
                <w:szCs w:val="15"/>
              </w:rPr>
              <w:t xml:space="preserve">0.010</w:t>
            </w:r>
          </w:p>
        </w:tc>
        <w:tc>
          <w:tcPr>
            <w:tcW w:type="dxa" w:w="1017"/>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5"/>
                <w:szCs w:val="15"/>
              </w:rPr>
              <w:t xml:space="preserve">0.123</w:t>
            </w:r>
          </w:p>
        </w:tc>
      </w:tr>
      <w:tr>
        <w:trPr>
          <w:cantSplit/>
        </w:trPr>
        <w:tc>
          <w:tcPr>
            <w:tcW w:type="dxa" w:w="2233"/>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5"/>
                <w:szCs w:val="15"/>
              </w:rPr>
              <w:t xml:space="preserve">vs PseudoLabel</w:t>
            </w:r>
          </w:p>
        </w:tc>
        <w:tc>
          <w:tcPr>
            <w:tcW w:type="dxa" w:w="2030"/>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5"/>
                <w:szCs w:val="15"/>
              </w:rPr>
              <w:t xml:space="preserve">1.7 (−0.1, 3.5)</w:t>
            </w:r>
          </w:p>
        </w:tc>
        <w:tc>
          <w:tcPr>
            <w:tcW w:type="dxa" w:w="812"/>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5"/>
                <w:szCs w:val="15"/>
              </w:rPr>
              <w:t xml:space="preserve">0.46</w:t>
            </w:r>
          </w:p>
        </w:tc>
        <w:tc>
          <w:tcPr>
            <w:tcW w:type="dxa" w:w="812"/>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5"/>
                <w:szCs w:val="15"/>
              </w:rPr>
              <w:t xml:space="preserve">0.43</w:t>
            </w:r>
          </w:p>
        </w:tc>
        <w:tc>
          <w:tcPr>
            <w:tcW w:type="dxa" w:w="812"/>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5"/>
                <w:szCs w:val="15"/>
              </w:rPr>
              <w:t xml:space="preserve">8/15</w:t>
            </w:r>
          </w:p>
        </w:tc>
        <w:tc>
          <w:tcPr>
            <w:tcW w:type="dxa" w:w="1015"/>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5"/>
                <w:szCs w:val="15"/>
              </w:rPr>
              <w:t xml:space="preserve">0.099</w:t>
            </w:r>
          </w:p>
        </w:tc>
        <w:tc>
          <w:tcPr>
            <w:tcW w:type="dxa" w:w="1015"/>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5"/>
                <w:szCs w:val="15"/>
              </w:rPr>
              <w:t xml:space="preserve">0.151</w:t>
            </w:r>
          </w:p>
        </w:tc>
        <w:tc>
          <w:tcPr>
            <w:tcW w:type="dxa" w:w="1017"/>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5"/>
                <w:szCs w:val="15"/>
              </w:rPr>
              <w:t xml:space="preserve">1.000</w:t>
            </w:r>
          </w:p>
        </w:tc>
      </w:tr>
      <w:tr>
        <w:trPr>
          <w:cantSplit/>
        </w:trPr>
        <w:tc>
          <w:tcPr>
            <w:tcW w:type="dxa" w:w="2233"/>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5"/>
                <w:szCs w:val="15"/>
              </w:rPr>
              <w:t xml:space="preserve">vs BYOL</w:t>
            </w:r>
          </w:p>
        </w:tc>
        <w:tc>
          <w:tcPr>
            <w:tcW w:type="dxa" w:w="2030"/>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5"/>
                <w:szCs w:val="15"/>
              </w:rPr>
              <w:t xml:space="preserve">5.4 (1.1, 9.7)</w:t>
            </w:r>
          </w:p>
        </w:tc>
        <w:tc>
          <w:tcPr>
            <w:tcW w:type="dxa" w:w="812"/>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5"/>
                <w:szCs w:val="15"/>
              </w:rPr>
              <w:t xml:space="preserve">0.62</w:t>
            </w:r>
          </w:p>
        </w:tc>
        <w:tc>
          <w:tcPr>
            <w:tcW w:type="dxa" w:w="812"/>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5"/>
                <w:szCs w:val="15"/>
              </w:rPr>
              <w:t xml:space="preserve">0.58</w:t>
            </w:r>
          </w:p>
        </w:tc>
        <w:tc>
          <w:tcPr>
            <w:tcW w:type="dxa" w:w="812"/>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5"/>
                <w:szCs w:val="15"/>
              </w:rPr>
              <w:t xml:space="preserve">11/15</w:t>
            </w:r>
          </w:p>
        </w:tc>
        <w:tc>
          <w:tcPr>
            <w:tcW w:type="dxa" w:w="1015"/>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5"/>
                <w:szCs w:val="15"/>
              </w:rPr>
              <w:t xml:space="preserve">0.032</w:t>
            </w:r>
          </w:p>
        </w:tc>
        <w:tc>
          <w:tcPr>
            <w:tcW w:type="dxa" w:w="1015"/>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5"/>
                <w:szCs w:val="15"/>
              </w:rPr>
              <w:t xml:space="preserve">0.048</w:t>
            </w:r>
          </w:p>
        </w:tc>
        <w:tc>
          <w:tcPr>
            <w:tcW w:type="dxa" w:w="1017"/>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5"/>
                <w:szCs w:val="15"/>
              </w:rPr>
              <w:t xml:space="preserve">0.527</w:t>
            </w:r>
          </w:p>
        </w:tc>
      </w:tr>
      <w:tr>
        <w:trPr>
          <w:cantSplit/>
        </w:trPr>
        <w:tc>
          <w:tcPr>
            <w:tcW w:type="dxa" w:w="2233"/>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5"/>
                <w:szCs w:val="15"/>
              </w:rPr>
              <w:t xml:space="preserve">vs SimCLR</w:t>
            </w:r>
          </w:p>
        </w:tc>
        <w:tc>
          <w:tcPr>
            <w:tcW w:type="dxa" w:w="2030"/>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5"/>
                <w:szCs w:val="15"/>
              </w:rPr>
              <w:t xml:space="preserve">7.5 (2.8, 12.3)</w:t>
            </w:r>
          </w:p>
        </w:tc>
        <w:tc>
          <w:tcPr>
            <w:tcW w:type="dxa" w:w="812"/>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5"/>
                <w:szCs w:val="15"/>
              </w:rPr>
              <w:t xml:space="preserve">0.76</w:t>
            </w:r>
          </w:p>
        </w:tc>
        <w:tc>
          <w:tcPr>
            <w:tcW w:type="dxa" w:w="812"/>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5"/>
                <w:szCs w:val="15"/>
              </w:rPr>
              <w:t xml:space="preserve">0.75</w:t>
            </w:r>
          </w:p>
        </w:tc>
        <w:tc>
          <w:tcPr>
            <w:tcW w:type="dxa" w:w="812"/>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5"/>
                <w:szCs w:val="15"/>
              </w:rPr>
              <w:t xml:space="preserve">13/15</w:t>
            </w:r>
          </w:p>
        </w:tc>
        <w:tc>
          <w:tcPr>
            <w:tcW w:type="dxa" w:w="1015"/>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5"/>
                <w:szCs w:val="15"/>
              </w:rPr>
              <w:t xml:space="preserve">0.010</w:t>
            </w:r>
          </w:p>
        </w:tc>
        <w:tc>
          <w:tcPr>
            <w:tcW w:type="dxa" w:w="1015"/>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5"/>
                <w:szCs w:val="15"/>
              </w:rPr>
              <w:t xml:space="preserve">0.008</w:t>
            </w:r>
          </w:p>
        </w:tc>
        <w:tc>
          <w:tcPr>
            <w:tcW w:type="dxa" w:w="1017"/>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5"/>
                <w:szCs w:val="15"/>
              </w:rPr>
              <w:t xml:space="preserve">0.109</w:t>
            </w:r>
          </w:p>
        </w:tc>
      </w:tr>
      <w:tr>
        <w:trPr>
          <w:cantSplit/>
        </w:trPr>
        <w:tc>
          <w:tcPr>
            <w:tcW w:type="dxa" w:w="2233"/>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5"/>
                <w:szCs w:val="15"/>
              </w:rPr>
              <w:t xml:space="preserve">vs Two-layer perceptron</w:t>
            </w:r>
          </w:p>
        </w:tc>
        <w:tc>
          <w:tcPr>
            <w:tcW w:type="dxa" w:w="2030"/>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5"/>
                <w:szCs w:val="15"/>
              </w:rPr>
              <w:t xml:space="preserve">0.8 (−0.5, 2.1)</w:t>
            </w:r>
          </w:p>
        </w:tc>
        <w:tc>
          <w:tcPr>
            <w:tcW w:type="dxa" w:w="812"/>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5"/>
                <w:szCs w:val="15"/>
              </w:rPr>
              <w:t xml:space="preserve">0.31</w:t>
            </w:r>
          </w:p>
        </w:tc>
        <w:tc>
          <w:tcPr>
            <w:tcW w:type="dxa" w:w="812"/>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5"/>
                <w:szCs w:val="15"/>
              </w:rPr>
              <w:t xml:space="preserve">0.35</w:t>
            </w:r>
          </w:p>
        </w:tc>
        <w:tc>
          <w:tcPr>
            <w:tcW w:type="dxa" w:w="812"/>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5"/>
                <w:szCs w:val="15"/>
              </w:rPr>
              <w:t xml:space="preserve">10/15</w:t>
            </w:r>
          </w:p>
        </w:tc>
        <w:tc>
          <w:tcPr>
            <w:tcW w:type="dxa" w:w="1015"/>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5"/>
                <w:szCs w:val="15"/>
              </w:rPr>
              <w:t xml:space="preserve">0.243</w:t>
            </w:r>
          </w:p>
        </w:tc>
        <w:tc>
          <w:tcPr>
            <w:tcW w:type="dxa" w:w="1015"/>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5"/>
                <w:szCs w:val="15"/>
              </w:rPr>
              <w:t xml:space="preserve">0.252</w:t>
            </w:r>
          </w:p>
        </w:tc>
        <w:tc>
          <w:tcPr>
            <w:tcW w:type="dxa" w:w="1017"/>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5"/>
                <w:szCs w:val="15"/>
              </w:rPr>
              <w:t xml:space="preserve">1.000</w:t>
            </w:r>
          </w:p>
        </w:tc>
      </w:tr>
      <w:tr>
        <w:trPr>
          <w:cantSplit/>
        </w:trPr>
        <w:tc>
          <w:tcPr>
            <w:tcW w:type="dxa" w:w="2233"/>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5"/>
                <w:szCs w:val="15"/>
              </w:rPr>
              <w:t xml:space="preserve">vs Deep perceptron</w:t>
            </w:r>
          </w:p>
        </w:tc>
        <w:tc>
          <w:tcPr>
            <w:tcW w:type="dxa" w:w="2030"/>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5"/>
                <w:szCs w:val="15"/>
              </w:rPr>
              <w:t xml:space="preserve">0.6 (−0.9, 2.2)</w:t>
            </w:r>
          </w:p>
        </w:tc>
        <w:tc>
          <w:tcPr>
            <w:tcW w:type="dxa" w:w="812"/>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5"/>
                <w:szCs w:val="15"/>
              </w:rPr>
              <w:t xml:space="preserve">0.19</w:t>
            </w:r>
          </w:p>
        </w:tc>
        <w:tc>
          <w:tcPr>
            <w:tcW w:type="dxa" w:w="812"/>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5"/>
                <w:szCs w:val="15"/>
              </w:rPr>
              <w:t xml:space="preserve">0.15</w:t>
            </w:r>
          </w:p>
        </w:tc>
        <w:tc>
          <w:tcPr>
            <w:tcW w:type="dxa" w:w="812"/>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5"/>
                <w:szCs w:val="15"/>
              </w:rPr>
              <w:t xml:space="preserve">7/15</w:t>
            </w:r>
          </w:p>
        </w:tc>
        <w:tc>
          <w:tcPr>
            <w:tcW w:type="dxa" w:w="1015"/>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5"/>
                <w:szCs w:val="15"/>
              </w:rPr>
              <w:t xml:space="preserve">0.465</w:t>
            </w:r>
          </w:p>
        </w:tc>
        <w:tc>
          <w:tcPr>
            <w:tcW w:type="dxa" w:w="1015"/>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5"/>
                <w:szCs w:val="15"/>
              </w:rPr>
              <w:t xml:space="preserve">0.639</w:t>
            </w:r>
          </w:p>
        </w:tc>
        <w:tc>
          <w:tcPr>
            <w:tcW w:type="dxa" w:w="1017"/>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5"/>
                <w:szCs w:val="15"/>
              </w:rPr>
              <w:t xml:space="preserve">1.000</w:t>
            </w:r>
          </w:p>
        </w:tc>
      </w:tr>
      <w:tr>
        <w:trPr>
          <w:cantSplit/>
        </w:trPr>
        <w:tc>
          <w:tcPr>
            <w:tcW w:type="dxa" w:w="2233"/>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5"/>
                <w:szCs w:val="15"/>
              </w:rPr>
              <w:t xml:space="preserve">vs EEG Conformer</w:t>
            </w:r>
          </w:p>
        </w:tc>
        <w:tc>
          <w:tcPr>
            <w:tcW w:type="dxa" w:w="2030"/>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5"/>
                <w:szCs w:val="15"/>
              </w:rPr>
              <w:t xml:space="preserve">3.2 (−0.1, 6.7)</w:t>
            </w:r>
          </w:p>
        </w:tc>
        <w:tc>
          <w:tcPr>
            <w:tcW w:type="dxa" w:w="812"/>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5"/>
                <w:szCs w:val="15"/>
              </w:rPr>
              <w:t xml:space="preserve">0.45</w:t>
            </w:r>
          </w:p>
        </w:tc>
        <w:tc>
          <w:tcPr>
            <w:tcW w:type="dxa" w:w="812"/>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5"/>
                <w:szCs w:val="15"/>
              </w:rPr>
              <w:t xml:space="preserve">0.45</w:t>
            </w:r>
          </w:p>
        </w:tc>
        <w:tc>
          <w:tcPr>
            <w:tcW w:type="dxa" w:w="812"/>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5"/>
                <w:szCs w:val="15"/>
              </w:rPr>
              <w:t xml:space="preserve">9/15</w:t>
            </w:r>
          </w:p>
        </w:tc>
        <w:tc>
          <w:tcPr>
            <w:tcW w:type="dxa" w:w="1015"/>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5"/>
                <w:szCs w:val="15"/>
              </w:rPr>
              <w:t xml:space="preserve">0.102</w:t>
            </w:r>
          </w:p>
        </w:tc>
        <w:tc>
          <w:tcPr>
            <w:tcW w:type="dxa" w:w="1015"/>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5"/>
                <w:szCs w:val="15"/>
              </w:rPr>
              <w:t xml:space="preserve">0.135</w:t>
            </w:r>
          </w:p>
        </w:tc>
        <w:tc>
          <w:tcPr>
            <w:tcW w:type="dxa" w:w="1017"/>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5"/>
                <w:szCs w:val="15"/>
              </w:rPr>
              <w:t xml:space="preserve">1.000</w:t>
            </w:r>
          </w:p>
        </w:tc>
      </w:tr>
      <w:tr>
        <w:trPr>
          <w:cantSplit/>
        </w:trPr>
        <w:tc>
          <w:tcPr>
            <w:tcW w:type="dxa" w:w="2233"/>
            <w:tcBorders>
              <w:top w:val="single" w:color="000000" w:sz="4"/>
              <w:left w:val="single" w:color="000000" w:sz="4"/>
              <w:bottom w:val="single" w:color="000000" w:sz="4"/>
              <w:right w:val="single" w:color="000000" w:sz="4"/>
            </w:tcBorders>
            <w:shd w:fill="E7E6E6" w:color="auto" w:val="clear"/>
            <w:tcMar>
              <w:top w:type="dxa" w:w="25"/>
              <w:left w:type="dxa" w:w="50"/>
              <w:bottom w:type="dxa" w:w="25"/>
              <w:right w:type="dxa" w:w="50"/>
            </w:tcMar>
          </w:tcPr>
          <w:p>
            <w:r>
              <w:rPr>
                <w:rFonts w:ascii="Times New Roman" w:cs="Times New Roman" w:eastAsia="Times New Roman" w:hAnsi="Times New Roman"/>
                <w:b/>
                <w:bCs/>
                <w:sz w:val="15"/>
                <w:szCs w:val="15"/>
              </w:rPr>
              <w:t xml:space="preserve">Zero-shot, six electrodes</w:t>
            </w:r>
          </w:p>
        </w:tc>
        <w:tc>
          <w:tcPr>
            <w:tcW w:type="dxa" w:w="2030"/>
            <w:tcBorders>
              <w:top w:val="single" w:color="000000" w:sz="4"/>
              <w:left w:val="single" w:color="000000" w:sz="4"/>
              <w:bottom w:val="single" w:color="000000" w:sz="4"/>
              <w:right w:val="single" w:color="000000" w:sz="4"/>
            </w:tcBorders>
            <w:shd w:fill="E7E6E6" w:color="auto" w:val="clear"/>
            <w:tcMar>
              <w:top w:type="dxa" w:w="25"/>
              <w:left w:type="dxa" w:w="50"/>
              <w:bottom w:type="dxa" w:w="25"/>
              <w:right w:type="dxa" w:w="50"/>
            </w:tcMar>
          </w:tcPr>
          <w:p/>
        </w:tc>
        <w:tc>
          <w:tcPr>
            <w:tcW w:type="dxa" w:w="812"/>
            <w:tcBorders>
              <w:top w:val="single" w:color="000000" w:sz="4"/>
              <w:left w:val="single" w:color="000000" w:sz="4"/>
              <w:bottom w:val="single" w:color="000000" w:sz="4"/>
              <w:right w:val="single" w:color="000000" w:sz="4"/>
            </w:tcBorders>
            <w:shd w:fill="E7E6E6" w:color="auto" w:val="clear"/>
            <w:tcMar>
              <w:top w:type="dxa" w:w="25"/>
              <w:left w:type="dxa" w:w="50"/>
              <w:bottom w:type="dxa" w:w="25"/>
              <w:right w:type="dxa" w:w="50"/>
            </w:tcMar>
          </w:tcPr>
          <w:p/>
        </w:tc>
        <w:tc>
          <w:tcPr>
            <w:tcW w:type="dxa" w:w="812"/>
            <w:tcBorders>
              <w:top w:val="single" w:color="000000" w:sz="4"/>
              <w:left w:val="single" w:color="000000" w:sz="4"/>
              <w:bottom w:val="single" w:color="000000" w:sz="4"/>
              <w:right w:val="single" w:color="000000" w:sz="4"/>
            </w:tcBorders>
            <w:shd w:fill="E7E6E6" w:color="auto" w:val="clear"/>
            <w:tcMar>
              <w:top w:type="dxa" w:w="25"/>
              <w:left w:type="dxa" w:w="50"/>
              <w:bottom w:type="dxa" w:w="25"/>
              <w:right w:type="dxa" w:w="50"/>
            </w:tcMar>
          </w:tcPr>
          <w:p/>
        </w:tc>
        <w:tc>
          <w:tcPr>
            <w:tcW w:type="dxa" w:w="812"/>
            <w:tcBorders>
              <w:top w:val="single" w:color="000000" w:sz="4"/>
              <w:left w:val="single" w:color="000000" w:sz="4"/>
              <w:bottom w:val="single" w:color="000000" w:sz="4"/>
              <w:right w:val="single" w:color="000000" w:sz="4"/>
            </w:tcBorders>
            <w:shd w:fill="E7E6E6" w:color="auto" w:val="clear"/>
            <w:tcMar>
              <w:top w:type="dxa" w:w="25"/>
              <w:left w:type="dxa" w:w="50"/>
              <w:bottom w:type="dxa" w:w="25"/>
              <w:right w:type="dxa" w:w="50"/>
            </w:tcMar>
          </w:tcPr>
          <w:p/>
        </w:tc>
        <w:tc>
          <w:tcPr>
            <w:tcW w:type="dxa" w:w="1015"/>
            <w:tcBorders>
              <w:top w:val="single" w:color="000000" w:sz="4"/>
              <w:left w:val="single" w:color="000000" w:sz="4"/>
              <w:bottom w:val="single" w:color="000000" w:sz="4"/>
              <w:right w:val="single" w:color="000000" w:sz="4"/>
            </w:tcBorders>
            <w:shd w:fill="E7E6E6" w:color="auto" w:val="clear"/>
            <w:tcMar>
              <w:top w:type="dxa" w:w="25"/>
              <w:left w:type="dxa" w:w="50"/>
              <w:bottom w:type="dxa" w:w="25"/>
              <w:right w:type="dxa" w:w="50"/>
            </w:tcMar>
          </w:tcPr>
          <w:p/>
        </w:tc>
        <w:tc>
          <w:tcPr>
            <w:tcW w:type="dxa" w:w="1015"/>
            <w:tcBorders>
              <w:top w:val="single" w:color="000000" w:sz="4"/>
              <w:left w:val="single" w:color="000000" w:sz="4"/>
              <w:bottom w:val="single" w:color="000000" w:sz="4"/>
              <w:right w:val="single" w:color="000000" w:sz="4"/>
            </w:tcBorders>
            <w:shd w:fill="E7E6E6" w:color="auto" w:val="clear"/>
            <w:tcMar>
              <w:top w:type="dxa" w:w="25"/>
              <w:left w:type="dxa" w:w="50"/>
              <w:bottom w:type="dxa" w:w="25"/>
              <w:right w:type="dxa" w:w="50"/>
            </w:tcMar>
          </w:tcPr>
          <w:p/>
        </w:tc>
        <w:tc>
          <w:tcPr>
            <w:tcW w:type="dxa" w:w="1017"/>
            <w:tcBorders>
              <w:top w:val="single" w:color="000000" w:sz="4"/>
              <w:left w:val="single" w:color="000000" w:sz="4"/>
              <w:bottom w:val="single" w:color="000000" w:sz="4"/>
              <w:right w:val="single" w:color="000000" w:sz="4"/>
            </w:tcBorders>
            <w:shd w:fill="E7E6E6" w:color="auto" w:val="clear"/>
            <w:tcMar>
              <w:top w:type="dxa" w:w="25"/>
              <w:left w:type="dxa" w:w="50"/>
              <w:bottom w:type="dxa" w:w="25"/>
              <w:right w:type="dxa" w:w="50"/>
            </w:tcMar>
          </w:tcPr>
          <w:p/>
        </w:tc>
      </w:tr>
      <w:tr>
        <w:trPr>
          <w:cantSplit/>
        </w:trPr>
        <w:tc>
          <w:tcPr>
            <w:tcW w:type="dxa" w:w="2233"/>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5"/>
                <w:szCs w:val="15"/>
              </w:rPr>
              <w:t xml:space="preserve">vs DANN</w:t>
            </w:r>
          </w:p>
        </w:tc>
        <w:tc>
          <w:tcPr>
            <w:tcW w:type="dxa" w:w="2030"/>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5"/>
                <w:szCs w:val="15"/>
              </w:rPr>
              <w:t xml:space="preserve">0.9 (−1.4, 3.3)</w:t>
            </w:r>
          </w:p>
        </w:tc>
        <w:tc>
          <w:tcPr>
            <w:tcW w:type="dxa" w:w="812"/>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5"/>
                <w:szCs w:val="15"/>
              </w:rPr>
              <w:t xml:space="preserve">0.19</w:t>
            </w:r>
          </w:p>
        </w:tc>
        <w:tc>
          <w:tcPr>
            <w:tcW w:type="dxa" w:w="812"/>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5"/>
                <w:szCs w:val="15"/>
              </w:rPr>
              <w:t xml:space="preserve">0.15</w:t>
            </w:r>
          </w:p>
        </w:tc>
        <w:tc>
          <w:tcPr>
            <w:tcW w:type="dxa" w:w="812"/>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5"/>
                <w:szCs w:val="15"/>
              </w:rPr>
              <w:t xml:space="preserve">9/15</w:t>
            </w:r>
          </w:p>
        </w:tc>
        <w:tc>
          <w:tcPr>
            <w:tcW w:type="dxa" w:w="1015"/>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5"/>
                <w:szCs w:val="15"/>
              </w:rPr>
              <w:t xml:space="preserve">0.472</w:t>
            </w:r>
          </w:p>
        </w:tc>
        <w:tc>
          <w:tcPr>
            <w:tcW w:type="dxa" w:w="1015"/>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5"/>
                <w:szCs w:val="15"/>
              </w:rPr>
              <w:t xml:space="preserve">0.639</w:t>
            </w:r>
          </w:p>
        </w:tc>
        <w:tc>
          <w:tcPr>
            <w:tcW w:type="dxa" w:w="1017"/>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5"/>
                <w:szCs w:val="15"/>
              </w:rPr>
              <w:t xml:space="preserve">1.000</w:t>
            </w:r>
          </w:p>
        </w:tc>
      </w:tr>
      <w:tr>
        <w:trPr>
          <w:cantSplit/>
        </w:trPr>
        <w:tc>
          <w:tcPr>
            <w:tcW w:type="dxa" w:w="2233"/>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5"/>
                <w:szCs w:val="15"/>
              </w:rPr>
              <w:t xml:space="preserve">vs PseudoLabel</w:t>
            </w:r>
          </w:p>
        </w:tc>
        <w:tc>
          <w:tcPr>
            <w:tcW w:type="dxa" w:w="2030"/>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5"/>
                <w:szCs w:val="15"/>
              </w:rPr>
              <w:t xml:space="preserve">0.1 (−1.7, 1.9)</w:t>
            </w:r>
          </w:p>
        </w:tc>
        <w:tc>
          <w:tcPr>
            <w:tcW w:type="dxa" w:w="812"/>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5"/>
                <w:szCs w:val="15"/>
              </w:rPr>
              <w:t xml:space="preserve">0.02</w:t>
            </w:r>
          </w:p>
        </w:tc>
        <w:tc>
          <w:tcPr>
            <w:tcW w:type="dxa" w:w="812"/>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5"/>
                <w:szCs w:val="15"/>
              </w:rPr>
              <w:t xml:space="preserve">0.03</w:t>
            </w:r>
          </w:p>
        </w:tc>
        <w:tc>
          <w:tcPr>
            <w:tcW w:type="dxa" w:w="812"/>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5"/>
                <w:szCs w:val="15"/>
              </w:rPr>
              <w:t xml:space="preserve">8/15</w:t>
            </w:r>
          </w:p>
        </w:tc>
        <w:tc>
          <w:tcPr>
            <w:tcW w:type="dxa" w:w="1015"/>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5"/>
                <w:szCs w:val="15"/>
              </w:rPr>
              <w:t xml:space="preserve">0.936</w:t>
            </w:r>
          </w:p>
        </w:tc>
        <w:tc>
          <w:tcPr>
            <w:tcW w:type="dxa" w:w="1015"/>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5"/>
                <w:szCs w:val="15"/>
              </w:rPr>
              <w:t xml:space="preserve">0.934</w:t>
            </w:r>
          </w:p>
        </w:tc>
        <w:tc>
          <w:tcPr>
            <w:tcW w:type="dxa" w:w="1017"/>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5"/>
                <w:szCs w:val="15"/>
              </w:rPr>
              <w:t xml:space="preserve">1.000</w:t>
            </w:r>
          </w:p>
        </w:tc>
      </w:tr>
      <w:tr>
        <w:trPr>
          <w:cantSplit/>
        </w:trPr>
        <w:tc>
          <w:tcPr>
            <w:tcW w:type="dxa" w:w="2233"/>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5"/>
                <w:szCs w:val="15"/>
              </w:rPr>
              <w:t xml:space="preserve">vs BYOL</w:t>
            </w:r>
          </w:p>
        </w:tc>
        <w:tc>
          <w:tcPr>
            <w:tcW w:type="dxa" w:w="2030"/>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5"/>
                <w:szCs w:val="15"/>
              </w:rPr>
              <w:t xml:space="preserve">−3.5 (−7.1, 0.2)</w:t>
            </w:r>
          </w:p>
        </w:tc>
        <w:tc>
          <w:tcPr>
            <w:tcW w:type="dxa" w:w="812"/>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5"/>
                <w:szCs w:val="15"/>
              </w:rPr>
              <w:t xml:space="preserve">−0.46</w:t>
            </w:r>
          </w:p>
        </w:tc>
        <w:tc>
          <w:tcPr>
            <w:tcW w:type="dxa" w:w="812"/>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5"/>
                <w:szCs w:val="15"/>
              </w:rPr>
              <w:t xml:space="preserve">−0.45</w:t>
            </w:r>
          </w:p>
        </w:tc>
        <w:tc>
          <w:tcPr>
            <w:tcW w:type="dxa" w:w="812"/>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5"/>
                <w:szCs w:val="15"/>
              </w:rPr>
              <w:t xml:space="preserve">5/15</w:t>
            </w:r>
          </w:p>
        </w:tc>
        <w:tc>
          <w:tcPr>
            <w:tcW w:type="dxa" w:w="1015"/>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5"/>
                <w:szCs w:val="15"/>
              </w:rPr>
              <w:t xml:space="preserve">0.096</w:t>
            </w:r>
          </w:p>
        </w:tc>
        <w:tc>
          <w:tcPr>
            <w:tcW w:type="dxa" w:w="1015"/>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5"/>
                <w:szCs w:val="15"/>
              </w:rPr>
              <w:t xml:space="preserve">0.135</w:t>
            </w:r>
          </w:p>
        </w:tc>
        <w:tc>
          <w:tcPr>
            <w:tcW w:type="dxa" w:w="1017"/>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5"/>
                <w:szCs w:val="15"/>
              </w:rPr>
              <w:t xml:space="preserve">1.000</w:t>
            </w:r>
          </w:p>
        </w:tc>
      </w:tr>
      <w:tr>
        <w:trPr>
          <w:cantSplit/>
        </w:trPr>
        <w:tc>
          <w:tcPr>
            <w:tcW w:type="dxa" w:w="2233"/>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5"/>
                <w:szCs w:val="15"/>
              </w:rPr>
              <w:t xml:space="preserve">vs SimCLR</w:t>
            </w:r>
          </w:p>
        </w:tc>
        <w:tc>
          <w:tcPr>
            <w:tcW w:type="dxa" w:w="2030"/>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5"/>
                <w:szCs w:val="15"/>
              </w:rPr>
              <w:t xml:space="preserve">−4.1 (−8.7, 0.3)</w:t>
            </w:r>
          </w:p>
        </w:tc>
        <w:tc>
          <w:tcPr>
            <w:tcW w:type="dxa" w:w="812"/>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5"/>
                <w:szCs w:val="15"/>
              </w:rPr>
              <w:t xml:space="preserve">−0.45</w:t>
            </w:r>
          </w:p>
        </w:tc>
        <w:tc>
          <w:tcPr>
            <w:tcW w:type="dxa" w:w="812"/>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5"/>
                <w:szCs w:val="15"/>
              </w:rPr>
              <w:t xml:space="preserve">−0.48</w:t>
            </w:r>
          </w:p>
        </w:tc>
        <w:tc>
          <w:tcPr>
            <w:tcW w:type="dxa" w:w="812"/>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5"/>
                <w:szCs w:val="15"/>
              </w:rPr>
              <w:t xml:space="preserve">7/15</w:t>
            </w:r>
          </w:p>
        </w:tc>
        <w:tc>
          <w:tcPr>
            <w:tcW w:type="dxa" w:w="1015"/>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5"/>
                <w:szCs w:val="15"/>
              </w:rPr>
              <w:t xml:space="preserve">0.105</w:t>
            </w:r>
          </w:p>
        </w:tc>
        <w:tc>
          <w:tcPr>
            <w:tcW w:type="dxa" w:w="1015"/>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5"/>
                <w:szCs w:val="15"/>
              </w:rPr>
              <w:t xml:space="preserve">0.107</w:t>
            </w:r>
          </w:p>
        </w:tc>
        <w:tc>
          <w:tcPr>
            <w:tcW w:type="dxa" w:w="1017"/>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5"/>
                <w:szCs w:val="15"/>
              </w:rPr>
              <w:t xml:space="preserve">1.000</w:t>
            </w:r>
          </w:p>
        </w:tc>
      </w:tr>
      <w:tr>
        <w:trPr>
          <w:cantSplit/>
        </w:trPr>
        <w:tc>
          <w:tcPr>
            <w:tcW w:type="dxa" w:w="2233"/>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5"/>
                <w:szCs w:val="15"/>
              </w:rPr>
              <w:t xml:space="preserve">vs Two-layer perceptron</w:t>
            </w:r>
          </w:p>
        </w:tc>
        <w:tc>
          <w:tcPr>
            <w:tcW w:type="dxa" w:w="2030"/>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5"/>
                <w:szCs w:val="15"/>
              </w:rPr>
              <w:t xml:space="preserve">0.5 (−1.1, 2.3)</w:t>
            </w:r>
          </w:p>
        </w:tc>
        <w:tc>
          <w:tcPr>
            <w:tcW w:type="dxa" w:w="812"/>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5"/>
                <w:szCs w:val="15"/>
              </w:rPr>
              <w:t xml:space="preserve">0.14</w:t>
            </w:r>
          </w:p>
        </w:tc>
        <w:tc>
          <w:tcPr>
            <w:tcW w:type="dxa" w:w="812"/>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5"/>
                <w:szCs w:val="15"/>
              </w:rPr>
              <w:t xml:space="preserve">0.03</w:t>
            </w:r>
          </w:p>
        </w:tc>
        <w:tc>
          <w:tcPr>
            <w:tcW w:type="dxa" w:w="812"/>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5"/>
                <w:szCs w:val="15"/>
              </w:rPr>
              <w:t xml:space="preserve">6/15</w:t>
            </w:r>
          </w:p>
        </w:tc>
        <w:tc>
          <w:tcPr>
            <w:tcW w:type="dxa" w:w="1015"/>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5"/>
                <w:szCs w:val="15"/>
              </w:rPr>
              <w:t xml:space="preserve">0.597</w:t>
            </w:r>
          </w:p>
        </w:tc>
        <w:tc>
          <w:tcPr>
            <w:tcW w:type="dxa" w:w="1015"/>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5"/>
                <w:szCs w:val="15"/>
              </w:rPr>
              <w:t xml:space="preserve">0.934</w:t>
            </w:r>
          </w:p>
        </w:tc>
        <w:tc>
          <w:tcPr>
            <w:tcW w:type="dxa" w:w="1017"/>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5"/>
                <w:szCs w:val="15"/>
              </w:rPr>
              <w:t xml:space="preserve">1.000</w:t>
            </w:r>
          </w:p>
        </w:tc>
      </w:tr>
      <w:tr>
        <w:trPr>
          <w:cantSplit/>
        </w:trPr>
        <w:tc>
          <w:tcPr>
            <w:tcW w:type="dxa" w:w="2233"/>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5"/>
                <w:szCs w:val="15"/>
              </w:rPr>
              <w:t xml:space="preserve">vs Deep perceptron</w:t>
            </w:r>
          </w:p>
        </w:tc>
        <w:tc>
          <w:tcPr>
            <w:tcW w:type="dxa" w:w="2030"/>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5"/>
                <w:szCs w:val="15"/>
              </w:rPr>
              <w:t xml:space="preserve">0.8 (−0.9, 2.6)</w:t>
            </w:r>
          </w:p>
        </w:tc>
        <w:tc>
          <w:tcPr>
            <w:tcW w:type="dxa" w:w="812"/>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5"/>
                <w:szCs w:val="15"/>
              </w:rPr>
              <w:t xml:space="preserve">0.21</w:t>
            </w:r>
          </w:p>
        </w:tc>
        <w:tc>
          <w:tcPr>
            <w:tcW w:type="dxa" w:w="812"/>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5"/>
                <w:szCs w:val="15"/>
              </w:rPr>
              <w:t xml:space="preserve">0.17</w:t>
            </w:r>
          </w:p>
        </w:tc>
        <w:tc>
          <w:tcPr>
            <w:tcW w:type="dxa" w:w="812"/>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5"/>
                <w:szCs w:val="15"/>
              </w:rPr>
              <w:t xml:space="preserve">9/15</w:t>
            </w:r>
          </w:p>
        </w:tc>
        <w:tc>
          <w:tcPr>
            <w:tcW w:type="dxa" w:w="1015"/>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5"/>
                <w:szCs w:val="15"/>
              </w:rPr>
              <w:t xml:space="preserve">0.419</w:t>
            </w:r>
          </w:p>
        </w:tc>
        <w:tc>
          <w:tcPr>
            <w:tcW w:type="dxa" w:w="1015"/>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5"/>
                <w:szCs w:val="15"/>
              </w:rPr>
              <w:t xml:space="preserve">0.599</w:t>
            </w:r>
          </w:p>
        </w:tc>
        <w:tc>
          <w:tcPr>
            <w:tcW w:type="dxa" w:w="1017"/>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5"/>
                <w:szCs w:val="15"/>
              </w:rPr>
              <w:t xml:space="preserve">1.000</w:t>
            </w:r>
          </w:p>
        </w:tc>
      </w:tr>
      <w:tr>
        <w:trPr>
          <w:cantSplit/>
        </w:trPr>
        <w:tc>
          <w:tcPr>
            <w:tcW w:type="dxa" w:w="2233"/>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5"/>
                <w:szCs w:val="15"/>
              </w:rPr>
              <w:t xml:space="preserve">vs EEG Conformer</w:t>
            </w:r>
          </w:p>
        </w:tc>
        <w:tc>
          <w:tcPr>
            <w:tcW w:type="dxa" w:w="2030"/>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5"/>
                <w:szCs w:val="15"/>
              </w:rPr>
              <w:t xml:space="preserve">5.3 (3.5, 7.2)</w:t>
            </w:r>
          </w:p>
        </w:tc>
        <w:tc>
          <w:tcPr>
            <w:tcW w:type="dxa" w:w="812"/>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5"/>
                <w:szCs w:val="15"/>
              </w:rPr>
              <w:t xml:space="preserve">1.38</w:t>
            </w:r>
          </w:p>
        </w:tc>
        <w:tc>
          <w:tcPr>
            <w:tcW w:type="dxa" w:w="812"/>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5"/>
                <w:szCs w:val="15"/>
              </w:rPr>
              <w:t xml:space="preserve">1.00</w:t>
            </w:r>
          </w:p>
        </w:tc>
        <w:tc>
          <w:tcPr>
            <w:tcW w:type="dxa" w:w="812"/>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5"/>
                <w:szCs w:val="15"/>
              </w:rPr>
              <w:t xml:space="preserve">15/15</w:t>
            </w:r>
          </w:p>
        </w:tc>
        <w:tc>
          <w:tcPr>
            <w:tcW w:type="dxa" w:w="1015"/>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5"/>
                <w:szCs w:val="15"/>
              </w:rPr>
              <w:t xml:space="preserve">&lt;0.001</w:t>
            </w:r>
          </w:p>
        </w:tc>
        <w:tc>
          <w:tcPr>
            <w:tcW w:type="dxa" w:w="1015"/>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5"/>
                <w:szCs w:val="15"/>
              </w:rPr>
              <w:t xml:space="preserve">&lt;0.001</w:t>
            </w:r>
          </w:p>
        </w:tc>
        <w:tc>
          <w:tcPr>
            <w:tcW w:type="dxa" w:w="1017"/>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5"/>
                <w:szCs w:val="15"/>
              </w:rPr>
              <w:t xml:space="preserve">&lt;0.001</w:t>
            </w:r>
          </w:p>
        </w:tc>
      </w:tr>
    </w:tbl>
    <w:p>
      <w:pPr>
        <w:pBdr>
          <w:bottom w:val="dotted" w:color="A6A6A6" w:sz="6" w:space="6"/>
        </w:pBdr>
        <w:spacing w:after="360" w:before="120" w:line="240"/>
        <w:ind w:left="1700"/>
        <w:jc w:val="left"/>
      </w:pPr>
      <w:r>
        <w:rPr>
          <w:rFonts w:ascii="Times New Roman" w:cs="Times New Roman" w:eastAsia="Times New Roman" w:hAnsi="Times New Roman"/>
          <w:b/>
          <w:bCs/>
          <w:sz w:val="19"/>
          <w:szCs w:val="19"/>
        </w:rPr>
        <w:t xml:space="preserve">Table 6</w:t>
      </w:r>
      <w:r>
        <w:rPr>
          <w:rFonts w:ascii="Times New Roman" w:cs="Times New Roman" w:eastAsia="Times New Roman" w:hAnsi="Times New Roman"/>
          <w:sz w:val="19"/>
          <w:szCs w:val="19"/>
        </w:rPr>
        <w:t xml:space="preserve">. Paired participant-level comparisons of CLISA-EWU with other models. Δ = CLISA-EWU minus comparator in percentage points of accuracy (95% bootstrap CI); d</w:t>
      </w:r>
      <w:r>
        <w:rPr>
          <w:rFonts w:ascii="Times New Roman" w:cs="Times New Roman" w:eastAsia="Times New Roman" w:hAnsi="Times New Roman"/>
          <w:sz w:val="19"/>
          <w:szCs w:val="19"/>
          <w:vertAlign w:val="subscript"/>
        </w:rPr>
        <w:t xml:space="preserve">z</w:t>
      </w:r>
      <w:r>
        <w:rPr>
          <w:rFonts w:ascii="Times New Roman" w:cs="Times New Roman" w:eastAsia="Times New Roman" w:hAnsi="Times New Roman"/>
          <w:sz w:val="19"/>
          <w:szCs w:val="19"/>
        </w:rPr>
        <w:t xml:space="preserve"> = Cohen’s paired effect size; r</w:t>
      </w:r>
      <w:r>
        <w:rPr>
          <w:rFonts w:ascii="Times New Roman" w:cs="Times New Roman" w:eastAsia="Times New Roman" w:hAnsi="Times New Roman"/>
          <w:sz w:val="19"/>
          <w:szCs w:val="19"/>
          <w:vertAlign w:val="subscript"/>
        </w:rPr>
        <w:t xml:space="preserve">rb</w:t>
      </w:r>
      <w:r>
        <w:rPr>
          <w:rFonts w:ascii="Times New Roman" w:cs="Times New Roman" w:eastAsia="Times New Roman" w:hAnsi="Times New Roman"/>
          <w:sz w:val="19"/>
          <w:szCs w:val="19"/>
        </w:rPr>
        <w:t xml:space="preserve"> = matched-pairs rank-biserial correlation; wins = participants favouring CLISA-EWU; p values from paired t-tests, Wilcoxon signed-rank tests and Holm adjustment (14 comparisons per protocol).</w:t>
      </w:r>
    </w:p>
    <w:p>
      <w:pPr>
        <w:keepNext/>
        <w:spacing w:before="240"/>
        <w:jc w:val="center"/>
      </w:pPr>
      <w:r>
        <w:drawing>
          <wp:inline distT="0" distB="0" distL="0" distR="0">
            <wp:extent cx="6096000" cy="2705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6096000" cy="2705100"/>
                    </a:xfrm>
                    <a:prstGeom prst="rect">
                      <a:avLst/>
                    </a:prstGeom>
                  </pic:spPr>
                </pic:pic>
              </a:graphicData>
            </a:graphic>
          </wp:inline>
        </w:drawing>
      </w:r>
    </w:p>
    <w:p>
      <w:pPr>
        <w:pBdr>
          <w:bottom w:val="dotted" w:color="A6A6A6" w:sz="6" w:space="6"/>
        </w:pBdr>
        <w:spacing w:after="360" w:before="120" w:line="240"/>
        <w:ind w:left="1700"/>
        <w:jc w:val="left"/>
      </w:pPr>
      <w:r>
        <w:rPr>
          <w:rFonts w:ascii="Times New Roman" w:cs="Times New Roman" w:eastAsia="Times New Roman" w:hAnsi="Times New Roman"/>
          <w:b/>
          <w:bCs/>
          <w:sz w:val="19"/>
          <w:szCs w:val="19"/>
        </w:rPr>
        <w:t xml:space="preserve">Fig. 10</w:t>
      </w:r>
      <w:r>
        <w:rPr>
          <w:rFonts w:ascii="Times New Roman" w:cs="Times New Roman" w:eastAsia="Times New Roman" w:hAnsi="Times New Roman"/>
          <w:sz w:val="19"/>
          <w:szCs w:val="19"/>
        </w:rPr>
        <w:t xml:space="preserve">. Paired participant-level comparisons of calibrated CLISA-EWU with other models. Differences in accuracy (CLISA-EWU minus comparator, percentage points) with 95% bootstrap confidence intervals for (a) 62 and (b) six electrodes. Filled markers: Holm-adjusted Wilcoxon p &lt; 0.05 (14 comparisons). This figure replaces a Welch t-test on run-level summaries, which treated 45 runs from 15 participants as independent.</w:t>
      </w:r>
    </w:p>
    <w:p>
      <w:pPr>
        <w:pStyle w:val="Heading2"/>
        <w:keepNext/>
        <w:spacing w:after="40" w:before="220"/>
        <w:ind w:left="1700"/>
      </w:pPr>
      <w:r>
        <w:rPr>
          <w:rFonts w:ascii="Arial" w:cs="Arial" w:eastAsia="Arial" w:hAnsi="Arial"/>
          <w:b/>
          <w:bCs/>
          <w:color w:val="000000"/>
          <w:sz w:val="21"/>
          <w:szCs w:val="21"/>
        </w:rPr>
        <w:t xml:space="preserve">4.4 Ranking across participants</w:t>
      </w:r>
    </w:p>
    <w:p>
      <w:pPr>
        <w:spacing w:after="0" w:line="252"/>
        <w:ind w:left="1700" w:firstLine="0"/>
        <w:jc w:val="both"/>
      </w:pPr>
      <w:r>
        <w:rPr>
          <w:rFonts w:ascii="Times New Roman" w:cs="Times New Roman" w:eastAsia="Times New Roman" w:hAnsi="Times New Roman"/>
          <w:sz w:val="20"/>
          <w:szCs w:val="20"/>
        </w:rPr>
        <w:t xml:space="preserve">Friedman tests showed significant differences among the 15 deep models in every montage and protocol (Table 7; all p &lt; 0.001). Agreement between participants on the ordering of models was weak zero-shot (Kendall’s W = 0.35 for both montages) but strong after calibration (W = 0.79 and 0.77), so calibration made the ranking consistent across people (Fig. 11). After calibration, CLISA-EWU had the best average rank with 62 electrodes (1.40) and with six (2.67). The Nemenyi critical difference for 15 models and 15 participants was 5.54 ranks; by this conservative criterion, calibrated CLISA-EWU was distinguishable from every supervised network, MixMatch and the DANCE pair, but not from DANN (2.40), PseudoLabel (2.53), BYOL (4.07) or SimCLR (5.80) with 62 electrodes. Zero-shot, CLISA-EWU ranked first with 62 electrodes (4.53), but the deep and two-layer perceptrons were within 0.4 ranks of it, and with six electrodes it ranked third (5.93) behind BYOL (4.13) and SimCLR (4.87).</w:t>
      </w:r>
    </w:p>
    <w:p>
      <w:pPr>
        <w:spacing w:before="20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609"/>
        <w:gridCol w:w="1340"/>
        <w:gridCol w:w="487"/>
        <w:gridCol w:w="487"/>
        <w:gridCol w:w="852"/>
        <w:gridCol w:w="852"/>
        <w:gridCol w:w="730"/>
        <w:gridCol w:w="730"/>
        <w:gridCol w:w="2436"/>
        <w:gridCol w:w="1223"/>
      </w:tblGrid>
      <w:tr>
        <w:trPr>
          <w:tblHeader/>
        </w:trPr>
        <w:tc>
          <w:tcPr>
            <w:tcW w:type="dxa" w:w="609"/>
            <w:tcBorders>
              <w:top w:val="single" w:color="000000" w:sz="4"/>
              <w:left w:val="single" w:color="000000" w:sz="4"/>
              <w:bottom w:val="single" w:color="000000" w:sz="4"/>
              <w:right w:val="single" w:color="000000" w:sz="4"/>
            </w:tcBorders>
            <w:shd w:fill="BFBFBF" w:color="auto" w:val="clear"/>
            <w:tcMar>
              <w:top w:type="dxa" w:w="25"/>
              <w:left w:type="dxa" w:w="50"/>
              <w:bottom w:type="dxa" w:w="25"/>
              <w:right w:type="dxa" w:w="50"/>
            </w:tcMar>
          </w:tcPr>
          <w:p>
            <w:r>
              <w:rPr>
                <w:rFonts w:ascii="Times New Roman" w:cs="Times New Roman" w:eastAsia="Times New Roman" w:hAnsi="Times New Roman"/>
                <w:b/>
                <w:bCs/>
                <w:sz w:val="15"/>
                <w:szCs w:val="15"/>
              </w:rPr>
              <w:t xml:space="preserve">Ch</w:t>
            </w:r>
          </w:p>
        </w:tc>
        <w:tc>
          <w:tcPr>
            <w:tcW w:type="dxa" w:w="1340"/>
            <w:tcBorders>
              <w:top w:val="single" w:color="000000" w:sz="4"/>
              <w:left w:val="single" w:color="000000" w:sz="4"/>
              <w:bottom w:val="single" w:color="000000" w:sz="4"/>
              <w:right w:val="single" w:color="000000" w:sz="4"/>
            </w:tcBorders>
            <w:shd w:fill="BFBFBF" w:color="auto" w:val="clear"/>
            <w:tcMar>
              <w:top w:type="dxa" w:w="25"/>
              <w:left w:type="dxa" w:w="50"/>
              <w:bottom w:type="dxa" w:w="25"/>
              <w:right w:type="dxa" w:w="50"/>
            </w:tcMar>
          </w:tcPr>
          <w:p>
            <w:r>
              <w:rPr>
                <w:rFonts w:ascii="Times New Roman" w:cs="Times New Roman" w:eastAsia="Times New Roman" w:hAnsi="Times New Roman"/>
                <w:b/>
                <w:bCs/>
                <w:sz w:val="15"/>
                <w:szCs w:val="15"/>
              </w:rPr>
              <w:t xml:space="preserve">Protocol</w:t>
            </w:r>
          </w:p>
        </w:tc>
        <w:tc>
          <w:tcPr>
            <w:tcW w:type="dxa" w:w="487"/>
            <w:tcBorders>
              <w:top w:val="single" w:color="000000" w:sz="4"/>
              <w:left w:val="single" w:color="000000" w:sz="4"/>
              <w:bottom w:val="single" w:color="000000" w:sz="4"/>
              <w:right w:val="single" w:color="000000" w:sz="4"/>
            </w:tcBorders>
            <w:shd w:fill="BFBFBF" w:color="auto" w:val="clear"/>
            <w:tcMar>
              <w:top w:type="dxa" w:w="25"/>
              <w:left w:type="dxa" w:w="50"/>
              <w:bottom w:type="dxa" w:w="25"/>
              <w:right w:type="dxa" w:w="50"/>
            </w:tcMar>
          </w:tcPr>
          <w:p>
            <w:r>
              <w:rPr>
                <w:rFonts w:ascii="Times New Roman" w:cs="Times New Roman" w:eastAsia="Times New Roman" w:hAnsi="Times New Roman"/>
                <w:b/>
                <w:bCs/>
                <w:sz w:val="15"/>
                <w:szCs w:val="15"/>
              </w:rPr>
              <w:t xml:space="preserve">k</w:t>
            </w:r>
          </w:p>
        </w:tc>
        <w:tc>
          <w:tcPr>
            <w:tcW w:type="dxa" w:w="487"/>
            <w:tcBorders>
              <w:top w:val="single" w:color="000000" w:sz="4"/>
              <w:left w:val="single" w:color="000000" w:sz="4"/>
              <w:bottom w:val="single" w:color="000000" w:sz="4"/>
              <w:right w:val="single" w:color="000000" w:sz="4"/>
            </w:tcBorders>
            <w:shd w:fill="BFBFBF" w:color="auto" w:val="clear"/>
            <w:tcMar>
              <w:top w:type="dxa" w:w="25"/>
              <w:left w:type="dxa" w:w="50"/>
              <w:bottom w:type="dxa" w:w="25"/>
              <w:right w:type="dxa" w:w="50"/>
            </w:tcMar>
          </w:tcPr>
          <w:p>
            <w:r>
              <w:rPr>
                <w:rFonts w:ascii="Times New Roman" w:cs="Times New Roman" w:eastAsia="Times New Roman" w:hAnsi="Times New Roman"/>
                <w:b/>
                <w:bCs/>
                <w:sz w:val="15"/>
                <w:szCs w:val="15"/>
              </w:rPr>
              <w:t xml:space="preserve">n</w:t>
            </w:r>
          </w:p>
        </w:tc>
        <w:tc>
          <w:tcPr>
            <w:tcW w:type="dxa" w:w="852"/>
            <w:tcBorders>
              <w:top w:val="single" w:color="000000" w:sz="4"/>
              <w:left w:val="single" w:color="000000" w:sz="4"/>
              <w:bottom w:val="single" w:color="000000" w:sz="4"/>
              <w:right w:val="single" w:color="000000" w:sz="4"/>
            </w:tcBorders>
            <w:shd w:fill="BFBFBF" w:color="auto" w:val="clear"/>
            <w:tcMar>
              <w:top w:type="dxa" w:w="25"/>
              <w:left w:type="dxa" w:w="50"/>
              <w:bottom w:type="dxa" w:w="25"/>
              <w:right w:type="dxa" w:w="50"/>
            </w:tcMar>
          </w:tcPr>
          <w:p>
            <w:r>
              <w:rPr>
                <w:rFonts w:ascii="Times New Roman" w:cs="Times New Roman" w:eastAsia="Times New Roman" w:hAnsi="Times New Roman"/>
                <w:b/>
                <w:bCs/>
                <w:sz w:val="15"/>
                <w:szCs w:val="15"/>
              </w:rPr>
              <w:t xml:space="preserve">χ²</w:t>
            </w:r>
            <w:r>
              <w:rPr>
                <w:rFonts w:ascii="Times New Roman" w:cs="Times New Roman" w:eastAsia="Times New Roman" w:hAnsi="Times New Roman"/>
                <w:b/>
                <w:bCs/>
                <w:sz w:val="15"/>
                <w:szCs w:val="15"/>
                <w:vertAlign w:val="subscript"/>
              </w:rPr>
              <w:t xml:space="preserve">F</w:t>
            </w:r>
          </w:p>
        </w:tc>
        <w:tc>
          <w:tcPr>
            <w:tcW w:type="dxa" w:w="852"/>
            <w:tcBorders>
              <w:top w:val="single" w:color="000000" w:sz="4"/>
              <w:left w:val="single" w:color="000000" w:sz="4"/>
              <w:bottom w:val="single" w:color="000000" w:sz="4"/>
              <w:right w:val="single" w:color="000000" w:sz="4"/>
            </w:tcBorders>
            <w:shd w:fill="BFBFBF" w:color="auto" w:val="clear"/>
            <w:tcMar>
              <w:top w:type="dxa" w:w="25"/>
              <w:left w:type="dxa" w:w="50"/>
              <w:bottom w:type="dxa" w:w="25"/>
              <w:right w:type="dxa" w:w="50"/>
            </w:tcMar>
          </w:tcPr>
          <w:p>
            <w:r>
              <w:rPr>
                <w:rFonts w:ascii="Times New Roman" w:cs="Times New Roman" w:eastAsia="Times New Roman" w:hAnsi="Times New Roman"/>
                <w:b/>
                <w:bCs/>
                <w:sz w:val="15"/>
                <w:szCs w:val="15"/>
              </w:rPr>
              <w:t xml:space="preserve">p</w:t>
            </w:r>
          </w:p>
        </w:tc>
        <w:tc>
          <w:tcPr>
            <w:tcW w:type="dxa" w:w="730"/>
            <w:tcBorders>
              <w:top w:val="single" w:color="000000" w:sz="4"/>
              <w:left w:val="single" w:color="000000" w:sz="4"/>
              <w:bottom w:val="single" w:color="000000" w:sz="4"/>
              <w:right w:val="single" w:color="000000" w:sz="4"/>
            </w:tcBorders>
            <w:shd w:fill="BFBFBF" w:color="auto" w:val="clear"/>
            <w:tcMar>
              <w:top w:type="dxa" w:w="25"/>
              <w:left w:type="dxa" w:w="50"/>
              <w:bottom w:type="dxa" w:w="25"/>
              <w:right w:type="dxa" w:w="50"/>
            </w:tcMar>
          </w:tcPr>
          <w:p>
            <w:r>
              <w:rPr>
                <w:rFonts w:ascii="Times New Roman" w:cs="Times New Roman" w:eastAsia="Times New Roman" w:hAnsi="Times New Roman"/>
                <w:b/>
                <w:bCs/>
                <w:sz w:val="15"/>
                <w:szCs w:val="15"/>
              </w:rPr>
              <w:t xml:space="preserve">W</w:t>
            </w:r>
          </w:p>
        </w:tc>
        <w:tc>
          <w:tcPr>
            <w:tcW w:type="dxa" w:w="730"/>
            <w:tcBorders>
              <w:top w:val="single" w:color="000000" w:sz="4"/>
              <w:left w:val="single" w:color="000000" w:sz="4"/>
              <w:bottom w:val="single" w:color="000000" w:sz="4"/>
              <w:right w:val="single" w:color="000000" w:sz="4"/>
            </w:tcBorders>
            <w:shd w:fill="BFBFBF" w:color="auto" w:val="clear"/>
            <w:tcMar>
              <w:top w:type="dxa" w:w="25"/>
              <w:left w:type="dxa" w:w="50"/>
              <w:bottom w:type="dxa" w:w="25"/>
              <w:right w:type="dxa" w:w="50"/>
            </w:tcMar>
          </w:tcPr>
          <w:p>
            <w:r>
              <w:rPr>
                <w:rFonts w:ascii="Times New Roman" w:cs="Times New Roman" w:eastAsia="Times New Roman" w:hAnsi="Times New Roman"/>
                <w:b/>
                <w:bCs/>
                <w:sz w:val="15"/>
                <w:szCs w:val="15"/>
              </w:rPr>
              <w:t xml:space="preserve">CD</w:t>
            </w:r>
          </w:p>
        </w:tc>
        <w:tc>
          <w:tcPr>
            <w:tcW w:type="dxa" w:w="2436"/>
            <w:tcBorders>
              <w:top w:val="single" w:color="000000" w:sz="4"/>
              <w:left w:val="single" w:color="000000" w:sz="4"/>
              <w:bottom w:val="single" w:color="000000" w:sz="4"/>
              <w:right w:val="single" w:color="000000" w:sz="4"/>
            </w:tcBorders>
            <w:shd w:fill="BFBFBF" w:color="auto" w:val="clear"/>
            <w:tcMar>
              <w:top w:type="dxa" w:w="25"/>
              <w:left w:type="dxa" w:w="50"/>
              <w:bottom w:type="dxa" w:w="25"/>
              <w:right w:type="dxa" w:w="50"/>
            </w:tcMar>
          </w:tcPr>
          <w:p>
            <w:r>
              <w:rPr>
                <w:rFonts w:ascii="Times New Roman" w:cs="Times New Roman" w:eastAsia="Times New Roman" w:hAnsi="Times New Roman"/>
                <w:b/>
                <w:bCs/>
                <w:sz w:val="15"/>
                <w:szCs w:val="15"/>
              </w:rPr>
              <w:t xml:space="preserve">Best model (rank)</w:t>
            </w:r>
          </w:p>
        </w:tc>
        <w:tc>
          <w:tcPr>
            <w:tcW w:type="dxa" w:w="1223"/>
            <w:tcBorders>
              <w:top w:val="single" w:color="000000" w:sz="4"/>
              <w:left w:val="single" w:color="000000" w:sz="4"/>
              <w:bottom w:val="single" w:color="000000" w:sz="4"/>
              <w:right w:val="single" w:color="000000" w:sz="4"/>
            </w:tcBorders>
            <w:shd w:fill="BFBFBF" w:color="auto" w:val="clear"/>
            <w:tcMar>
              <w:top w:type="dxa" w:w="25"/>
              <w:left w:type="dxa" w:w="50"/>
              <w:bottom w:type="dxa" w:w="25"/>
              <w:right w:type="dxa" w:w="50"/>
            </w:tcMar>
          </w:tcPr>
          <w:p>
            <w:r>
              <w:rPr>
                <w:rFonts w:ascii="Times New Roman" w:cs="Times New Roman" w:eastAsia="Times New Roman" w:hAnsi="Times New Roman"/>
                <w:b/>
                <w:bCs/>
                <w:sz w:val="15"/>
                <w:szCs w:val="15"/>
              </w:rPr>
              <w:t xml:space="preserve">CLISA-EWU rank</w:t>
            </w:r>
          </w:p>
        </w:tc>
      </w:tr>
      <w:tr>
        <w:trPr>
          <w:cantSplit/>
        </w:trPr>
        <w:tc>
          <w:tcPr>
            <w:tcW w:type="dxa" w:w="609"/>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5"/>
                <w:szCs w:val="15"/>
              </w:rPr>
              <w:t xml:space="preserve">62</w:t>
            </w:r>
          </w:p>
        </w:tc>
        <w:tc>
          <w:tcPr>
            <w:tcW w:type="dxa" w:w="1340"/>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5"/>
                <w:szCs w:val="15"/>
              </w:rPr>
              <w:t xml:space="preserve">Zero-shot</w:t>
            </w:r>
          </w:p>
        </w:tc>
        <w:tc>
          <w:tcPr>
            <w:tcW w:type="dxa" w:w="487"/>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5"/>
                <w:szCs w:val="15"/>
              </w:rPr>
              <w:t xml:space="preserve">15</w:t>
            </w:r>
          </w:p>
        </w:tc>
        <w:tc>
          <w:tcPr>
            <w:tcW w:type="dxa" w:w="487"/>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5"/>
                <w:szCs w:val="15"/>
              </w:rPr>
              <w:t xml:space="preserve">15</w:t>
            </w:r>
          </w:p>
        </w:tc>
        <w:tc>
          <w:tcPr>
            <w:tcW w:type="dxa" w:w="852"/>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5"/>
                <w:szCs w:val="15"/>
              </w:rPr>
              <w:t xml:space="preserve">72.6</w:t>
            </w:r>
          </w:p>
        </w:tc>
        <w:tc>
          <w:tcPr>
            <w:tcW w:type="dxa" w:w="852"/>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5"/>
                <w:szCs w:val="15"/>
              </w:rPr>
              <w:t xml:space="preserve">&lt;0.001</w:t>
            </w:r>
          </w:p>
        </w:tc>
        <w:tc>
          <w:tcPr>
            <w:tcW w:type="dxa" w:w="730"/>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5"/>
                <w:szCs w:val="15"/>
              </w:rPr>
              <w:t xml:space="preserve">0.35</w:t>
            </w:r>
          </w:p>
        </w:tc>
        <w:tc>
          <w:tcPr>
            <w:tcW w:type="dxa" w:w="730"/>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5"/>
                <w:szCs w:val="15"/>
              </w:rPr>
              <w:t xml:space="preserve">5.54</w:t>
            </w:r>
          </w:p>
        </w:tc>
        <w:tc>
          <w:tcPr>
            <w:tcW w:type="dxa" w:w="2436"/>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5"/>
                <w:szCs w:val="15"/>
              </w:rPr>
              <w:t xml:space="preserve">CLISA-EWU (4.53)</w:t>
            </w:r>
          </w:p>
        </w:tc>
        <w:tc>
          <w:tcPr>
            <w:tcW w:type="dxa" w:w="1223"/>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5"/>
                <w:szCs w:val="15"/>
              </w:rPr>
              <w:t xml:space="preserve">4.53</w:t>
            </w:r>
          </w:p>
        </w:tc>
      </w:tr>
      <w:tr>
        <w:trPr>
          <w:cantSplit/>
        </w:trPr>
        <w:tc>
          <w:tcPr>
            <w:tcW w:type="dxa" w:w="609"/>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5"/>
                <w:szCs w:val="15"/>
              </w:rPr>
              <w:t xml:space="preserve">62</w:t>
            </w:r>
          </w:p>
        </w:tc>
        <w:tc>
          <w:tcPr>
            <w:tcW w:type="dxa" w:w="1340"/>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5"/>
                <w:szCs w:val="15"/>
              </w:rPr>
              <w:t xml:space="preserve">Calibrated</w:t>
            </w:r>
          </w:p>
        </w:tc>
        <w:tc>
          <w:tcPr>
            <w:tcW w:type="dxa" w:w="487"/>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5"/>
                <w:szCs w:val="15"/>
              </w:rPr>
              <w:t xml:space="preserve">15</w:t>
            </w:r>
          </w:p>
        </w:tc>
        <w:tc>
          <w:tcPr>
            <w:tcW w:type="dxa" w:w="487"/>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5"/>
                <w:szCs w:val="15"/>
              </w:rPr>
              <w:t xml:space="preserve">15</w:t>
            </w:r>
          </w:p>
        </w:tc>
        <w:tc>
          <w:tcPr>
            <w:tcW w:type="dxa" w:w="852"/>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5"/>
                <w:szCs w:val="15"/>
              </w:rPr>
              <w:t xml:space="preserve">164.9</w:t>
            </w:r>
          </w:p>
        </w:tc>
        <w:tc>
          <w:tcPr>
            <w:tcW w:type="dxa" w:w="852"/>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5"/>
                <w:szCs w:val="15"/>
              </w:rPr>
              <w:t xml:space="preserve">&lt;0.001</w:t>
            </w:r>
          </w:p>
        </w:tc>
        <w:tc>
          <w:tcPr>
            <w:tcW w:type="dxa" w:w="730"/>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5"/>
                <w:szCs w:val="15"/>
              </w:rPr>
              <w:t xml:space="preserve">0.79</w:t>
            </w:r>
          </w:p>
        </w:tc>
        <w:tc>
          <w:tcPr>
            <w:tcW w:type="dxa" w:w="730"/>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5"/>
                <w:szCs w:val="15"/>
              </w:rPr>
              <w:t xml:space="preserve">5.54</w:t>
            </w:r>
          </w:p>
        </w:tc>
        <w:tc>
          <w:tcPr>
            <w:tcW w:type="dxa" w:w="2436"/>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5"/>
                <w:szCs w:val="15"/>
              </w:rPr>
              <w:t xml:space="preserve">CLISA-EWU (1.40)</w:t>
            </w:r>
          </w:p>
        </w:tc>
        <w:tc>
          <w:tcPr>
            <w:tcW w:type="dxa" w:w="1223"/>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5"/>
                <w:szCs w:val="15"/>
              </w:rPr>
              <w:t xml:space="preserve">1.40</w:t>
            </w:r>
          </w:p>
        </w:tc>
      </w:tr>
      <w:tr>
        <w:trPr>
          <w:cantSplit/>
        </w:trPr>
        <w:tc>
          <w:tcPr>
            <w:tcW w:type="dxa" w:w="609"/>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5"/>
                <w:szCs w:val="15"/>
              </w:rPr>
              <w:t xml:space="preserve">6</w:t>
            </w:r>
          </w:p>
        </w:tc>
        <w:tc>
          <w:tcPr>
            <w:tcW w:type="dxa" w:w="1340"/>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5"/>
                <w:szCs w:val="15"/>
              </w:rPr>
              <w:t xml:space="preserve">Zero-shot</w:t>
            </w:r>
          </w:p>
        </w:tc>
        <w:tc>
          <w:tcPr>
            <w:tcW w:type="dxa" w:w="487"/>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5"/>
                <w:szCs w:val="15"/>
              </w:rPr>
              <w:t xml:space="preserve">15</w:t>
            </w:r>
          </w:p>
        </w:tc>
        <w:tc>
          <w:tcPr>
            <w:tcW w:type="dxa" w:w="487"/>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5"/>
                <w:szCs w:val="15"/>
              </w:rPr>
              <w:t xml:space="preserve">15</w:t>
            </w:r>
          </w:p>
        </w:tc>
        <w:tc>
          <w:tcPr>
            <w:tcW w:type="dxa" w:w="852"/>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5"/>
                <w:szCs w:val="15"/>
              </w:rPr>
              <w:t xml:space="preserve">74.5</w:t>
            </w:r>
          </w:p>
        </w:tc>
        <w:tc>
          <w:tcPr>
            <w:tcW w:type="dxa" w:w="852"/>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5"/>
                <w:szCs w:val="15"/>
              </w:rPr>
              <w:t xml:space="preserve">&lt;0.001</w:t>
            </w:r>
          </w:p>
        </w:tc>
        <w:tc>
          <w:tcPr>
            <w:tcW w:type="dxa" w:w="730"/>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5"/>
                <w:szCs w:val="15"/>
              </w:rPr>
              <w:t xml:space="preserve">0.35</w:t>
            </w:r>
          </w:p>
        </w:tc>
        <w:tc>
          <w:tcPr>
            <w:tcW w:type="dxa" w:w="730"/>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5"/>
                <w:szCs w:val="15"/>
              </w:rPr>
              <w:t xml:space="preserve">5.54</w:t>
            </w:r>
          </w:p>
        </w:tc>
        <w:tc>
          <w:tcPr>
            <w:tcW w:type="dxa" w:w="2436"/>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5"/>
                <w:szCs w:val="15"/>
              </w:rPr>
              <w:t xml:space="preserve">BYOL (4.13)</w:t>
            </w:r>
          </w:p>
        </w:tc>
        <w:tc>
          <w:tcPr>
            <w:tcW w:type="dxa" w:w="1223"/>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5"/>
                <w:szCs w:val="15"/>
              </w:rPr>
              <w:t xml:space="preserve">5.93</w:t>
            </w:r>
          </w:p>
        </w:tc>
      </w:tr>
      <w:tr>
        <w:trPr>
          <w:cantSplit/>
        </w:trPr>
        <w:tc>
          <w:tcPr>
            <w:tcW w:type="dxa" w:w="609"/>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5"/>
                <w:szCs w:val="15"/>
              </w:rPr>
              <w:t xml:space="preserve">6</w:t>
            </w:r>
          </w:p>
        </w:tc>
        <w:tc>
          <w:tcPr>
            <w:tcW w:type="dxa" w:w="1340"/>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5"/>
                <w:szCs w:val="15"/>
              </w:rPr>
              <w:t xml:space="preserve">Calibrated</w:t>
            </w:r>
          </w:p>
        </w:tc>
        <w:tc>
          <w:tcPr>
            <w:tcW w:type="dxa" w:w="487"/>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5"/>
                <w:szCs w:val="15"/>
              </w:rPr>
              <w:t xml:space="preserve">15</w:t>
            </w:r>
          </w:p>
        </w:tc>
        <w:tc>
          <w:tcPr>
            <w:tcW w:type="dxa" w:w="487"/>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5"/>
                <w:szCs w:val="15"/>
              </w:rPr>
              <w:t xml:space="preserve">15</w:t>
            </w:r>
          </w:p>
        </w:tc>
        <w:tc>
          <w:tcPr>
            <w:tcW w:type="dxa" w:w="852"/>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5"/>
                <w:szCs w:val="15"/>
              </w:rPr>
              <w:t xml:space="preserve">161.4</w:t>
            </w:r>
          </w:p>
        </w:tc>
        <w:tc>
          <w:tcPr>
            <w:tcW w:type="dxa" w:w="852"/>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5"/>
                <w:szCs w:val="15"/>
              </w:rPr>
              <w:t xml:space="preserve">&lt;0.001</w:t>
            </w:r>
          </w:p>
        </w:tc>
        <w:tc>
          <w:tcPr>
            <w:tcW w:type="dxa" w:w="730"/>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5"/>
                <w:szCs w:val="15"/>
              </w:rPr>
              <w:t xml:space="preserve">0.77</w:t>
            </w:r>
          </w:p>
        </w:tc>
        <w:tc>
          <w:tcPr>
            <w:tcW w:type="dxa" w:w="730"/>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5"/>
                <w:szCs w:val="15"/>
              </w:rPr>
              <w:t xml:space="preserve">5.54</w:t>
            </w:r>
          </w:p>
        </w:tc>
        <w:tc>
          <w:tcPr>
            <w:tcW w:type="dxa" w:w="2436"/>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5"/>
                <w:szCs w:val="15"/>
              </w:rPr>
              <w:t xml:space="preserve">CLISA-EWU (2.67)</w:t>
            </w:r>
          </w:p>
        </w:tc>
        <w:tc>
          <w:tcPr>
            <w:tcW w:type="dxa" w:w="1223"/>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5"/>
                <w:szCs w:val="15"/>
              </w:rPr>
              <w:t xml:space="preserve">2.67</w:t>
            </w:r>
          </w:p>
        </w:tc>
      </w:tr>
    </w:tbl>
    <w:p>
      <w:pPr>
        <w:pBdr>
          <w:bottom w:val="dotted" w:color="A6A6A6" w:sz="6" w:space="6"/>
        </w:pBdr>
        <w:spacing w:after="360" w:before="120" w:line="240"/>
        <w:ind w:left="1700"/>
        <w:jc w:val="left"/>
      </w:pPr>
      <w:r>
        <w:rPr>
          <w:rFonts w:ascii="Times New Roman" w:cs="Times New Roman" w:eastAsia="Times New Roman" w:hAnsi="Times New Roman"/>
          <w:b/>
          <w:bCs/>
          <w:sz w:val="19"/>
          <w:szCs w:val="19"/>
        </w:rPr>
        <w:t xml:space="preserve">Table 7</w:t>
      </w:r>
      <w:r>
        <w:rPr>
          <w:rFonts w:ascii="Times New Roman" w:cs="Times New Roman" w:eastAsia="Times New Roman" w:hAnsi="Times New Roman"/>
          <w:sz w:val="19"/>
          <w:szCs w:val="19"/>
        </w:rPr>
        <w:t xml:space="preserve">. Friedman tests across the 15 deep models of each montage (k models, n participants) with Kendall’s W, the Nemenyi critical difference (CD, α = 0.05), the best-ranked model and the average rank of CLISA-EWU.</w:t>
      </w:r>
    </w:p>
    <w:p>
      <w:pPr>
        <w:keepNext/>
        <w:spacing w:before="240"/>
        <w:jc w:val="center"/>
      </w:pPr>
      <w:r>
        <w:drawing>
          <wp:inline distT="0" distB="0" distL="0" distR="0">
            <wp:extent cx="6000750" cy="5334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6000750" cy="5334000"/>
                    </a:xfrm>
                    <a:prstGeom prst="rect">
                      <a:avLst/>
                    </a:prstGeom>
                  </pic:spPr>
                </pic:pic>
              </a:graphicData>
            </a:graphic>
          </wp:inline>
        </w:drawing>
      </w:r>
    </w:p>
    <w:p>
      <w:pPr>
        <w:pBdr>
          <w:bottom w:val="dotted" w:color="A6A6A6" w:sz="6" w:space="6"/>
        </w:pBdr>
        <w:spacing w:after="360" w:before="120" w:line="240"/>
        <w:ind w:left="1700"/>
        <w:jc w:val="left"/>
      </w:pPr>
      <w:r>
        <w:rPr>
          <w:rFonts w:ascii="Times New Roman" w:cs="Times New Roman" w:eastAsia="Times New Roman" w:hAnsi="Times New Roman"/>
          <w:b/>
          <w:bCs/>
          <w:sz w:val="19"/>
          <w:szCs w:val="19"/>
        </w:rPr>
        <w:t xml:space="preserve">Fig. 11</w:t>
      </w:r>
      <w:r>
        <w:rPr>
          <w:rFonts w:ascii="Times New Roman" w:cs="Times New Roman" w:eastAsia="Times New Roman" w:hAnsi="Times New Roman"/>
          <w:sz w:val="19"/>
          <w:szCs w:val="19"/>
        </w:rPr>
        <w:t xml:space="preserve">. Average ranks of the deep models across participants. Friedman average rank of each model over the 15 held-out participants (1 = best) for (a) 62 electrodes zero-shot, (b) 62 electrodes calibrated, (c) six electrodes zero-shot and (d) six electrodes calibrated. The shaded band extends one Nemenyi critical difference (CD = 5.54) from the best model; models inside it are not significantly different from the best at α = 0.05. CLISA-EWU is shown in orange.</w:t>
      </w:r>
    </w:p>
    <w:p>
      <w:pPr>
        <w:pStyle w:val="Heading2"/>
        <w:keepNext/>
        <w:spacing w:after="40" w:before="220"/>
        <w:ind w:left="1700"/>
      </w:pPr>
      <w:r>
        <w:rPr>
          <w:rFonts w:ascii="Arial" w:cs="Arial" w:eastAsia="Arial" w:hAnsi="Arial"/>
          <w:b/>
          <w:bCs/>
          <w:color w:val="000000"/>
          <w:sz w:val="21"/>
          <w:szCs w:val="21"/>
        </w:rPr>
        <w:t xml:space="preserve">4.5 Effect sizes</w:t>
      </w:r>
    </w:p>
    <w:p>
      <w:pPr>
        <w:spacing w:after="0" w:line="252"/>
        <w:ind w:left="1700" w:firstLine="0"/>
        <w:jc w:val="both"/>
      </w:pPr>
      <w:r>
        <w:rPr>
          <w:rFonts w:ascii="Times New Roman" w:cs="Times New Roman" w:eastAsia="Times New Roman" w:hAnsi="Times New Roman"/>
          <w:sz w:val="20"/>
          <w:szCs w:val="20"/>
        </w:rPr>
        <w:t xml:space="preserve">Paired effect sizes (Table 6) separate statistical from practical significance. After calibration with 62 electrodes, the advantage of CLISA-EWU over BYOL and SimCLR was very large (</w:t>
      </w:r>
      <w:r>
        <w:rPr>
          <w:rFonts w:ascii="Times New Roman" w:cs="Times New Roman" w:eastAsia="Times New Roman" w:hAnsi="Times New Roman"/>
          <w:i/>
          <w:iCs/>
          <w:sz w:val="20"/>
          <w:szCs w:val="20"/>
        </w:rPr>
        <w:t xml:space="preserve">d</w:t>
      </w:r>
      <w:r>
        <w:rPr>
          <w:rFonts w:ascii="Times New Roman" w:cs="Times New Roman" w:eastAsia="Times New Roman" w:hAnsi="Times New Roman"/>
          <w:sz w:val="20"/>
          <w:szCs w:val="20"/>
          <w:vertAlign w:val="subscript"/>
        </w:rPr>
        <w:t xml:space="preserve">z</w:t>
      </w:r>
      <w:r>
        <w:rPr>
          <w:rFonts w:ascii="Times New Roman" w:cs="Times New Roman" w:eastAsia="Times New Roman" w:hAnsi="Times New Roman"/>
          <w:sz w:val="20"/>
          <w:szCs w:val="20"/>
        </w:rPr>
        <w:t xml:space="preserve"> = 2.04 and 2.62; </w:t>
      </w:r>
      <w:r>
        <w:rPr>
          <w:rFonts w:ascii="Times New Roman" w:cs="Times New Roman" w:eastAsia="Times New Roman" w:hAnsi="Times New Roman"/>
          <w:i/>
          <w:iCs/>
          <w:sz w:val="20"/>
          <w:szCs w:val="20"/>
        </w:rPr>
        <w:t xml:space="preserve">r</w:t>
      </w:r>
      <w:r>
        <w:rPr>
          <w:rFonts w:ascii="Times New Roman" w:cs="Times New Roman" w:eastAsia="Times New Roman" w:hAnsi="Times New Roman"/>
          <w:sz w:val="20"/>
          <w:szCs w:val="20"/>
          <w:vertAlign w:val="subscript"/>
        </w:rPr>
        <w:t xml:space="preserve">rb</w:t>
      </w:r>
      <w:r>
        <w:rPr>
          <w:rFonts w:ascii="Times New Roman" w:cs="Times New Roman" w:eastAsia="Times New Roman" w:hAnsi="Times New Roman"/>
          <w:sz w:val="20"/>
          <w:szCs w:val="20"/>
        </w:rPr>
        <w:t xml:space="preserve"> = 1.00, with all 15 participants favouring CLISA-EWU), whereas its advantage over PseudoLabel and DANN was large in standardised terms (</w:t>
      </w:r>
      <w:r>
        <w:rPr>
          <w:rFonts w:ascii="Times New Roman" w:cs="Times New Roman" w:eastAsia="Times New Roman" w:hAnsi="Times New Roman"/>
          <w:i/>
          <w:iCs/>
          <w:sz w:val="20"/>
          <w:szCs w:val="20"/>
        </w:rPr>
        <w:t xml:space="preserve">d</w:t>
      </w:r>
      <w:r>
        <w:rPr>
          <w:rFonts w:ascii="Times New Roman" w:cs="Times New Roman" w:eastAsia="Times New Roman" w:hAnsi="Times New Roman"/>
          <w:sz w:val="20"/>
          <w:szCs w:val="20"/>
          <w:vertAlign w:val="subscript"/>
        </w:rPr>
        <w:t xml:space="preserve">z</w:t>
      </w:r>
      <w:r>
        <w:rPr>
          <w:rFonts w:ascii="Times New Roman" w:cs="Times New Roman" w:eastAsia="Times New Roman" w:hAnsi="Times New Roman"/>
          <w:sz w:val="20"/>
          <w:szCs w:val="20"/>
        </w:rPr>
        <w:t xml:space="preserve"> = 0.98 and 0.82) but small in absolute terms (2.1 and 1.6 percentage points), and only the PseudoLabel difference survived Holm correction. With six electrodes, effects against the self-supervised and semi-supervised models were small (</w:t>
      </w:r>
      <w:r>
        <w:rPr>
          <w:rFonts w:ascii="Times New Roman" w:cs="Times New Roman" w:eastAsia="Times New Roman" w:hAnsi="Times New Roman"/>
          <w:i/>
          <w:iCs/>
          <w:sz w:val="20"/>
          <w:szCs w:val="20"/>
        </w:rPr>
        <w:t xml:space="preserve">d</w:t>
      </w:r>
      <w:r>
        <w:rPr>
          <w:rFonts w:ascii="Times New Roman" w:cs="Times New Roman" w:eastAsia="Times New Roman" w:hAnsi="Times New Roman"/>
          <w:sz w:val="20"/>
          <w:szCs w:val="20"/>
          <w:vertAlign w:val="subscript"/>
        </w:rPr>
        <w:t xml:space="preserve">z</w:t>
      </w:r>
      <w:r>
        <w:rPr>
          <w:rFonts w:ascii="Times New Roman" w:cs="Times New Roman" w:eastAsia="Times New Roman" w:hAnsi="Times New Roman"/>
          <w:sz w:val="20"/>
          <w:szCs w:val="20"/>
        </w:rPr>
        <w:t xml:space="preserve"> = 0.14–0.30) and non-significant. Zero-shot, CLISA-EWU differed meaningfully only from EEG Conformer with six electrodes (5.3 points, </w:t>
      </w:r>
      <w:r>
        <w:rPr>
          <w:rFonts w:ascii="Times New Roman" w:cs="Times New Roman" w:eastAsia="Times New Roman" w:hAnsi="Times New Roman"/>
          <w:i/>
          <w:iCs/>
          <w:sz w:val="20"/>
          <w:szCs w:val="20"/>
        </w:rPr>
        <w:t xml:space="preserve">d</w:t>
      </w:r>
      <w:r>
        <w:rPr>
          <w:rFonts w:ascii="Times New Roman" w:cs="Times New Roman" w:eastAsia="Times New Roman" w:hAnsi="Times New Roman"/>
          <w:sz w:val="20"/>
          <w:szCs w:val="20"/>
          <w:vertAlign w:val="subscript"/>
        </w:rPr>
        <w:t xml:space="preserve">z</w:t>
      </w:r>
      <w:r>
        <w:rPr>
          <w:rFonts w:ascii="Times New Roman" w:cs="Times New Roman" w:eastAsia="Times New Roman" w:hAnsi="Times New Roman"/>
          <w:sz w:val="20"/>
          <w:szCs w:val="20"/>
        </w:rPr>
        <w:t xml:space="preserve"> = 1.38, Holm p = 0.001); its differences from the perceptrons were negligible (</w:t>
      </w:r>
      <w:r>
        <w:rPr>
          <w:rFonts w:ascii="Times New Roman" w:cs="Times New Roman" w:eastAsia="Times New Roman" w:hAnsi="Times New Roman"/>
          <w:i/>
          <w:iCs/>
          <w:sz w:val="20"/>
          <w:szCs w:val="20"/>
        </w:rPr>
        <w:t xml:space="preserve">d</w:t>
      </w:r>
      <w:r>
        <w:rPr>
          <w:rFonts w:ascii="Times New Roman" w:cs="Times New Roman" w:eastAsia="Times New Roman" w:hAnsi="Times New Roman"/>
          <w:sz w:val="20"/>
          <w:szCs w:val="20"/>
          <w:vertAlign w:val="subscript"/>
        </w:rPr>
        <w:t xml:space="preserve">z</w:t>
      </w:r>
      <w:r>
        <w:rPr>
          <w:rFonts w:ascii="Times New Roman" w:cs="Times New Roman" w:eastAsia="Times New Roman" w:hAnsi="Times New Roman"/>
          <w:sz w:val="20"/>
          <w:szCs w:val="20"/>
        </w:rPr>
        <w:t xml:space="preserve"> = 0.14–0.32).</w:t>
      </w:r>
    </w:p>
    <w:p>
      <w:pPr>
        <w:pStyle w:val="Heading2"/>
        <w:keepNext/>
        <w:spacing w:after="40" w:before="220"/>
        <w:ind w:left="1700"/>
      </w:pPr>
      <w:r>
        <w:rPr>
          <w:rFonts w:ascii="Arial" w:cs="Arial" w:eastAsia="Arial" w:hAnsi="Arial"/>
          <w:b/>
          <w:bCs/>
          <w:color w:val="000000"/>
          <w:sz w:val="21"/>
          <w:szCs w:val="21"/>
        </w:rPr>
        <w:t xml:space="preserve">4.6 Electrode reduction</w:t>
      </w:r>
    </w:p>
    <w:p>
      <w:pPr>
        <w:spacing w:after="0" w:line="252"/>
        <w:ind w:left="1700" w:firstLine="0"/>
        <w:jc w:val="both"/>
      </w:pPr>
      <w:r>
        <w:rPr>
          <w:rFonts w:ascii="Times New Roman" w:cs="Times New Roman" w:eastAsia="Times New Roman" w:hAnsi="Times New Roman"/>
          <w:sz w:val="20"/>
          <w:szCs w:val="20"/>
        </w:rPr>
        <w:t xml:space="preserve">Reducing the montage from 62 to six electrodes lowered calibrated accuracy for CLISA-EWU by 5.8 percentage points (Wilcoxon p &lt; 0.001), a retention of 91.4% (95% CI 87.9–95.0%; Fig. 8b, Fig. 12a). Zero-shot retention was lower, at 83.6%. Retention differed between models (Fig. 12b): BYOL and SimCLR performed as well or better with six electrodes than with 62, whereas EEG Conformer retained 78.5%. After calibration, every six-electrode contrastive, domain-adversarial and pseudo-label model remained above chance for every participant (CLISA-EWU minimum 0.518).</w:t>
      </w:r>
    </w:p>
    <w:p>
      <w:pPr>
        <w:keepNext/>
        <w:spacing w:before="240"/>
        <w:jc w:val="center"/>
      </w:pPr>
      <w:r>
        <w:drawing>
          <wp:inline distT="0" distB="0" distL="0" distR="0">
            <wp:extent cx="6096000" cy="2466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6096000" cy="2466975"/>
                    </a:xfrm>
                    <a:prstGeom prst="rect">
                      <a:avLst/>
                    </a:prstGeom>
                  </pic:spPr>
                </pic:pic>
              </a:graphicData>
            </a:graphic>
          </wp:inline>
        </w:drawing>
      </w:r>
    </w:p>
    <w:p>
      <w:pPr>
        <w:pBdr>
          <w:bottom w:val="dotted" w:color="A6A6A6" w:sz="6" w:space="6"/>
        </w:pBdr>
        <w:spacing w:after="360" w:before="120" w:line="240"/>
        <w:ind w:left="1700"/>
        <w:jc w:val="left"/>
      </w:pPr>
      <w:r>
        <w:rPr>
          <w:rFonts w:ascii="Times New Roman" w:cs="Times New Roman" w:eastAsia="Times New Roman" w:hAnsi="Times New Roman"/>
          <w:b/>
          <w:bCs/>
          <w:sz w:val="19"/>
          <w:szCs w:val="19"/>
        </w:rPr>
        <w:t xml:space="preserve">Fig. 12</w:t>
      </w:r>
      <w:r>
        <w:rPr>
          <w:rFonts w:ascii="Times New Roman" w:cs="Times New Roman" w:eastAsia="Times New Roman" w:hAnsi="Times New Roman"/>
          <w:sz w:val="19"/>
          <w:szCs w:val="19"/>
        </w:rPr>
        <w:t xml:space="preserve">. Electrode reduction. (a) Calibrated accuracy (mean ± s.d. over 45 runs) with 62 and six electrodes for CLISA-EWU, DANN, PseudoLabel, BYOL and the DANCE teacher→student pair. (b) Six-electrode retention (six-electrode ÷ 62-electrode performance) for all models; the dashed line marks 100%. The axis label ‘balanced accuracy’ in this thesis figure denotes accuracy (see Methods).</w:t>
      </w:r>
    </w:p>
    <w:p>
      <w:pPr>
        <w:pStyle w:val="Heading2"/>
        <w:keepNext/>
        <w:spacing w:after="40" w:before="220"/>
        <w:ind w:left="1700"/>
      </w:pPr>
      <w:r>
        <w:rPr>
          <w:rFonts w:ascii="Arial" w:cs="Arial" w:eastAsia="Arial" w:hAnsi="Arial"/>
          <w:b/>
          <w:bCs/>
          <w:color w:val="000000"/>
          <w:sz w:val="21"/>
          <w:szCs w:val="21"/>
        </w:rPr>
        <w:t xml:space="preserve">4.7 Multi-metric evaluation</w:t>
      </w:r>
    </w:p>
    <w:p>
      <w:pPr>
        <w:spacing w:after="0" w:line="252"/>
        <w:ind w:left="1700" w:firstLine="0"/>
        <w:jc w:val="both"/>
      </w:pPr>
      <w:r>
        <w:rPr>
          <w:rFonts w:ascii="Times New Roman" w:cs="Times New Roman" w:eastAsia="Times New Roman" w:hAnsi="Times New Roman"/>
          <w:sz w:val="20"/>
          <w:szCs w:val="20"/>
        </w:rPr>
        <w:t xml:space="preserve">Table 8 reports the complete confusion-matrix metric set for CLISA-EWU and DANN. Calibrated CLISA-EWU with 62 electrodes reached an accuracy of 0.678, balanced accuracy 0.676, macro F1 0.673, Cohen’s κ 0.569 (95% CI 0.519–0.622) and MCC 0.577; with six electrodes the corresponding values were 0.620, 0.615, 0.611, 0.490 (0.449–0.530) and 0.499. On the Landis–Koch scale</w:t>
      </w:r>
      <w:r>
        <w:rPr>
          <w:rFonts w:ascii="Times New Roman" w:cs="Times New Roman" w:eastAsia="Times New Roman" w:hAnsi="Times New Roman"/>
          <w:color w:val="1F4E9A"/>
          <w:sz w:val="20"/>
          <w:szCs w:val="20"/>
          <w:vertAlign w:val="superscript"/>
        </w:rPr>
        <w:t xml:space="preserve">75</w:t>
      </w:r>
      <w:r>
        <w:rPr>
          <w:rFonts w:ascii="Times New Roman" w:cs="Times New Roman" w:eastAsia="Times New Roman" w:hAnsi="Times New Roman"/>
          <w:sz w:val="20"/>
          <w:szCs w:val="20"/>
        </w:rPr>
        <w:t xml:space="preserve">, calibrated agreement beyond chance was moderate (κ 0.41–0.60) for both montages, whereas zero-shot agreement was fair with 62 electrodes (κ = 0.31) and at the border of slight and fair with six (κ = 0.21). MCC tracked κ to within 0.01, macro and weighted F1 differed by at most 0.004, and the geometric mean of recalls (0.659 and 0.594 after calibration) stayed close to balanced accuracy, so the results were not driven by class imbalance or by neglect of any class. Mean specificity was high (0.893 and 0.873), indicating that errors were spread across classes rather than concentrated on one. Expressed as an information transfer rate, calibration raised throughput from 3.35 to 9.13 bits min</w:t>
      </w:r>
      <w:r>
        <w:rPr>
          <w:rFonts w:ascii="Times New Roman" w:cs="Times New Roman" w:eastAsia="Times New Roman" w:hAnsi="Times New Roman"/>
          <w:sz w:val="20"/>
          <w:szCs w:val="20"/>
          <w:vertAlign w:val="superscript"/>
        </w:rPr>
        <w:t xml:space="preserve">−1</w:t>
      </w:r>
      <w:r>
        <w:rPr>
          <w:rFonts w:ascii="Times New Roman" w:cs="Times New Roman" w:eastAsia="Times New Roman" w:hAnsi="Times New Roman"/>
          <w:sz w:val="20"/>
          <w:szCs w:val="20"/>
        </w:rPr>
        <w:t xml:space="preserve"> with 62 electrodes and from 1.51 to 6.85 bits min</w:t>
      </w:r>
      <w:r>
        <w:rPr>
          <w:rFonts w:ascii="Times New Roman" w:cs="Times New Roman" w:eastAsia="Times New Roman" w:hAnsi="Times New Roman"/>
          <w:sz w:val="20"/>
          <w:szCs w:val="20"/>
          <w:vertAlign w:val="superscript"/>
        </w:rPr>
        <w:t xml:space="preserve">−1</w:t>
      </w:r>
      <w:r>
        <w:rPr>
          <w:rFonts w:ascii="Times New Roman" w:cs="Times New Roman" w:eastAsia="Times New Roman" w:hAnsi="Times New Roman"/>
          <w:sz w:val="20"/>
          <w:szCs w:val="20"/>
        </w:rPr>
        <w:t xml:space="preserve"> with six. CLISA-EWU exceeded DANN on every metric in both montages and protocols, by 1.2–3.8 points of κ.</w:t>
      </w:r>
    </w:p>
    <w:p>
      <w:pPr>
        <w:spacing w:before="20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344"/>
        <w:gridCol w:w="448"/>
        <w:gridCol w:w="1120"/>
        <w:gridCol w:w="672"/>
        <w:gridCol w:w="672"/>
        <w:gridCol w:w="784"/>
        <w:gridCol w:w="672"/>
        <w:gridCol w:w="672"/>
        <w:gridCol w:w="672"/>
        <w:gridCol w:w="672"/>
        <w:gridCol w:w="672"/>
        <w:gridCol w:w="672"/>
        <w:gridCol w:w="674"/>
      </w:tblGrid>
      <w:tr>
        <w:trPr>
          <w:tblHeader/>
        </w:trPr>
        <w:tc>
          <w:tcPr>
            <w:tcW w:type="dxa" w:w="1344"/>
            <w:tcBorders>
              <w:top w:val="single" w:color="000000" w:sz="4"/>
              <w:left w:val="single" w:color="000000" w:sz="4"/>
              <w:bottom w:val="single" w:color="000000" w:sz="4"/>
              <w:right w:val="single" w:color="000000" w:sz="4"/>
            </w:tcBorders>
            <w:shd w:fill="BFBFBF" w:color="auto" w:val="clear"/>
            <w:tcMar>
              <w:top w:type="dxa" w:w="25"/>
              <w:left w:type="dxa" w:w="50"/>
              <w:bottom w:type="dxa" w:w="25"/>
              <w:right w:type="dxa" w:w="50"/>
            </w:tcMar>
          </w:tcPr>
          <w:p>
            <w:r>
              <w:rPr>
                <w:rFonts w:ascii="Times New Roman" w:cs="Times New Roman" w:eastAsia="Times New Roman" w:hAnsi="Times New Roman"/>
                <w:b/>
                <w:bCs/>
                <w:sz w:val="14"/>
                <w:szCs w:val="14"/>
              </w:rPr>
              <w:t xml:space="preserve">Model</w:t>
            </w:r>
          </w:p>
        </w:tc>
        <w:tc>
          <w:tcPr>
            <w:tcW w:type="dxa" w:w="448"/>
            <w:tcBorders>
              <w:top w:val="single" w:color="000000" w:sz="4"/>
              <w:left w:val="single" w:color="000000" w:sz="4"/>
              <w:bottom w:val="single" w:color="000000" w:sz="4"/>
              <w:right w:val="single" w:color="000000" w:sz="4"/>
            </w:tcBorders>
            <w:shd w:fill="BFBFBF" w:color="auto" w:val="clear"/>
            <w:tcMar>
              <w:top w:type="dxa" w:w="25"/>
              <w:left w:type="dxa" w:w="50"/>
              <w:bottom w:type="dxa" w:w="25"/>
              <w:right w:type="dxa" w:w="50"/>
            </w:tcMar>
          </w:tcPr>
          <w:p>
            <w:r>
              <w:rPr>
                <w:rFonts w:ascii="Times New Roman" w:cs="Times New Roman" w:eastAsia="Times New Roman" w:hAnsi="Times New Roman"/>
                <w:b/>
                <w:bCs/>
                <w:sz w:val="14"/>
                <w:szCs w:val="14"/>
              </w:rPr>
              <w:t xml:space="preserve">Ch</w:t>
            </w:r>
          </w:p>
        </w:tc>
        <w:tc>
          <w:tcPr>
            <w:tcW w:type="dxa" w:w="1120"/>
            <w:tcBorders>
              <w:top w:val="single" w:color="000000" w:sz="4"/>
              <w:left w:val="single" w:color="000000" w:sz="4"/>
              <w:bottom w:val="single" w:color="000000" w:sz="4"/>
              <w:right w:val="single" w:color="000000" w:sz="4"/>
            </w:tcBorders>
            <w:shd w:fill="BFBFBF" w:color="auto" w:val="clear"/>
            <w:tcMar>
              <w:top w:type="dxa" w:w="25"/>
              <w:left w:type="dxa" w:w="50"/>
              <w:bottom w:type="dxa" w:w="25"/>
              <w:right w:type="dxa" w:w="50"/>
            </w:tcMar>
          </w:tcPr>
          <w:p>
            <w:r>
              <w:rPr>
                <w:rFonts w:ascii="Times New Roman" w:cs="Times New Roman" w:eastAsia="Times New Roman" w:hAnsi="Times New Roman"/>
                <w:b/>
                <w:bCs/>
                <w:sz w:val="14"/>
                <w:szCs w:val="14"/>
              </w:rPr>
              <w:t xml:space="preserve">Protocol</w:t>
            </w:r>
          </w:p>
        </w:tc>
        <w:tc>
          <w:tcPr>
            <w:tcW w:type="dxa" w:w="672"/>
            <w:tcBorders>
              <w:top w:val="single" w:color="000000" w:sz="4"/>
              <w:left w:val="single" w:color="000000" w:sz="4"/>
              <w:bottom w:val="single" w:color="000000" w:sz="4"/>
              <w:right w:val="single" w:color="000000" w:sz="4"/>
            </w:tcBorders>
            <w:shd w:fill="BFBFBF" w:color="auto" w:val="clear"/>
            <w:tcMar>
              <w:top w:type="dxa" w:w="25"/>
              <w:left w:type="dxa" w:w="50"/>
              <w:bottom w:type="dxa" w:w="25"/>
              <w:right w:type="dxa" w:w="50"/>
            </w:tcMar>
          </w:tcPr>
          <w:p>
            <w:r>
              <w:rPr>
                <w:rFonts w:ascii="Times New Roman" w:cs="Times New Roman" w:eastAsia="Times New Roman" w:hAnsi="Times New Roman"/>
                <w:b/>
                <w:bCs/>
                <w:sz w:val="14"/>
                <w:szCs w:val="14"/>
              </w:rPr>
              <w:t xml:space="preserve">Acc</w:t>
            </w:r>
          </w:p>
        </w:tc>
        <w:tc>
          <w:tcPr>
            <w:tcW w:type="dxa" w:w="672"/>
            <w:tcBorders>
              <w:top w:val="single" w:color="000000" w:sz="4"/>
              <w:left w:val="single" w:color="000000" w:sz="4"/>
              <w:bottom w:val="single" w:color="000000" w:sz="4"/>
              <w:right w:val="single" w:color="000000" w:sz="4"/>
            </w:tcBorders>
            <w:shd w:fill="BFBFBF" w:color="auto" w:val="clear"/>
            <w:tcMar>
              <w:top w:type="dxa" w:w="25"/>
              <w:left w:type="dxa" w:w="50"/>
              <w:bottom w:type="dxa" w:w="25"/>
              <w:right w:type="dxa" w:w="50"/>
            </w:tcMar>
          </w:tcPr>
          <w:p>
            <w:r>
              <w:rPr>
                <w:rFonts w:ascii="Times New Roman" w:cs="Times New Roman" w:eastAsia="Times New Roman" w:hAnsi="Times New Roman"/>
                <w:b/>
                <w:bCs/>
                <w:sz w:val="14"/>
                <w:szCs w:val="14"/>
              </w:rPr>
              <w:t xml:space="preserve">BA</w:t>
            </w:r>
          </w:p>
        </w:tc>
        <w:tc>
          <w:tcPr>
            <w:tcW w:type="dxa" w:w="784"/>
            <w:tcBorders>
              <w:top w:val="single" w:color="000000" w:sz="4"/>
              <w:left w:val="single" w:color="000000" w:sz="4"/>
              <w:bottom w:val="single" w:color="000000" w:sz="4"/>
              <w:right w:val="single" w:color="000000" w:sz="4"/>
            </w:tcBorders>
            <w:shd w:fill="BFBFBF" w:color="auto" w:val="clear"/>
            <w:tcMar>
              <w:top w:type="dxa" w:w="25"/>
              <w:left w:type="dxa" w:w="50"/>
              <w:bottom w:type="dxa" w:w="25"/>
              <w:right w:type="dxa" w:w="50"/>
            </w:tcMar>
          </w:tcPr>
          <w:p>
            <w:r>
              <w:rPr>
                <w:rFonts w:ascii="Times New Roman" w:cs="Times New Roman" w:eastAsia="Times New Roman" w:hAnsi="Times New Roman"/>
                <w:b/>
                <w:bCs/>
                <w:sz w:val="14"/>
                <w:szCs w:val="14"/>
              </w:rPr>
              <w:t xml:space="preserve">P</w:t>
            </w:r>
            <w:r>
              <w:rPr>
                <w:rFonts w:ascii="Times New Roman" w:cs="Times New Roman" w:eastAsia="Times New Roman" w:hAnsi="Times New Roman"/>
                <w:b/>
                <w:bCs/>
                <w:sz w:val="14"/>
                <w:szCs w:val="14"/>
                <w:vertAlign w:val="subscript"/>
              </w:rPr>
              <w:t xml:space="preserve">macro</w:t>
            </w:r>
          </w:p>
        </w:tc>
        <w:tc>
          <w:tcPr>
            <w:tcW w:type="dxa" w:w="672"/>
            <w:tcBorders>
              <w:top w:val="single" w:color="000000" w:sz="4"/>
              <w:left w:val="single" w:color="000000" w:sz="4"/>
              <w:bottom w:val="single" w:color="000000" w:sz="4"/>
              <w:right w:val="single" w:color="000000" w:sz="4"/>
            </w:tcBorders>
            <w:shd w:fill="BFBFBF" w:color="auto" w:val="clear"/>
            <w:tcMar>
              <w:top w:type="dxa" w:w="25"/>
              <w:left w:type="dxa" w:w="50"/>
              <w:bottom w:type="dxa" w:w="25"/>
              <w:right w:type="dxa" w:w="50"/>
            </w:tcMar>
          </w:tcPr>
          <w:p>
            <w:r>
              <w:rPr>
                <w:rFonts w:ascii="Times New Roman" w:cs="Times New Roman" w:eastAsia="Times New Roman" w:hAnsi="Times New Roman"/>
                <w:b/>
                <w:bCs/>
                <w:sz w:val="14"/>
                <w:szCs w:val="14"/>
              </w:rPr>
              <w:t xml:space="preserve">F1</w:t>
            </w:r>
            <w:r>
              <w:rPr>
                <w:rFonts w:ascii="Times New Roman" w:cs="Times New Roman" w:eastAsia="Times New Roman" w:hAnsi="Times New Roman"/>
                <w:b/>
                <w:bCs/>
                <w:sz w:val="14"/>
                <w:szCs w:val="14"/>
                <w:vertAlign w:val="subscript"/>
              </w:rPr>
              <w:t xml:space="preserve">m</w:t>
            </w:r>
          </w:p>
        </w:tc>
        <w:tc>
          <w:tcPr>
            <w:tcW w:type="dxa" w:w="672"/>
            <w:tcBorders>
              <w:top w:val="single" w:color="000000" w:sz="4"/>
              <w:left w:val="single" w:color="000000" w:sz="4"/>
              <w:bottom w:val="single" w:color="000000" w:sz="4"/>
              <w:right w:val="single" w:color="000000" w:sz="4"/>
            </w:tcBorders>
            <w:shd w:fill="BFBFBF" w:color="auto" w:val="clear"/>
            <w:tcMar>
              <w:top w:type="dxa" w:w="25"/>
              <w:left w:type="dxa" w:w="50"/>
              <w:bottom w:type="dxa" w:w="25"/>
              <w:right w:type="dxa" w:w="50"/>
            </w:tcMar>
          </w:tcPr>
          <w:p>
            <w:r>
              <w:rPr>
                <w:rFonts w:ascii="Times New Roman" w:cs="Times New Roman" w:eastAsia="Times New Roman" w:hAnsi="Times New Roman"/>
                <w:b/>
                <w:bCs/>
                <w:sz w:val="14"/>
                <w:szCs w:val="14"/>
              </w:rPr>
              <w:t xml:space="preserve">F1</w:t>
            </w:r>
            <w:r>
              <w:rPr>
                <w:rFonts w:ascii="Times New Roman" w:cs="Times New Roman" w:eastAsia="Times New Roman" w:hAnsi="Times New Roman"/>
                <w:b/>
                <w:bCs/>
                <w:sz w:val="14"/>
                <w:szCs w:val="14"/>
                <w:vertAlign w:val="subscript"/>
              </w:rPr>
              <w:t xml:space="preserve">w</w:t>
            </w:r>
          </w:p>
        </w:tc>
        <w:tc>
          <w:tcPr>
            <w:tcW w:type="dxa" w:w="672"/>
            <w:tcBorders>
              <w:top w:val="single" w:color="000000" w:sz="4"/>
              <w:left w:val="single" w:color="000000" w:sz="4"/>
              <w:bottom w:val="single" w:color="000000" w:sz="4"/>
              <w:right w:val="single" w:color="000000" w:sz="4"/>
            </w:tcBorders>
            <w:shd w:fill="BFBFBF" w:color="auto" w:val="clear"/>
            <w:tcMar>
              <w:top w:type="dxa" w:w="25"/>
              <w:left w:type="dxa" w:w="50"/>
              <w:bottom w:type="dxa" w:w="25"/>
              <w:right w:type="dxa" w:w="50"/>
            </w:tcMar>
          </w:tcPr>
          <w:p>
            <w:r>
              <w:rPr>
                <w:rFonts w:ascii="Times New Roman" w:cs="Times New Roman" w:eastAsia="Times New Roman" w:hAnsi="Times New Roman"/>
                <w:b/>
                <w:bCs/>
                <w:sz w:val="14"/>
                <w:szCs w:val="14"/>
              </w:rPr>
              <w:t xml:space="preserve">κ</w:t>
            </w:r>
          </w:p>
        </w:tc>
        <w:tc>
          <w:tcPr>
            <w:tcW w:type="dxa" w:w="672"/>
            <w:tcBorders>
              <w:top w:val="single" w:color="000000" w:sz="4"/>
              <w:left w:val="single" w:color="000000" w:sz="4"/>
              <w:bottom w:val="single" w:color="000000" w:sz="4"/>
              <w:right w:val="single" w:color="000000" w:sz="4"/>
            </w:tcBorders>
            <w:shd w:fill="BFBFBF" w:color="auto" w:val="clear"/>
            <w:tcMar>
              <w:top w:type="dxa" w:w="25"/>
              <w:left w:type="dxa" w:w="50"/>
              <w:bottom w:type="dxa" w:w="25"/>
              <w:right w:type="dxa" w:w="50"/>
            </w:tcMar>
          </w:tcPr>
          <w:p>
            <w:r>
              <w:rPr>
                <w:rFonts w:ascii="Times New Roman" w:cs="Times New Roman" w:eastAsia="Times New Roman" w:hAnsi="Times New Roman"/>
                <w:b/>
                <w:bCs/>
                <w:sz w:val="14"/>
                <w:szCs w:val="14"/>
              </w:rPr>
              <w:t xml:space="preserve">MCC</w:t>
            </w:r>
          </w:p>
        </w:tc>
        <w:tc>
          <w:tcPr>
            <w:tcW w:type="dxa" w:w="672"/>
            <w:tcBorders>
              <w:top w:val="single" w:color="000000" w:sz="4"/>
              <w:left w:val="single" w:color="000000" w:sz="4"/>
              <w:bottom w:val="single" w:color="000000" w:sz="4"/>
              <w:right w:val="single" w:color="000000" w:sz="4"/>
            </w:tcBorders>
            <w:shd w:fill="BFBFBF" w:color="auto" w:val="clear"/>
            <w:tcMar>
              <w:top w:type="dxa" w:w="25"/>
              <w:left w:type="dxa" w:w="50"/>
              <w:bottom w:type="dxa" w:w="25"/>
              <w:right w:type="dxa" w:w="50"/>
            </w:tcMar>
          </w:tcPr>
          <w:p>
            <w:r>
              <w:rPr>
                <w:rFonts w:ascii="Times New Roman" w:cs="Times New Roman" w:eastAsia="Times New Roman" w:hAnsi="Times New Roman"/>
                <w:b/>
                <w:bCs/>
                <w:sz w:val="14"/>
                <w:szCs w:val="14"/>
              </w:rPr>
              <w:t xml:space="preserve">G</w:t>
            </w:r>
          </w:p>
        </w:tc>
        <w:tc>
          <w:tcPr>
            <w:tcW w:type="dxa" w:w="672"/>
            <w:tcBorders>
              <w:top w:val="single" w:color="000000" w:sz="4"/>
              <w:left w:val="single" w:color="000000" w:sz="4"/>
              <w:bottom w:val="single" w:color="000000" w:sz="4"/>
              <w:right w:val="single" w:color="000000" w:sz="4"/>
            </w:tcBorders>
            <w:shd w:fill="BFBFBF" w:color="auto" w:val="clear"/>
            <w:tcMar>
              <w:top w:type="dxa" w:w="25"/>
              <w:left w:type="dxa" w:w="50"/>
              <w:bottom w:type="dxa" w:w="25"/>
              <w:right w:type="dxa" w:w="50"/>
            </w:tcMar>
          </w:tcPr>
          <w:p>
            <w:r>
              <w:rPr>
                <w:rFonts w:ascii="Times New Roman" w:cs="Times New Roman" w:eastAsia="Times New Roman" w:hAnsi="Times New Roman"/>
                <w:b/>
                <w:bCs/>
                <w:sz w:val="14"/>
                <w:szCs w:val="14"/>
              </w:rPr>
              <w:t xml:space="preserve">Spec</w:t>
            </w:r>
          </w:p>
        </w:tc>
        <w:tc>
          <w:tcPr>
            <w:tcW w:type="dxa" w:w="674"/>
            <w:tcBorders>
              <w:top w:val="single" w:color="000000" w:sz="4"/>
              <w:left w:val="single" w:color="000000" w:sz="4"/>
              <w:bottom w:val="single" w:color="000000" w:sz="4"/>
              <w:right w:val="single" w:color="000000" w:sz="4"/>
            </w:tcBorders>
            <w:shd w:fill="BFBFBF" w:color="auto" w:val="clear"/>
            <w:tcMar>
              <w:top w:type="dxa" w:w="25"/>
              <w:left w:type="dxa" w:w="50"/>
              <w:bottom w:type="dxa" w:w="25"/>
              <w:right w:type="dxa" w:w="50"/>
            </w:tcMar>
          </w:tcPr>
          <w:p>
            <w:r>
              <w:rPr>
                <w:rFonts w:ascii="Times New Roman" w:cs="Times New Roman" w:eastAsia="Times New Roman" w:hAnsi="Times New Roman"/>
                <w:b/>
                <w:bCs/>
                <w:sz w:val="14"/>
                <w:szCs w:val="14"/>
              </w:rPr>
              <w:t xml:space="preserve">ITR</w:t>
            </w:r>
          </w:p>
        </w:tc>
      </w:tr>
      <w:tr>
        <w:trPr>
          <w:cantSplit/>
        </w:trPr>
        <w:tc>
          <w:tcPr>
            <w:tcW w:type="dxa" w:w="1344"/>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4"/>
                <w:szCs w:val="14"/>
              </w:rPr>
              <w:t xml:space="preserve">DANN</w:t>
            </w:r>
          </w:p>
        </w:tc>
        <w:tc>
          <w:tcPr>
            <w:tcW w:type="dxa" w:w="448"/>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4"/>
                <w:szCs w:val="14"/>
              </w:rPr>
              <w:t xml:space="preserve">62</w:t>
            </w:r>
          </w:p>
        </w:tc>
        <w:tc>
          <w:tcPr>
            <w:tcW w:type="dxa" w:w="1120"/>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4"/>
                <w:szCs w:val="14"/>
              </w:rPr>
              <w:t xml:space="preserve">Zero-shot</w:t>
            </w:r>
          </w:p>
        </w:tc>
        <w:tc>
          <w:tcPr>
            <w:tcW w:type="dxa" w:w="672"/>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4"/>
                <w:szCs w:val="14"/>
              </w:rPr>
              <w:t xml:space="preserve">0.458</w:t>
            </w:r>
          </w:p>
        </w:tc>
        <w:tc>
          <w:tcPr>
            <w:tcW w:type="dxa" w:w="672"/>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4"/>
                <w:szCs w:val="14"/>
              </w:rPr>
              <w:t xml:space="preserve">0.459</w:t>
            </w:r>
          </w:p>
        </w:tc>
        <w:tc>
          <w:tcPr>
            <w:tcW w:type="dxa" w:w="784"/>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4"/>
                <w:szCs w:val="14"/>
              </w:rPr>
              <w:t xml:space="preserve">0.479</w:t>
            </w:r>
          </w:p>
        </w:tc>
        <w:tc>
          <w:tcPr>
            <w:tcW w:type="dxa" w:w="672"/>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4"/>
                <w:szCs w:val="14"/>
              </w:rPr>
              <w:t xml:space="preserve">0.455</w:t>
            </w:r>
          </w:p>
        </w:tc>
        <w:tc>
          <w:tcPr>
            <w:tcW w:type="dxa" w:w="672"/>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4"/>
                <w:szCs w:val="14"/>
              </w:rPr>
              <w:t xml:space="preserve">0.456</w:t>
            </w:r>
          </w:p>
        </w:tc>
        <w:tc>
          <w:tcPr>
            <w:tcW w:type="dxa" w:w="672"/>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4"/>
                <w:szCs w:val="14"/>
              </w:rPr>
              <w:t xml:space="preserve">0.278</w:t>
            </w:r>
          </w:p>
        </w:tc>
        <w:tc>
          <w:tcPr>
            <w:tcW w:type="dxa" w:w="672"/>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4"/>
                <w:szCs w:val="14"/>
              </w:rPr>
              <w:t xml:space="preserve">0.282</w:t>
            </w:r>
          </w:p>
        </w:tc>
        <w:tc>
          <w:tcPr>
            <w:tcW w:type="dxa" w:w="672"/>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4"/>
                <w:szCs w:val="14"/>
              </w:rPr>
              <w:t xml:space="preserve">0.436</w:t>
            </w:r>
          </w:p>
        </w:tc>
        <w:tc>
          <w:tcPr>
            <w:tcW w:type="dxa" w:w="672"/>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4"/>
                <w:szCs w:val="14"/>
              </w:rPr>
              <w:t xml:space="preserve">0.820</w:t>
            </w:r>
          </w:p>
        </w:tc>
        <w:tc>
          <w:tcPr>
            <w:tcW w:type="dxa" w:w="674"/>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4"/>
                <w:szCs w:val="14"/>
              </w:rPr>
              <w:t xml:space="preserve">2.76</w:t>
            </w:r>
          </w:p>
        </w:tc>
      </w:tr>
      <w:tr>
        <w:trPr>
          <w:cantSplit/>
        </w:trPr>
        <w:tc>
          <w:tcPr>
            <w:tcW w:type="dxa" w:w="1344"/>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4"/>
                <w:szCs w:val="14"/>
              </w:rPr>
              <w:t xml:space="preserve">DANN</w:t>
            </w:r>
          </w:p>
        </w:tc>
        <w:tc>
          <w:tcPr>
            <w:tcW w:type="dxa" w:w="448"/>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4"/>
                <w:szCs w:val="14"/>
              </w:rPr>
              <w:t xml:space="preserve">62</w:t>
            </w:r>
          </w:p>
        </w:tc>
        <w:tc>
          <w:tcPr>
            <w:tcW w:type="dxa" w:w="1120"/>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4"/>
                <w:szCs w:val="14"/>
              </w:rPr>
              <w:t xml:space="preserve">Calibrated</w:t>
            </w:r>
          </w:p>
        </w:tc>
        <w:tc>
          <w:tcPr>
            <w:tcW w:type="dxa" w:w="672"/>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4"/>
                <w:szCs w:val="14"/>
              </w:rPr>
              <w:t xml:space="preserve">0.662</w:t>
            </w:r>
          </w:p>
        </w:tc>
        <w:tc>
          <w:tcPr>
            <w:tcW w:type="dxa" w:w="672"/>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4"/>
                <w:szCs w:val="14"/>
              </w:rPr>
              <w:t xml:space="preserve">0.658</w:t>
            </w:r>
          </w:p>
        </w:tc>
        <w:tc>
          <w:tcPr>
            <w:tcW w:type="dxa" w:w="784"/>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4"/>
                <w:szCs w:val="14"/>
              </w:rPr>
              <w:t xml:space="preserve">0.688</w:t>
            </w:r>
          </w:p>
        </w:tc>
        <w:tc>
          <w:tcPr>
            <w:tcW w:type="dxa" w:w="672"/>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4"/>
                <w:szCs w:val="14"/>
              </w:rPr>
              <w:t xml:space="preserve">0.654</w:t>
            </w:r>
          </w:p>
        </w:tc>
        <w:tc>
          <w:tcPr>
            <w:tcW w:type="dxa" w:w="672"/>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4"/>
                <w:szCs w:val="14"/>
              </w:rPr>
              <w:t xml:space="preserve">0.658</w:t>
            </w:r>
          </w:p>
        </w:tc>
        <w:tc>
          <w:tcPr>
            <w:tcW w:type="dxa" w:w="672"/>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4"/>
                <w:szCs w:val="14"/>
              </w:rPr>
              <w:t xml:space="preserve">0.547</w:t>
            </w:r>
          </w:p>
        </w:tc>
        <w:tc>
          <w:tcPr>
            <w:tcW w:type="dxa" w:w="672"/>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4"/>
                <w:szCs w:val="14"/>
              </w:rPr>
              <w:t xml:space="preserve">0.556</w:t>
            </w:r>
          </w:p>
        </w:tc>
        <w:tc>
          <w:tcPr>
            <w:tcW w:type="dxa" w:w="672"/>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4"/>
                <w:szCs w:val="14"/>
              </w:rPr>
              <w:t xml:space="preserve">0.637</w:t>
            </w:r>
          </w:p>
        </w:tc>
        <w:tc>
          <w:tcPr>
            <w:tcW w:type="dxa" w:w="672"/>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4"/>
                <w:szCs w:val="14"/>
              </w:rPr>
              <w:t xml:space="preserve">0.887</w:t>
            </w:r>
          </w:p>
        </w:tc>
        <w:tc>
          <w:tcPr>
            <w:tcW w:type="dxa" w:w="674"/>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4"/>
                <w:szCs w:val="14"/>
              </w:rPr>
              <w:t xml:space="preserve">8.52</w:t>
            </w:r>
          </w:p>
        </w:tc>
      </w:tr>
      <w:tr>
        <w:trPr>
          <w:cantSplit/>
        </w:trPr>
        <w:tc>
          <w:tcPr>
            <w:tcW w:type="dxa" w:w="1344"/>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4"/>
                <w:szCs w:val="14"/>
              </w:rPr>
              <w:t xml:space="preserve">DANN</w:t>
            </w:r>
          </w:p>
        </w:tc>
        <w:tc>
          <w:tcPr>
            <w:tcW w:type="dxa" w:w="448"/>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4"/>
                <w:szCs w:val="14"/>
              </w:rPr>
              <w:t xml:space="preserve">6</w:t>
            </w:r>
          </w:p>
        </w:tc>
        <w:tc>
          <w:tcPr>
            <w:tcW w:type="dxa" w:w="1120"/>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4"/>
                <w:szCs w:val="14"/>
              </w:rPr>
              <w:t xml:space="preserve">Zero-shot</w:t>
            </w:r>
          </w:p>
        </w:tc>
        <w:tc>
          <w:tcPr>
            <w:tcW w:type="dxa" w:w="672"/>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4"/>
                <w:szCs w:val="14"/>
              </w:rPr>
              <w:t xml:space="preserve">0.396</w:t>
            </w:r>
          </w:p>
        </w:tc>
        <w:tc>
          <w:tcPr>
            <w:tcW w:type="dxa" w:w="672"/>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4"/>
                <w:szCs w:val="14"/>
              </w:rPr>
              <w:t xml:space="preserve">0.397</w:t>
            </w:r>
          </w:p>
        </w:tc>
        <w:tc>
          <w:tcPr>
            <w:tcW w:type="dxa" w:w="784"/>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4"/>
                <w:szCs w:val="14"/>
              </w:rPr>
              <w:t xml:space="preserve">0.404</w:t>
            </w:r>
          </w:p>
        </w:tc>
        <w:tc>
          <w:tcPr>
            <w:tcW w:type="dxa" w:w="672"/>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4"/>
                <w:szCs w:val="14"/>
              </w:rPr>
              <w:t xml:space="preserve">0.386</w:t>
            </w:r>
          </w:p>
        </w:tc>
        <w:tc>
          <w:tcPr>
            <w:tcW w:type="dxa" w:w="672"/>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4"/>
                <w:szCs w:val="14"/>
              </w:rPr>
              <w:t xml:space="preserve">0.387</w:t>
            </w:r>
          </w:p>
        </w:tc>
        <w:tc>
          <w:tcPr>
            <w:tcW w:type="dxa" w:w="672"/>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4"/>
                <w:szCs w:val="14"/>
              </w:rPr>
              <w:t xml:space="preserve">0.195</w:t>
            </w:r>
          </w:p>
        </w:tc>
        <w:tc>
          <w:tcPr>
            <w:tcW w:type="dxa" w:w="672"/>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4"/>
                <w:szCs w:val="14"/>
              </w:rPr>
              <w:t xml:space="preserve">0.199</w:t>
            </w:r>
          </w:p>
        </w:tc>
        <w:tc>
          <w:tcPr>
            <w:tcW w:type="dxa" w:w="672"/>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4"/>
                <w:szCs w:val="14"/>
              </w:rPr>
              <w:t xml:space="preserve">0.359</w:t>
            </w:r>
          </w:p>
        </w:tc>
        <w:tc>
          <w:tcPr>
            <w:tcW w:type="dxa" w:w="672"/>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4"/>
                <w:szCs w:val="14"/>
              </w:rPr>
              <w:t xml:space="preserve">0.799</w:t>
            </w:r>
          </w:p>
        </w:tc>
        <w:tc>
          <w:tcPr>
            <w:tcW w:type="dxa" w:w="674"/>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4"/>
                <w:szCs w:val="14"/>
              </w:rPr>
              <w:t xml:space="preserve">1.50</w:t>
            </w:r>
          </w:p>
        </w:tc>
      </w:tr>
      <w:tr>
        <w:trPr>
          <w:cantSplit/>
        </w:trPr>
        <w:tc>
          <w:tcPr>
            <w:tcW w:type="dxa" w:w="1344"/>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4"/>
                <w:szCs w:val="14"/>
              </w:rPr>
              <w:t xml:space="preserve">DANN</w:t>
            </w:r>
          </w:p>
        </w:tc>
        <w:tc>
          <w:tcPr>
            <w:tcW w:type="dxa" w:w="448"/>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4"/>
                <w:szCs w:val="14"/>
              </w:rPr>
              <w:t xml:space="preserve">6</w:t>
            </w:r>
          </w:p>
        </w:tc>
        <w:tc>
          <w:tcPr>
            <w:tcW w:type="dxa" w:w="1120"/>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4"/>
                <w:szCs w:val="14"/>
              </w:rPr>
              <w:t xml:space="preserve">Calibrated</w:t>
            </w:r>
          </w:p>
        </w:tc>
        <w:tc>
          <w:tcPr>
            <w:tcW w:type="dxa" w:w="672"/>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4"/>
                <w:szCs w:val="14"/>
              </w:rPr>
              <w:t xml:space="preserve">0.590</w:t>
            </w:r>
          </w:p>
        </w:tc>
        <w:tc>
          <w:tcPr>
            <w:tcW w:type="dxa" w:w="672"/>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4"/>
                <w:szCs w:val="14"/>
              </w:rPr>
              <w:t xml:space="preserve">0.586</w:t>
            </w:r>
          </w:p>
        </w:tc>
        <w:tc>
          <w:tcPr>
            <w:tcW w:type="dxa" w:w="784"/>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4"/>
                <w:szCs w:val="14"/>
              </w:rPr>
              <w:t xml:space="preserve">0.604</w:t>
            </w:r>
          </w:p>
        </w:tc>
        <w:tc>
          <w:tcPr>
            <w:tcW w:type="dxa" w:w="672"/>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4"/>
                <w:szCs w:val="14"/>
              </w:rPr>
              <w:t xml:space="preserve">0.579</w:t>
            </w:r>
          </w:p>
        </w:tc>
        <w:tc>
          <w:tcPr>
            <w:tcW w:type="dxa" w:w="672"/>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4"/>
                <w:szCs w:val="14"/>
              </w:rPr>
              <w:t xml:space="preserve">0.584</w:t>
            </w:r>
          </w:p>
        </w:tc>
        <w:tc>
          <w:tcPr>
            <w:tcW w:type="dxa" w:w="672"/>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4"/>
                <w:szCs w:val="14"/>
              </w:rPr>
              <w:t xml:space="preserve">0.452</w:t>
            </w:r>
          </w:p>
        </w:tc>
        <w:tc>
          <w:tcPr>
            <w:tcW w:type="dxa" w:w="672"/>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4"/>
                <w:szCs w:val="14"/>
              </w:rPr>
              <w:t xml:space="preserve">0.458</w:t>
            </w:r>
          </w:p>
        </w:tc>
        <w:tc>
          <w:tcPr>
            <w:tcW w:type="dxa" w:w="672"/>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4"/>
                <w:szCs w:val="14"/>
              </w:rPr>
              <w:t xml:space="preserve">0.562</w:t>
            </w:r>
          </w:p>
        </w:tc>
        <w:tc>
          <w:tcPr>
            <w:tcW w:type="dxa" w:w="672"/>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4"/>
                <w:szCs w:val="14"/>
              </w:rPr>
              <w:t xml:space="preserve">0.863</w:t>
            </w:r>
          </w:p>
        </w:tc>
        <w:tc>
          <w:tcPr>
            <w:tcW w:type="dxa" w:w="674"/>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4"/>
                <w:szCs w:val="14"/>
              </w:rPr>
              <w:t xml:space="preserve">5.85</w:t>
            </w:r>
          </w:p>
        </w:tc>
      </w:tr>
      <w:tr>
        <w:trPr>
          <w:cantSplit/>
        </w:trPr>
        <w:tc>
          <w:tcPr>
            <w:tcW w:type="dxa" w:w="1344"/>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4"/>
                <w:szCs w:val="14"/>
              </w:rPr>
              <w:t xml:space="preserve">CLISA-EWU</w:t>
            </w:r>
          </w:p>
        </w:tc>
        <w:tc>
          <w:tcPr>
            <w:tcW w:type="dxa" w:w="448"/>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4"/>
                <w:szCs w:val="14"/>
              </w:rPr>
              <w:t xml:space="preserve">62</w:t>
            </w:r>
          </w:p>
        </w:tc>
        <w:tc>
          <w:tcPr>
            <w:tcW w:type="dxa" w:w="1120"/>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4"/>
                <w:szCs w:val="14"/>
              </w:rPr>
              <w:t xml:space="preserve">Zero-shot</w:t>
            </w:r>
          </w:p>
        </w:tc>
        <w:tc>
          <w:tcPr>
            <w:tcW w:type="dxa" w:w="672"/>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4"/>
                <w:szCs w:val="14"/>
              </w:rPr>
              <w:t xml:space="preserve">0.485</w:t>
            </w:r>
          </w:p>
        </w:tc>
        <w:tc>
          <w:tcPr>
            <w:tcW w:type="dxa" w:w="672"/>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4"/>
                <w:szCs w:val="14"/>
              </w:rPr>
              <w:t xml:space="preserve">0.485</w:t>
            </w:r>
          </w:p>
        </w:tc>
        <w:tc>
          <w:tcPr>
            <w:tcW w:type="dxa" w:w="784"/>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4"/>
                <w:szCs w:val="14"/>
              </w:rPr>
              <w:t xml:space="preserve">0.504</w:t>
            </w:r>
          </w:p>
        </w:tc>
        <w:tc>
          <w:tcPr>
            <w:tcW w:type="dxa" w:w="672"/>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4"/>
                <w:szCs w:val="14"/>
              </w:rPr>
              <w:t xml:space="preserve">0.479</w:t>
            </w:r>
          </w:p>
        </w:tc>
        <w:tc>
          <w:tcPr>
            <w:tcW w:type="dxa" w:w="672"/>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4"/>
                <w:szCs w:val="14"/>
              </w:rPr>
              <w:t xml:space="preserve">0.481</w:t>
            </w:r>
          </w:p>
        </w:tc>
        <w:tc>
          <w:tcPr>
            <w:tcW w:type="dxa" w:w="672"/>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4"/>
                <w:szCs w:val="14"/>
              </w:rPr>
              <w:t xml:space="preserve">0.312</w:t>
            </w:r>
          </w:p>
        </w:tc>
        <w:tc>
          <w:tcPr>
            <w:tcW w:type="dxa" w:w="672"/>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4"/>
                <w:szCs w:val="14"/>
              </w:rPr>
              <w:t xml:space="preserve">0.317</w:t>
            </w:r>
          </w:p>
        </w:tc>
        <w:tc>
          <w:tcPr>
            <w:tcW w:type="dxa" w:w="672"/>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4"/>
                <w:szCs w:val="14"/>
              </w:rPr>
              <w:t xml:space="preserve">0.460</w:t>
            </w:r>
          </w:p>
        </w:tc>
        <w:tc>
          <w:tcPr>
            <w:tcW w:type="dxa" w:w="672"/>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4"/>
                <w:szCs w:val="14"/>
              </w:rPr>
              <w:t xml:space="preserve">0.828</w:t>
            </w:r>
          </w:p>
        </w:tc>
        <w:tc>
          <w:tcPr>
            <w:tcW w:type="dxa" w:w="674"/>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4"/>
                <w:szCs w:val="14"/>
              </w:rPr>
              <w:t xml:space="preserve">3.35</w:t>
            </w:r>
          </w:p>
        </w:tc>
      </w:tr>
      <w:tr>
        <w:trPr>
          <w:cantSplit/>
        </w:trPr>
        <w:tc>
          <w:tcPr>
            <w:tcW w:type="dxa" w:w="1344"/>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4"/>
                <w:szCs w:val="14"/>
              </w:rPr>
              <w:t xml:space="preserve">CLISA-EWU</w:t>
            </w:r>
          </w:p>
        </w:tc>
        <w:tc>
          <w:tcPr>
            <w:tcW w:type="dxa" w:w="448"/>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4"/>
                <w:szCs w:val="14"/>
              </w:rPr>
              <w:t xml:space="preserve">62</w:t>
            </w:r>
          </w:p>
        </w:tc>
        <w:tc>
          <w:tcPr>
            <w:tcW w:type="dxa" w:w="1120"/>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4"/>
                <w:szCs w:val="14"/>
              </w:rPr>
              <w:t xml:space="preserve">Calibrated</w:t>
            </w:r>
          </w:p>
        </w:tc>
        <w:tc>
          <w:tcPr>
            <w:tcW w:type="dxa" w:w="672"/>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4"/>
                <w:szCs w:val="14"/>
              </w:rPr>
              <w:t xml:space="preserve">0.678</w:t>
            </w:r>
          </w:p>
        </w:tc>
        <w:tc>
          <w:tcPr>
            <w:tcW w:type="dxa" w:w="672"/>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4"/>
                <w:szCs w:val="14"/>
              </w:rPr>
              <w:t xml:space="preserve">0.676</w:t>
            </w:r>
          </w:p>
        </w:tc>
        <w:tc>
          <w:tcPr>
            <w:tcW w:type="dxa" w:w="784"/>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4"/>
                <w:szCs w:val="14"/>
              </w:rPr>
              <w:t xml:space="preserve">0.700</w:t>
            </w:r>
          </w:p>
        </w:tc>
        <w:tc>
          <w:tcPr>
            <w:tcW w:type="dxa" w:w="672"/>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4"/>
                <w:szCs w:val="14"/>
              </w:rPr>
              <w:t xml:space="preserve">0.673</w:t>
            </w:r>
          </w:p>
        </w:tc>
        <w:tc>
          <w:tcPr>
            <w:tcW w:type="dxa" w:w="672"/>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4"/>
                <w:szCs w:val="14"/>
              </w:rPr>
              <w:t xml:space="preserve">0.675</w:t>
            </w:r>
          </w:p>
        </w:tc>
        <w:tc>
          <w:tcPr>
            <w:tcW w:type="dxa" w:w="672"/>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4"/>
                <w:szCs w:val="14"/>
              </w:rPr>
              <w:t xml:space="preserve">0.569</w:t>
            </w:r>
          </w:p>
        </w:tc>
        <w:tc>
          <w:tcPr>
            <w:tcW w:type="dxa" w:w="672"/>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4"/>
                <w:szCs w:val="14"/>
              </w:rPr>
              <w:t xml:space="preserve">0.577</w:t>
            </w:r>
          </w:p>
        </w:tc>
        <w:tc>
          <w:tcPr>
            <w:tcW w:type="dxa" w:w="672"/>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4"/>
                <w:szCs w:val="14"/>
              </w:rPr>
              <w:t xml:space="preserve">0.659</w:t>
            </w:r>
          </w:p>
        </w:tc>
        <w:tc>
          <w:tcPr>
            <w:tcW w:type="dxa" w:w="672"/>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4"/>
                <w:szCs w:val="14"/>
              </w:rPr>
              <w:t xml:space="preserve">0.893</w:t>
            </w:r>
          </w:p>
        </w:tc>
        <w:tc>
          <w:tcPr>
            <w:tcW w:type="dxa" w:w="674"/>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4"/>
                <w:szCs w:val="14"/>
              </w:rPr>
              <w:t xml:space="preserve">9.13</w:t>
            </w:r>
          </w:p>
        </w:tc>
      </w:tr>
      <w:tr>
        <w:trPr>
          <w:cantSplit/>
        </w:trPr>
        <w:tc>
          <w:tcPr>
            <w:tcW w:type="dxa" w:w="1344"/>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4"/>
                <w:szCs w:val="14"/>
              </w:rPr>
              <w:t xml:space="preserve">CLISA-EWU</w:t>
            </w:r>
          </w:p>
        </w:tc>
        <w:tc>
          <w:tcPr>
            <w:tcW w:type="dxa" w:w="448"/>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4"/>
                <w:szCs w:val="14"/>
              </w:rPr>
              <w:t xml:space="preserve">6</w:t>
            </w:r>
          </w:p>
        </w:tc>
        <w:tc>
          <w:tcPr>
            <w:tcW w:type="dxa" w:w="1120"/>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4"/>
                <w:szCs w:val="14"/>
              </w:rPr>
              <w:t xml:space="preserve">Zero-shot</w:t>
            </w:r>
          </w:p>
        </w:tc>
        <w:tc>
          <w:tcPr>
            <w:tcW w:type="dxa" w:w="672"/>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4"/>
                <w:szCs w:val="14"/>
              </w:rPr>
              <w:t xml:space="preserve">0.405</w:t>
            </w:r>
          </w:p>
        </w:tc>
        <w:tc>
          <w:tcPr>
            <w:tcW w:type="dxa" w:w="672"/>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4"/>
                <w:szCs w:val="14"/>
              </w:rPr>
              <w:t xml:space="preserve">0.407</w:t>
            </w:r>
          </w:p>
        </w:tc>
        <w:tc>
          <w:tcPr>
            <w:tcW w:type="dxa" w:w="784"/>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4"/>
                <w:szCs w:val="14"/>
              </w:rPr>
              <w:t xml:space="preserve">0.412</w:t>
            </w:r>
          </w:p>
        </w:tc>
        <w:tc>
          <w:tcPr>
            <w:tcW w:type="dxa" w:w="672"/>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4"/>
                <w:szCs w:val="14"/>
              </w:rPr>
              <w:t xml:space="preserve">0.398</w:t>
            </w:r>
          </w:p>
        </w:tc>
        <w:tc>
          <w:tcPr>
            <w:tcW w:type="dxa" w:w="672"/>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4"/>
                <w:szCs w:val="14"/>
              </w:rPr>
              <w:t xml:space="preserve">0.398</w:t>
            </w:r>
          </w:p>
        </w:tc>
        <w:tc>
          <w:tcPr>
            <w:tcW w:type="dxa" w:w="672"/>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4"/>
                <w:szCs w:val="14"/>
              </w:rPr>
              <w:t xml:space="preserve">0.207</w:t>
            </w:r>
          </w:p>
        </w:tc>
        <w:tc>
          <w:tcPr>
            <w:tcW w:type="dxa" w:w="672"/>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4"/>
                <w:szCs w:val="14"/>
              </w:rPr>
              <w:t xml:space="preserve">0.212</w:t>
            </w:r>
          </w:p>
        </w:tc>
        <w:tc>
          <w:tcPr>
            <w:tcW w:type="dxa" w:w="672"/>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4"/>
                <w:szCs w:val="14"/>
              </w:rPr>
              <w:t xml:space="preserve">0.374</w:t>
            </w:r>
          </w:p>
        </w:tc>
        <w:tc>
          <w:tcPr>
            <w:tcW w:type="dxa" w:w="672"/>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4"/>
                <w:szCs w:val="14"/>
              </w:rPr>
              <w:t xml:space="preserve">0.802</w:t>
            </w:r>
          </w:p>
        </w:tc>
        <w:tc>
          <w:tcPr>
            <w:tcW w:type="dxa" w:w="674"/>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4"/>
                <w:szCs w:val="14"/>
              </w:rPr>
              <w:t xml:space="preserve">1.51</w:t>
            </w:r>
          </w:p>
        </w:tc>
      </w:tr>
      <w:tr>
        <w:trPr>
          <w:cantSplit/>
        </w:trPr>
        <w:tc>
          <w:tcPr>
            <w:tcW w:type="dxa" w:w="1344"/>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4"/>
                <w:szCs w:val="14"/>
              </w:rPr>
              <w:t xml:space="preserve">CLISA-EWU</w:t>
            </w:r>
          </w:p>
        </w:tc>
        <w:tc>
          <w:tcPr>
            <w:tcW w:type="dxa" w:w="448"/>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4"/>
                <w:szCs w:val="14"/>
              </w:rPr>
              <w:t xml:space="preserve">6</w:t>
            </w:r>
          </w:p>
        </w:tc>
        <w:tc>
          <w:tcPr>
            <w:tcW w:type="dxa" w:w="1120"/>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4"/>
                <w:szCs w:val="14"/>
              </w:rPr>
              <w:t xml:space="preserve">Calibrated</w:t>
            </w:r>
          </w:p>
        </w:tc>
        <w:tc>
          <w:tcPr>
            <w:tcW w:type="dxa" w:w="672"/>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4"/>
                <w:szCs w:val="14"/>
              </w:rPr>
              <w:t xml:space="preserve">0.620</w:t>
            </w:r>
          </w:p>
        </w:tc>
        <w:tc>
          <w:tcPr>
            <w:tcW w:type="dxa" w:w="672"/>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4"/>
                <w:szCs w:val="14"/>
              </w:rPr>
              <w:t xml:space="preserve">0.615</w:t>
            </w:r>
          </w:p>
        </w:tc>
        <w:tc>
          <w:tcPr>
            <w:tcW w:type="dxa" w:w="784"/>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4"/>
                <w:szCs w:val="14"/>
              </w:rPr>
              <w:t xml:space="preserve">0.641</w:t>
            </w:r>
          </w:p>
        </w:tc>
        <w:tc>
          <w:tcPr>
            <w:tcW w:type="dxa" w:w="672"/>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4"/>
                <w:szCs w:val="14"/>
              </w:rPr>
              <w:t xml:space="preserve">0.611</w:t>
            </w:r>
          </w:p>
        </w:tc>
        <w:tc>
          <w:tcPr>
            <w:tcW w:type="dxa" w:w="672"/>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4"/>
                <w:szCs w:val="14"/>
              </w:rPr>
              <w:t xml:space="preserve">0.615</w:t>
            </w:r>
          </w:p>
        </w:tc>
        <w:tc>
          <w:tcPr>
            <w:tcW w:type="dxa" w:w="672"/>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4"/>
                <w:szCs w:val="14"/>
              </w:rPr>
              <w:t xml:space="preserve">0.490</w:t>
            </w:r>
          </w:p>
        </w:tc>
        <w:tc>
          <w:tcPr>
            <w:tcW w:type="dxa" w:w="672"/>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4"/>
                <w:szCs w:val="14"/>
              </w:rPr>
              <w:t xml:space="preserve">0.499</w:t>
            </w:r>
          </w:p>
        </w:tc>
        <w:tc>
          <w:tcPr>
            <w:tcW w:type="dxa" w:w="672"/>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4"/>
                <w:szCs w:val="14"/>
              </w:rPr>
              <w:t xml:space="preserve">0.594</w:t>
            </w:r>
          </w:p>
        </w:tc>
        <w:tc>
          <w:tcPr>
            <w:tcW w:type="dxa" w:w="672"/>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4"/>
                <w:szCs w:val="14"/>
              </w:rPr>
              <w:t xml:space="preserve">0.873</w:t>
            </w:r>
          </w:p>
        </w:tc>
        <w:tc>
          <w:tcPr>
            <w:tcW w:type="dxa" w:w="674"/>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4"/>
                <w:szCs w:val="14"/>
              </w:rPr>
              <w:t xml:space="preserve">6.84</w:t>
            </w:r>
          </w:p>
        </w:tc>
      </w:tr>
    </w:tbl>
    <w:p>
      <w:pPr>
        <w:pBdr>
          <w:bottom w:val="dotted" w:color="A6A6A6" w:sz="6" w:space="6"/>
        </w:pBdr>
        <w:spacing w:after="360" w:before="120" w:line="240"/>
        <w:ind w:left="1700"/>
        <w:jc w:val="left"/>
      </w:pPr>
      <w:r>
        <w:rPr>
          <w:rFonts w:ascii="Times New Roman" w:cs="Times New Roman" w:eastAsia="Times New Roman" w:hAnsi="Times New Roman"/>
          <w:b/>
          <w:bCs/>
          <w:sz w:val="19"/>
          <w:szCs w:val="19"/>
        </w:rPr>
        <w:t xml:space="preserve">Table 8</w:t>
      </w:r>
      <w:r>
        <w:rPr>
          <w:rFonts w:ascii="Times New Roman" w:cs="Times New Roman" w:eastAsia="Times New Roman" w:hAnsi="Times New Roman"/>
          <w:sz w:val="19"/>
          <w:szCs w:val="19"/>
        </w:rPr>
        <w:t xml:space="preserve">. Complete confusion-matrix metrics for CLISA-EWU and DANN (means over 15 participants). Ch = electrodes; BA = balanced accuracy; P</w:t>
      </w:r>
      <w:r>
        <w:rPr>
          <w:rFonts w:ascii="Times New Roman" w:cs="Times New Roman" w:eastAsia="Times New Roman" w:hAnsi="Times New Roman"/>
          <w:sz w:val="19"/>
          <w:szCs w:val="19"/>
          <w:vertAlign w:val="subscript"/>
        </w:rPr>
        <w:t xml:space="preserve">macro</w:t>
      </w:r>
      <w:r>
        <w:rPr>
          <w:rFonts w:ascii="Times New Roman" w:cs="Times New Roman" w:eastAsia="Times New Roman" w:hAnsi="Times New Roman"/>
          <w:sz w:val="19"/>
          <w:szCs w:val="19"/>
        </w:rPr>
        <w:t xml:space="preserve"> = macro precision; F1</w:t>
      </w:r>
      <w:r>
        <w:rPr>
          <w:rFonts w:ascii="Times New Roman" w:cs="Times New Roman" w:eastAsia="Times New Roman" w:hAnsi="Times New Roman"/>
          <w:sz w:val="19"/>
          <w:szCs w:val="19"/>
          <w:vertAlign w:val="subscript"/>
        </w:rPr>
        <w:t xml:space="preserve">m</w:t>
      </w:r>
      <w:r>
        <w:rPr>
          <w:rFonts w:ascii="Times New Roman" w:cs="Times New Roman" w:eastAsia="Times New Roman" w:hAnsi="Times New Roman"/>
          <w:sz w:val="19"/>
          <w:szCs w:val="19"/>
        </w:rPr>
        <w:t xml:space="preserve"> and F1</w:t>
      </w:r>
      <w:r>
        <w:rPr>
          <w:rFonts w:ascii="Times New Roman" w:cs="Times New Roman" w:eastAsia="Times New Roman" w:hAnsi="Times New Roman"/>
          <w:sz w:val="19"/>
          <w:szCs w:val="19"/>
          <w:vertAlign w:val="subscript"/>
        </w:rPr>
        <w:t xml:space="preserve">w</w:t>
      </w:r>
      <w:r>
        <w:rPr>
          <w:rFonts w:ascii="Times New Roman" w:cs="Times New Roman" w:eastAsia="Times New Roman" w:hAnsi="Times New Roman"/>
          <w:sz w:val="19"/>
          <w:szCs w:val="19"/>
        </w:rPr>
        <w:t xml:space="preserve"> = macro and weighted F1; κ = Cohen’s kappa; MCC = Matthews correlation coefficient; G = geometric mean of recalls; Spec = macro specificity; ITR in bits min</w:t>
      </w:r>
      <w:r>
        <w:rPr>
          <w:rFonts w:ascii="Times New Roman" w:cs="Times New Roman" w:eastAsia="Times New Roman" w:hAnsi="Times New Roman"/>
          <w:sz w:val="19"/>
          <w:szCs w:val="19"/>
          <w:vertAlign w:val="superscript"/>
        </w:rPr>
        <w:t xml:space="preserve">−1</w:t>
      </w:r>
      <w:r>
        <w:rPr>
          <w:rFonts w:ascii="Times New Roman" w:cs="Times New Roman" w:eastAsia="Times New Roman" w:hAnsi="Times New Roman"/>
          <w:sz w:val="19"/>
          <w:szCs w:val="19"/>
        </w:rPr>
        <w:t xml:space="preserve"> (4-s windows).</w:t>
      </w:r>
    </w:p>
    <w:p>
      <w:pPr>
        <w:pStyle w:val="Heading2"/>
        <w:keepNext/>
        <w:spacing w:after="40" w:before="220"/>
        <w:ind w:left="1700"/>
      </w:pPr>
      <w:r>
        <w:rPr>
          <w:rFonts w:ascii="Arial" w:cs="Arial" w:eastAsia="Arial" w:hAnsi="Arial"/>
          <w:b/>
          <w:bCs/>
          <w:color w:val="000000"/>
          <w:sz w:val="21"/>
          <w:szCs w:val="21"/>
        </w:rPr>
        <w:t xml:space="preserve">4.8 Variability across participants and seeds</w:t>
      </w:r>
    </w:p>
    <w:p>
      <w:pPr>
        <w:spacing w:after="0" w:line="252"/>
        <w:ind w:left="1700" w:firstLine="0"/>
        <w:jc w:val="both"/>
      </w:pPr>
      <w:r>
        <w:rPr>
          <w:rFonts w:ascii="Times New Roman" w:cs="Times New Roman" w:eastAsia="Times New Roman" w:hAnsi="Times New Roman"/>
          <w:sz w:val="20"/>
          <w:szCs w:val="20"/>
        </w:rPr>
        <w:t xml:space="preserve">Between-participant variability exceeded between-seed variability. With 62 electrodes, calibrated CLISA-EWU ranged from 0.541 (participant 5) to 0.813 (participant 2) across participants, whereas seed means ranged from 0.658 to 0.691 (Fig. 9). The best single runs reached 0.854 with 62 electrodes (participant 15, seed 7) and 0.786 with six (participant 7, seed 1); they are shown for completeness and are not estimates of expected performance. Fine-tuning converged smoothly (Fig. 13).</w:t>
      </w:r>
    </w:p>
    <w:p>
      <w:pPr>
        <w:keepNext/>
        <w:spacing w:before="240"/>
        <w:jc w:val="center"/>
      </w:pPr>
      <w:r>
        <w:drawing>
          <wp:inline distT="0" distB="0" distL="0" distR="0">
            <wp:extent cx="6096000" cy="3419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6096000" cy="3419475"/>
                    </a:xfrm>
                    <a:prstGeom prst="rect">
                      <a:avLst/>
                    </a:prstGeom>
                  </pic:spPr>
                </pic:pic>
              </a:graphicData>
            </a:graphic>
          </wp:inline>
        </w:drawing>
      </w:r>
    </w:p>
    <w:p>
      <w:pPr>
        <w:pBdr>
          <w:bottom w:val="dotted" w:color="A6A6A6" w:sz="6" w:space="6"/>
        </w:pBdr>
        <w:spacing w:after="360" w:before="120" w:line="240"/>
        <w:ind w:left="1700"/>
        <w:jc w:val="left"/>
      </w:pPr>
      <w:r>
        <w:rPr>
          <w:rFonts w:ascii="Times New Roman" w:cs="Times New Roman" w:eastAsia="Times New Roman" w:hAnsi="Times New Roman"/>
          <w:b/>
          <w:bCs/>
          <w:sz w:val="19"/>
          <w:szCs w:val="19"/>
        </w:rPr>
        <w:t xml:space="preserve">Fig. 13</w:t>
      </w:r>
      <w:r>
        <w:rPr>
          <w:rFonts w:ascii="Times New Roman" w:cs="Times New Roman" w:eastAsia="Times New Roman" w:hAnsi="Times New Roman"/>
          <w:sz w:val="19"/>
          <w:szCs w:val="19"/>
        </w:rPr>
        <w:t xml:space="preserve">. Fine-tuning convergence. Training and validation cross-entropy for CLISA-EWU with 62 electrodes in the best run (participant 15, seed 7); early stopping at epoch 29. Validation loss lies below training loss because dropout is active during training and validation windows share participants and trials with training windows.</w:t>
      </w:r>
    </w:p>
    <w:p>
      <w:pPr>
        <w:spacing w:after="0" w:line="252"/>
        <w:ind w:left="1700" w:firstLine="240"/>
        <w:jc w:val="both"/>
      </w:pPr>
      <w:r>
        <w:rPr>
          <w:rFonts w:ascii="Times New Roman" w:cs="Times New Roman" w:eastAsia="Times New Roman" w:hAnsi="Times New Roman"/>
          <w:sz w:val="20"/>
          <w:szCs w:val="20"/>
        </w:rPr>
        <w:t xml:space="preserve">A two-way decomposition (Table 9) quantified the sources of this variability. Zero-shot with 62 electrodes, participant identity explained 96.9% of the variance in CLISA-EWU accuracy and the seed only 0.05% (ICC(3,1) = 0.95). After calibration, the participant share fell to 77.8%, residual variance rose to 19.3% and the ICC dropped to 0.70; with six electrodes the seed effect became significant (F = 4.49, p = 0.020; ICC = 0.53). Because the seed also determines which 20 windows are drawn for calibration, this increase reflects sensitivity to the choice of calibration samples, which argues for averaging over several calibration draws in practice.</w:t>
      </w:r>
    </w:p>
    <w:p>
      <w:pPr>
        <w:spacing w:before="20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624"/>
        <w:gridCol w:w="1374"/>
        <w:gridCol w:w="1249"/>
        <w:gridCol w:w="999"/>
        <w:gridCol w:w="1124"/>
        <w:gridCol w:w="1749"/>
        <w:gridCol w:w="1624"/>
        <w:gridCol w:w="1003"/>
      </w:tblGrid>
      <w:tr>
        <w:trPr>
          <w:tblHeader/>
        </w:trPr>
        <w:tc>
          <w:tcPr>
            <w:tcW w:type="dxa" w:w="624"/>
            <w:tcBorders>
              <w:top w:val="single" w:color="000000" w:sz="4"/>
              <w:left w:val="single" w:color="000000" w:sz="4"/>
              <w:bottom w:val="single" w:color="000000" w:sz="4"/>
              <w:right w:val="single" w:color="000000" w:sz="4"/>
            </w:tcBorders>
            <w:shd w:fill="BFBFBF" w:color="auto" w:val="clear"/>
            <w:tcMar>
              <w:top w:type="dxa" w:w="25"/>
              <w:left w:type="dxa" w:w="50"/>
              <w:bottom w:type="dxa" w:w="25"/>
              <w:right w:type="dxa" w:w="50"/>
            </w:tcMar>
          </w:tcPr>
          <w:p>
            <w:r>
              <w:rPr>
                <w:rFonts w:ascii="Times New Roman" w:cs="Times New Roman" w:eastAsia="Times New Roman" w:hAnsi="Times New Roman"/>
                <w:b/>
                <w:bCs/>
                <w:sz w:val="15"/>
                <w:szCs w:val="15"/>
              </w:rPr>
              <w:t xml:space="preserve">Ch</w:t>
            </w:r>
          </w:p>
        </w:tc>
        <w:tc>
          <w:tcPr>
            <w:tcW w:type="dxa" w:w="1374"/>
            <w:tcBorders>
              <w:top w:val="single" w:color="000000" w:sz="4"/>
              <w:left w:val="single" w:color="000000" w:sz="4"/>
              <w:bottom w:val="single" w:color="000000" w:sz="4"/>
              <w:right w:val="single" w:color="000000" w:sz="4"/>
            </w:tcBorders>
            <w:shd w:fill="BFBFBF" w:color="auto" w:val="clear"/>
            <w:tcMar>
              <w:top w:type="dxa" w:w="25"/>
              <w:left w:type="dxa" w:w="50"/>
              <w:bottom w:type="dxa" w:w="25"/>
              <w:right w:type="dxa" w:w="50"/>
            </w:tcMar>
          </w:tcPr>
          <w:p>
            <w:r>
              <w:rPr>
                <w:rFonts w:ascii="Times New Roman" w:cs="Times New Roman" w:eastAsia="Times New Roman" w:hAnsi="Times New Roman"/>
                <w:b/>
                <w:bCs/>
                <w:sz w:val="15"/>
                <w:szCs w:val="15"/>
              </w:rPr>
              <w:t xml:space="preserve">Protocol</w:t>
            </w:r>
          </w:p>
        </w:tc>
        <w:tc>
          <w:tcPr>
            <w:tcW w:type="dxa" w:w="1249"/>
            <w:tcBorders>
              <w:top w:val="single" w:color="000000" w:sz="4"/>
              <w:left w:val="single" w:color="000000" w:sz="4"/>
              <w:bottom w:val="single" w:color="000000" w:sz="4"/>
              <w:right w:val="single" w:color="000000" w:sz="4"/>
            </w:tcBorders>
            <w:shd w:fill="BFBFBF" w:color="auto" w:val="clear"/>
            <w:tcMar>
              <w:top w:type="dxa" w:w="25"/>
              <w:left w:type="dxa" w:w="50"/>
              <w:bottom w:type="dxa" w:w="25"/>
              <w:right w:type="dxa" w:w="50"/>
            </w:tcMar>
          </w:tcPr>
          <w:p>
            <w:r>
              <w:rPr>
                <w:rFonts w:ascii="Times New Roman" w:cs="Times New Roman" w:eastAsia="Times New Roman" w:hAnsi="Times New Roman"/>
                <w:b/>
                <w:bCs/>
                <w:sz w:val="15"/>
                <w:szCs w:val="15"/>
              </w:rPr>
              <w:t xml:space="preserve">Participant (%)</w:t>
            </w:r>
          </w:p>
        </w:tc>
        <w:tc>
          <w:tcPr>
            <w:tcW w:type="dxa" w:w="999"/>
            <w:tcBorders>
              <w:top w:val="single" w:color="000000" w:sz="4"/>
              <w:left w:val="single" w:color="000000" w:sz="4"/>
              <w:bottom w:val="single" w:color="000000" w:sz="4"/>
              <w:right w:val="single" w:color="000000" w:sz="4"/>
            </w:tcBorders>
            <w:shd w:fill="BFBFBF" w:color="auto" w:val="clear"/>
            <w:tcMar>
              <w:top w:type="dxa" w:w="25"/>
              <w:left w:type="dxa" w:w="50"/>
              <w:bottom w:type="dxa" w:w="25"/>
              <w:right w:type="dxa" w:w="50"/>
            </w:tcMar>
          </w:tcPr>
          <w:p>
            <w:r>
              <w:rPr>
                <w:rFonts w:ascii="Times New Roman" w:cs="Times New Roman" w:eastAsia="Times New Roman" w:hAnsi="Times New Roman"/>
                <w:b/>
                <w:bCs/>
                <w:sz w:val="15"/>
                <w:szCs w:val="15"/>
              </w:rPr>
              <w:t xml:space="preserve">Seed (%)</w:t>
            </w:r>
          </w:p>
        </w:tc>
        <w:tc>
          <w:tcPr>
            <w:tcW w:type="dxa" w:w="1124"/>
            <w:tcBorders>
              <w:top w:val="single" w:color="000000" w:sz="4"/>
              <w:left w:val="single" w:color="000000" w:sz="4"/>
              <w:bottom w:val="single" w:color="000000" w:sz="4"/>
              <w:right w:val="single" w:color="000000" w:sz="4"/>
            </w:tcBorders>
            <w:shd w:fill="BFBFBF" w:color="auto" w:val="clear"/>
            <w:tcMar>
              <w:top w:type="dxa" w:w="25"/>
              <w:left w:type="dxa" w:w="50"/>
              <w:bottom w:type="dxa" w:w="25"/>
              <w:right w:type="dxa" w:w="50"/>
            </w:tcMar>
          </w:tcPr>
          <w:p>
            <w:r>
              <w:rPr>
                <w:rFonts w:ascii="Times New Roman" w:cs="Times New Roman" w:eastAsia="Times New Roman" w:hAnsi="Times New Roman"/>
                <w:b/>
                <w:bCs/>
                <w:sz w:val="15"/>
                <w:szCs w:val="15"/>
              </w:rPr>
              <w:t xml:space="preserve">Residual (%)</w:t>
            </w:r>
          </w:p>
        </w:tc>
        <w:tc>
          <w:tcPr>
            <w:tcW w:type="dxa" w:w="1749"/>
            <w:tcBorders>
              <w:top w:val="single" w:color="000000" w:sz="4"/>
              <w:left w:val="single" w:color="000000" w:sz="4"/>
              <w:bottom w:val="single" w:color="000000" w:sz="4"/>
              <w:right w:val="single" w:color="000000" w:sz="4"/>
            </w:tcBorders>
            <w:shd w:fill="BFBFBF" w:color="auto" w:val="clear"/>
            <w:tcMar>
              <w:top w:type="dxa" w:w="25"/>
              <w:left w:type="dxa" w:w="50"/>
              <w:bottom w:type="dxa" w:w="25"/>
              <w:right w:type="dxa" w:w="50"/>
            </w:tcMar>
          </w:tcPr>
          <w:p>
            <w:r>
              <w:rPr>
                <w:rFonts w:ascii="Times New Roman" w:cs="Times New Roman" w:eastAsia="Times New Roman" w:hAnsi="Times New Roman"/>
                <w:b/>
                <w:bCs/>
                <w:sz w:val="15"/>
                <w:szCs w:val="15"/>
              </w:rPr>
              <w:t xml:space="preserve">F participant (p)</w:t>
            </w:r>
          </w:p>
        </w:tc>
        <w:tc>
          <w:tcPr>
            <w:tcW w:type="dxa" w:w="1624"/>
            <w:tcBorders>
              <w:top w:val="single" w:color="000000" w:sz="4"/>
              <w:left w:val="single" w:color="000000" w:sz="4"/>
              <w:bottom w:val="single" w:color="000000" w:sz="4"/>
              <w:right w:val="single" w:color="000000" w:sz="4"/>
            </w:tcBorders>
            <w:shd w:fill="BFBFBF" w:color="auto" w:val="clear"/>
            <w:tcMar>
              <w:top w:type="dxa" w:w="25"/>
              <w:left w:type="dxa" w:w="50"/>
              <w:bottom w:type="dxa" w:w="25"/>
              <w:right w:type="dxa" w:w="50"/>
            </w:tcMar>
          </w:tcPr>
          <w:p>
            <w:r>
              <w:rPr>
                <w:rFonts w:ascii="Times New Roman" w:cs="Times New Roman" w:eastAsia="Times New Roman" w:hAnsi="Times New Roman"/>
                <w:b/>
                <w:bCs/>
                <w:sz w:val="15"/>
                <w:szCs w:val="15"/>
              </w:rPr>
              <w:t xml:space="preserve">F seed (p)</w:t>
            </w:r>
          </w:p>
        </w:tc>
        <w:tc>
          <w:tcPr>
            <w:tcW w:type="dxa" w:w="1003"/>
            <w:tcBorders>
              <w:top w:val="single" w:color="000000" w:sz="4"/>
              <w:left w:val="single" w:color="000000" w:sz="4"/>
              <w:bottom w:val="single" w:color="000000" w:sz="4"/>
              <w:right w:val="single" w:color="000000" w:sz="4"/>
            </w:tcBorders>
            <w:shd w:fill="BFBFBF" w:color="auto" w:val="clear"/>
            <w:tcMar>
              <w:top w:type="dxa" w:w="25"/>
              <w:left w:type="dxa" w:w="50"/>
              <w:bottom w:type="dxa" w:w="25"/>
              <w:right w:type="dxa" w:w="50"/>
            </w:tcMar>
          </w:tcPr>
          <w:p>
            <w:r>
              <w:rPr>
                <w:rFonts w:ascii="Times New Roman" w:cs="Times New Roman" w:eastAsia="Times New Roman" w:hAnsi="Times New Roman"/>
                <w:b/>
                <w:bCs/>
                <w:sz w:val="15"/>
                <w:szCs w:val="15"/>
              </w:rPr>
              <w:t xml:space="preserve">ICC(3,1)</w:t>
            </w:r>
          </w:p>
        </w:tc>
      </w:tr>
      <w:tr>
        <w:trPr>
          <w:cantSplit/>
        </w:trPr>
        <w:tc>
          <w:tcPr>
            <w:tcW w:type="dxa" w:w="624"/>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5"/>
                <w:szCs w:val="15"/>
              </w:rPr>
              <w:t xml:space="preserve">62</w:t>
            </w:r>
          </w:p>
        </w:tc>
        <w:tc>
          <w:tcPr>
            <w:tcW w:type="dxa" w:w="1374"/>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5"/>
                <w:szCs w:val="15"/>
              </w:rPr>
              <w:t xml:space="preserve">Zero-shot</w:t>
            </w:r>
          </w:p>
        </w:tc>
        <w:tc>
          <w:tcPr>
            <w:tcW w:type="dxa" w:w="1249"/>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5"/>
                <w:szCs w:val="15"/>
              </w:rPr>
              <w:t xml:space="preserve">96.9</w:t>
            </w:r>
          </w:p>
        </w:tc>
        <w:tc>
          <w:tcPr>
            <w:tcW w:type="dxa" w:w="999"/>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5"/>
                <w:szCs w:val="15"/>
              </w:rPr>
              <w:t xml:space="preserve">0.0</w:t>
            </w:r>
          </w:p>
        </w:tc>
        <w:tc>
          <w:tcPr>
            <w:tcW w:type="dxa" w:w="1124"/>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5"/>
                <w:szCs w:val="15"/>
              </w:rPr>
              <w:t xml:space="preserve">3.1</w:t>
            </w:r>
          </w:p>
        </w:tc>
        <w:tc>
          <w:tcPr>
            <w:tcW w:type="dxa" w:w="1749"/>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5"/>
                <w:szCs w:val="15"/>
              </w:rPr>
              <w:t xml:space="preserve">63.50 (&lt;0.001)</w:t>
            </w:r>
          </w:p>
        </w:tc>
        <w:tc>
          <w:tcPr>
            <w:tcW w:type="dxa" w:w="1624"/>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5"/>
                <w:szCs w:val="15"/>
              </w:rPr>
              <w:t xml:space="preserve">0.22 (0.805)</w:t>
            </w:r>
          </w:p>
        </w:tc>
        <w:tc>
          <w:tcPr>
            <w:tcW w:type="dxa" w:w="1003"/>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5"/>
                <w:szCs w:val="15"/>
              </w:rPr>
              <w:t xml:space="preserve">0.95</w:t>
            </w:r>
          </w:p>
        </w:tc>
      </w:tr>
      <w:tr>
        <w:trPr>
          <w:cantSplit/>
        </w:trPr>
        <w:tc>
          <w:tcPr>
            <w:tcW w:type="dxa" w:w="624"/>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5"/>
                <w:szCs w:val="15"/>
              </w:rPr>
              <w:t xml:space="preserve">62</w:t>
            </w:r>
          </w:p>
        </w:tc>
        <w:tc>
          <w:tcPr>
            <w:tcW w:type="dxa" w:w="1374"/>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5"/>
                <w:szCs w:val="15"/>
              </w:rPr>
              <w:t xml:space="preserve">Calibrated</w:t>
            </w:r>
          </w:p>
        </w:tc>
        <w:tc>
          <w:tcPr>
            <w:tcW w:type="dxa" w:w="1249"/>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5"/>
                <w:szCs w:val="15"/>
              </w:rPr>
              <w:t xml:space="preserve">77.8</w:t>
            </w:r>
          </w:p>
        </w:tc>
        <w:tc>
          <w:tcPr>
            <w:tcW w:type="dxa" w:w="999"/>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5"/>
                <w:szCs w:val="15"/>
              </w:rPr>
              <w:t xml:space="preserve">2.9</w:t>
            </w:r>
          </w:p>
        </w:tc>
        <w:tc>
          <w:tcPr>
            <w:tcW w:type="dxa" w:w="1124"/>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5"/>
                <w:szCs w:val="15"/>
              </w:rPr>
              <w:t xml:space="preserve">19.3</w:t>
            </w:r>
          </w:p>
        </w:tc>
        <w:tc>
          <w:tcPr>
            <w:tcW w:type="dxa" w:w="1749"/>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5"/>
                <w:szCs w:val="15"/>
              </w:rPr>
              <w:t xml:space="preserve">8.06 (&lt;0.001)</w:t>
            </w:r>
          </w:p>
        </w:tc>
        <w:tc>
          <w:tcPr>
            <w:tcW w:type="dxa" w:w="1624"/>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5"/>
                <w:szCs w:val="15"/>
              </w:rPr>
              <w:t xml:space="preserve">2.13 (0.138)</w:t>
            </w:r>
          </w:p>
        </w:tc>
        <w:tc>
          <w:tcPr>
            <w:tcW w:type="dxa" w:w="1003"/>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5"/>
                <w:szCs w:val="15"/>
              </w:rPr>
              <w:t xml:space="preserve">0.70</w:t>
            </w:r>
          </w:p>
        </w:tc>
      </w:tr>
      <w:tr>
        <w:trPr>
          <w:cantSplit/>
        </w:trPr>
        <w:tc>
          <w:tcPr>
            <w:tcW w:type="dxa" w:w="624"/>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5"/>
                <w:szCs w:val="15"/>
              </w:rPr>
              <w:t xml:space="preserve">6</w:t>
            </w:r>
          </w:p>
        </w:tc>
        <w:tc>
          <w:tcPr>
            <w:tcW w:type="dxa" w:w="1374"/>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5"/>
                <w:szCs w:val="15"/>
              </w:rPr>
              <w:t xml:space="preserve">Zero-shot</w:t>
            </w:r>
          </w:p>
        </w:tc>
        <w:tc>
          <w:tcPr>
            <w:tcW w:type="dxa" w:w="1249"/>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5"/>
                <w:szCs w:val="15"/>
              </w:rPr>
              <w:t xml:space="preserve">84.3</w:t>
            </w:r>
          </w:p>
        </w:tc>
        <w:tc>
          <w:tcPr>
            <w:tcW w:type="dxa" w:w="999"/>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5"/>
                <w:szCs w:val="15"/>
              </w:rPr>
              <w:t xml:space="preserve">2.3</w:t>
            </w:r>
          </w:p>
        </w:tc>
        <w:tc>
          <w:tcPr>
            <w:tcW w:type="dxa" w:w="1124"/>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5"/>
                <w:szCs w:val="15"/>
              </w:rPr>
              <w:t xml:space="preserve">13.4</w:t>
            </w:r>
          </w:p>
        </w:tc>
        <w:tc>
          <w:tcPr>
            <w:tcW w:type="dxa" w:w="1749"/>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5"/>
                <w:szCs w:val="15"/>
              </w:rPr>
              <w:t xml:space="preserve">12.54 (&lt;0.001)</w:t>
            </w:r>
          </w:p>
        </w:tc>
        <w:tc>
          <w:tcPr>
            <w:tcW w:type="dxa" w:w="1624"/>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5"/>
                <w:szCs w:val="15"/>
              </w:rPr>
              <w:t xml:space="preserve">2.40 (0.109)</w:t>
            </w:r>
          </w:p>
        </w:tc>
        <w:tc>
          <w:tcPr>
            <w:tcW w:type="dxa" w:w="1003"/>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5"/>
                <w:szCs w:val="15"/>
              </w:rPr>
              <w:t xml:space="preserve">0.79</w:t>
            </w:r>
          </w:p>
        </w:tc>
      </w:tr>
      <w:tr>
        <w:trPr>
          <w:cantSplit/>
        </w:trPr>
        <w:tc>
          <w:tcPr>
            <w:tcW w:type="dxa" w:w="624"/>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5"/>
                <w:szCs w:val="15"/>
              </w:rPr>
              <w:t xml:space="preserve">6</w:t>
            </w:r>
          </w:p>
        </w:tc>
        <w:tc>
          <w:tcPr>
            <w:tcW w:type="dxa" w:w="1374"/>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5"/>
                <w:szCs w:val="15"/>
              </w:rPr>
              <w:t xml:space="preserve">Calibrated</w:t>
            </w:r>
          </w:p>
        </w:tc>
        <w:tc>
          <w:tcPr>
            <w:tcW w:type="dxa" w:w="1249"/>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5"/>
                <w:szCs w:val="15"/>
              </w:rPr>
              <w:t xml:space="preserve">62.3</w:t>
            </w:r>
          </w:p>
        </w:tc>
        <w:tc>
          <w:tcPr>
            <w:tcW w:type="dxa" w:w="999"/>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5"/>
                <w:szCs w:val="15"/>
              </w:rPr>
              <w:t xml:space="preserve">9.2</w:t>
            </w:r>
          </w:p>
        </w:tc>
        <w:tc>
          <w:tcPr>
            <w:tcW w:type="dxa" w:w="1124"/>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5"/>
                <w:szCs w:val="15"/>
              </w:rPr>
              <w:t xml:space="preserve">28.6</w:t>
            </w:r>
          </w:p>
        </w:tc>
        <w:tc>
          <w:tcPr>
            <w:tcW w:type="dxa" w:w="1749"/>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5"/>
                <w:szCs w:val="15"/>
              </w:rPr>
              <w:t xml:space="preserve">4.36 (&lt;0.001)</w:t>
            </w:r>
          </w:p>
        </w:tc>
        <w:tc>
          <w:tcPr>
            <w:tcW w:type="dxa" w:w="1624"/>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5"/>
                <w:szCs w:val="15"/>
              </w:rPr>
              <w:t xml:space="preserve">4.49 (0.020)</w:t>
            </w:r>
          </w:p>
        </w:tc>
        <w:tc>
          <w:tcPr>
            <w:tcW w:type="dxa" w:w="1003"/>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5"/>
                <w:szCs w:val="15"/>
              </w:rPr>
              <w:t xml:space="preserve">0.53</w:t>
            </w:r>
          </w:p>
        </w:tc>
      </w:tr>
    </w:tbl>
    <w:p>
      <w:pPr>
        <w:pBdr>
          <w:bottom w:val="dotted" w:color="A6A6A6" w:sz="6" w:space="6"/>
        </w:pBdr>
        <w:spacing w:after="360" w:before="120" w:line="240"/>
        <w:ind w:left="1700"/>
        <w:jc w:val="left"/>
      </w:pPr>
      <w:r>
        <w:rPr>
          <w:rFonts w:ascii="Times New Roman" w:cs="Times New Roman" w:eastAsia="Times New Roman" w:hAnsi="Times New Roman"/>
          <w:b/>
          <w:bCs/>
          <w:sz w:val="19"/>
          <w:szCs w:val="19"/>
        </w:rPr>
        <w:t xml:space="preserve">Table 9</w:t>
      </w:r>
      <w:r>
        <w:rPr>
          <w:rFonts w:ascii="Times New Roman" w:cs="Times New Roman" w:eastAsia="Times New Roman" w:hAnsi="Times New Roman"/>
          <w:sz w:val="19"/>
          <w:szCs w:val="19"/>
        </w:rPr>
        <w:t xml:space="preserve">. Decomposition of CLISA-EWU accuracy variance into participant, seed and residual components (two-way ANOVA without replication) and consistency across seeds (ICC(3,1)).</w:t>
      </w:r>
    </w:p>
    <w:p>
      <w:pPr>
        <w:pStyle w:val="Heading2"/>
        <w:keepNext/>
        <w:spacing w:after="40" w:before="220"/>
        <w:ind w:left="1700"/>
      </w:pPr>
      <w:r>
        <w:rPr>
          <w:rFonts w:ascii="Arial" w:cs="Arial" w:eastAsia="Arial" w:hAnsi="Arial"/>
          <w:b/>
          <w:bCs/>
          <w:color w:val="000000"/>
          <w:sz w:val="21"/>
          <w:szCs w:val="21"/>
        </w:rPr>
        <w:t xml:space="preserve">4.9 Who benefits from calibration</w:t>
      </w:r>
    </w:p>
    <w:p>
      <w:pPr>
        <w:spacing w:after="0" w:line="252"/>
        <w:ind w:left="1700" w:firstLine="0"/>
        <w:jc w:val="both"/>
      </w:pPr>
      <w:r>
        <w:rPr>
          <w:rFonts w:ascii="Times New Roman" w:cs="Times New Roman" w:eastAsia="Times New Roman" w:hAnsi="Times New Roman"/>
          <w:sz w:val="20"/>
          <w:szCs w:val="20"/>
        </w:rPr>
        <w:t xml:space="preserve">Calibration gain was negatively correlated with zero-shot accuracy (Spearman ρ = −0.60, p = 0.017 with 62 electrodes; ρ = −0.58, p = 0.024 with six; Fig. 14a): participants who were decoded worst without calibration gained most, up to 39 percentage points for participant 11. Part of this association is expected from regression to the mean, because the gain contains the zero-shot score. Across montages, participants’ calibrated accuracies were strongly correlated (ρ = 0.80, p &lt; 0.001) whereas their zero-shot accuracies were not (ρ = −0.05, p = 0.86; Fig. 14b), so after calibration a participant who is decoded well with 62 electrodes is also decoded well with six. Across models, participant rankings before and after calibration were almost identical for supervised networks (ρ = 0.94–1.00) but less so for the adaptable models (ρ = 0.43–0.93), consistent with calibration substantively changing only the latter.</w:t>
      </w:r>
    </w:p>
    <w:p>
      <w:pPr>
        <w:keepNext/>
        <w:spacing w:before="240"/>
        <w:jc w:val="center"/>
      </w:pPr>
      <w:r>
        <w:drawing>
          <wp:inline distT="0" distB="0" distL="0" distR="0">
            <wp:extent cx="6096000" cy="2628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6096000" cy="2628900"/>
                    </a:xfrm>
                    <a:prstGeom prst="rect">
                      <a:avLst/>
                    </a:prstGeom>
                  </pic:spPr>
                </pic:pic>
              </a:graphicData>
            </a:graphic>
          </wp:inline>
        </w:drawing>
      </w:r>
    </w:p>
    <w:p>
      <w:pPr>
        <w:pBdr>
          <w:bottom w:val="dotted" w:color="A6A6A6" w:sz="6" w:space="6"/>
        </w:pBdr>
        <w:spacing w:after="360" w:before="120" w:line="240"/>
        <w:ind w:left="1700"/>
        <w:jc w:val="left"/>
      </w:pPr>
      <w:r>
        <w:rPr>
          <w:rFonts w:ascii="Times New Roman" w:cs="Times New Roman" w:eastAsia="Times New Roman" w:hAnsi="Times New Roman"/>
          <w:b/>
          <w:bCs/>
          <w:sz w:val="19"/>
          <w:szCs w:val="19"/>
        </w:rPr>
        <w:t xml:space="preserve">Fig. 14</w:t>
      </w:r>
      <w:r>
        <w:rPr>
          <w:rFonts w:ascii="Times New Roman" w:cs="Times New Roman" w:eastAsia="Times New Roman" w:hAnsi="Times New Roman"/>
          <w:sz w:val="19"/>
          <w:szCs w:val="19"/>
        </w:rPr>
        <w:t xml:space="preserve">. Who benefits from calibration. (a) Calibration gain versus zero-shot accuracy for each participant with 62 and six electrodes, with least-squares lines and Spearman correlations. (b) Agreement of participant accuracy between montages, zero-shot and calibrated; the dotted line marks equality.</w:t>
      </w:r>
    </w:p>
    <w:p>
      <w:pPr>
        <w:pStyle w:val="Heading2"/>
        <w:keepNext/>
        <w:spacing w:after="40" w:before="220"/>
        <w:ind w:left="1700"/>
      </w:pPr>
      <w:r>
        <w:rPr>
          <w:rFonts w:ascii="Arial" w:cs="Arial" w:eastAsia="Arial" w:hAnsi="Arial"/>
          <w:b/>
          <w:bCs/>
          <w:color w:val="000000"/>
          <w:sz w:val="21"/>
          <w:szCs w:val="21"/>
        </w:rPr>
        <w:t xml:space="preserve">4.10 Class-level behaviour and electrode importance</w:t>
      </w:r>
    </w:p>
    <w:p>
      <w:pPr>
        <w:spacing w:after="0" w:line="252"/>
        <w:ind w:left="1700" w:firstLine="0"/>
        <w:jc w:val="both"/>
      </w:pPr>
      <w:r>
        <w:rPr>
          <w:rFonts w:ascii="Times New Roman" w:cs="Times New Roman" w:eastAsia="Times New Roman" w:hAnsi="Times New Roman"/>
          <w:sz w:val="20"/>
          <w:szCs w:val="20"/>
        </w:rPr>
        <w:t xml:space="preserve">Per-class metrics (Table 10, Fig. 15) and the mean confusion matrices over all 45 runs (Fig. 16) show where the errors arose. After calibration with 62 electrodes, sad had the highest recall (0.733) but the lowest specificity (0.858), because it attracted errors from fear (16.9% of fear windows) and happy (14.3%); neutral had the highest precision (0.790) and F1 (0.728). Fear was the hardest class in both montages (F1 = 0.621 and 0.565) and was confused mostly with sad. Electrode reduction affected classes unequally: recall fell by 9.6 percentage points for happy, 7.4 for fear, 4.4 for sad and 2.9 for neutral. Zero-shot, the confusion matrices were diffuse and biased towards fear, which received 21.0% of neutral, 24.5% of sad and 21.3% of happy windows with 62 electrodes; calibration removed most of this bias. In the best single runs (Fig. 17), sad recall reached 100% with 62 electrodes.</w:t>
      </w:r>
    </w:p>
    <w:p>
      <w:pPr>
        <w:spacing w:before="20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624"/>
        <w:gridCol w:w="1015"/>
        <w:gridCol w:w="1015"/>
        <w:gridCol w:w="1015"/>
        <w:gridCol w:w="1015"/>
        <w:gridCol w:w="1015"/>
        <w:gridCol w:w="1015"/>
        <w:gridCol w:w="1015"/>
        <w:gridCol w:w="1017"/>
      </w:tblGrid>
      <w:tr>
        <w:trPr>
          <w:tblHeader/>
        </w:trPr>
        <w:tc>
          <w:tcPr>
            <w:tcW w:type="dxa" w:w="1624"/>
            <w:tcBorders>
              <w:top w:val="single" w:color="000000" w:sz="4"/>
              <w:left w:val="single" w:color="000000" w:sz="4"/>
              <w:bottom w:val="single" w:color="000000" w:sz="4"/>
              <w:right w:val="single" w:color="000000" w:sz="4"/>
            </w:tcBorders>
            <w:shd w:fill="BFBFBF" w:color="auto" w:val="clear"/>
            <w:tcMar>
              <w:top w:type="dxa" w:w="25"/>
              <w:left w:type="dxa" w:w="50"/>
              <w:bottom w:type="dxa" w:w="25"/>
              <w:right w:type="dxa" w:w="50"/>
            </w:tcMar>
          </w:tcPr>
          <w:p>
            <w:r>
              <w:rPr>
                <w:rFonts w:ascii="Times New Roman" w:cs="Times New Roman" w:eastAsia="Times New Roman" w:hAnsi="Times New Roman"/>
                <w:b/>
                <w:bCs/>
                <w:sz w:val="15"/>
                <w:szCs w:val="15"/>
              </w:rPr>
              <w:t xml:space="preserve">Class</w:t>
            </w:r>
          </w:p>
        </w:tc>
        <w:tc>
          <w:tcPr>
            <w:tcW w:type="dxa" w:w="1015"/>
            <w:tcBorders>
              <w:top w:val="single" w:color="000000" w:sz="4"/>
              <w:left w:val="single" w:color="000000" w:sz="4"/>
              <w:bottom w:val="single" w:color="000000" w:sz="4"/>
              <w:right w:val="single" w:color="000000" w:sz="4"/>
            </w:tcBorders>
            <w:shd w:fill="BFBFBF" w:color="auto" w:val="clear"/>
            <w:tcMar>
              <w:top w:type="dxa" w:w="25"/>
              <w:left w:type="dxa" w:w="50"/>
              <w:bottom w:type="dxa" w:w="25"/>
              <w:right w:type="dxa" w:w="50"/>
            </w:tcMar>
          </w:tcPr>
          <w:p>
            <w:r>
              <w:rPr>
                <w:rFonts w:ascii="Times New Roman" w:cs="Times New Roman" w:eastAsia="Times New Roman" w:hAnsi="Times New Roman"/>
                <w:b/>
                <w:bCs/>
                <w:sz w:val="15"/>
                <w:szCs w:val="15"/>
              </w:rPr>
              <w:t xml:space="preserve">P (ZS)</w:t>
            </w:r>
          </w:p>
        </w:tc>
        <w:tc>
          <w:tcPr>
            <w:tcW w:type="dxa" w:w="1015"/>
            <w:tcBorders>
              <w:top w:val="single" w:color="000000" w:sz="4"/>
              <w:left w:val="single" w:color="000000" w:sz="4"/>
              <w:bottom w:val="single" w:color="000000" w:sz="4"/>
              <w:right w:val="single" w:color="000000" w:sz="4"/>
            </w:tcBorders>
            <w:shd w:fill="BFBFBF" w:color="auto" w:val="clear"/>
            <w:tcMar>
              <w:top w:type="dxa" w:w="25"/>
              <w:left w:type="dxa" w:w="50"/>
              <w:bottom w:type="dxa" w:w="25"/>
              <w:right w:type="dxa" w:w="50"/>
            </w:tcMar>
          </w:tcPr>
          <w:p>
            <w:r>
              <w:rPr>
                <w:rFonts w:ascii="Times New Roman" w:cs="Times New Roman" w:eastAsia="Times New Roman" w:hAnsi="Times New Roman"/>
                <w:b/>
                <w:bCs/>
                <w:sz w:val="15"/>
                <w:szCs w:val="15"/>
              </w:rPr>
              <w:t xml:space="preserve">R (ZS)</w:t>
            </w:r>
          </w:p>
        </w:tc>
        <w:tc>
          <w:tcPr>
            <w:tcW w:type="dxa" w:w="1015"/>
            <w:tcBorders>
              <w:top w:val="single" w:color="000000" w:sz="4"/>
              <w:left w:val="single" w:color="000000" w:sz="4"/>
              <w:bottom w:val="single" w:color="000000" w:sz="4"/>
              <w:right w:val="single" w:color="000000" w:sz="4"/>
            </w:tcBorders>
            <w:shd w:fill="BFBFBF" w:color="auto" w:val="clear"/>
            <w:tcMar>
              <w:top w:type="dxa" w:w="25"/>
              <w:left w:type="dxa" w:w="50"/>
              <w:bottom w:type="dxa" w:w="25"/>
              <w:right w:type="dxa" w:w="50"/>
            </w:tcMar>
          </w:tcPr>
          <w:p>
            <w:r>
              <w:rPr>
                <w:rFonts w:ascii="Times New Roman" w:cs="Times New Roman" w:eastAsia="Times New Roman" w:hAnsi="Times New Roman"/>
                <w:b/>
                <w:bCs/>
                <w:sz w:val="15"/>
                <w:szCs w:val="15"/>
              </w:rPr>
              <w:t xml:space="preserve">F1 (ZS)</w:t>
            </w:r>
          </w:p>
        </w:tc>
        <w:tc>
          <w:tcPr>
            <w:tcW w:type="dxa" w:w="1015"/>
            <w:tcBorders>
              <w:top w:val="single" w:color="000000" w:sz="4"/>
              <w:left w:val="single" w:color="000000" w:sz="4"/>
              <w:bottom w:val="single" w:color="000000" w:sz="4"/>
              <w:right w:val="single" w:color="000000" w:sz="4"/>
            </w:tcBorders>
            <w:shd w:fill="BFBFBF" w:color="auto" w:val="clear"/>
            <w:tcMar>
              <w:top w:type="dxa" w:w="25"/>
              <w:left w:type="dxa" w:w="50"/>
              <w:bottom w:type="dxa" w:w="25"/>
              <w:right w:type="dxa" w:w="50"/>
            </w:tcMar>
          </w:tcPr>
          <w:p>
            <w:r>
              <w:rPr>
                <w:rFonts w:ascii="Times New Roman" w:cs="Times New Roman" w:eastAsia="Times New Roman" w:hAnsi="Times New Roman"/>
                <w:b/>
                <w:bCs/>
                <w:sz w:val="15"/>
                <w:szCs w:val="15"/>
              </w:rPr>
              <w:t xml:space="preserve">Spec (ZS)</w:t>
            </w:r>
          </w:p>
        </w:tc>
        <w:tc>
          <w:tcPr>
            <w:tcW w:type="dxa" w:w="1015"/>
            <w:tcBorders>
              <w:top w:val="single" w:color="000000" w:sz="4"/>
              <w:left w:val="single" w:color="000000" w:sz="4"/>
              <w:bottom w:val="single" w:color="000000" w:sz="4"/>
              <w:right w:val="single" w:color="000000" w:sz="4"/>
            </w:tcBorders>
            <w:shd w:fill="BFBFBF" w:color="auto" w:val="clear"/>
            <w:tcMar>
              <w:top w:type="dxa" w:w="25"/>
              <w:left w:type="dxa" w:w="50"/>
              <w:bottom w:type="dxa" w:w="25"/>
              <w:right w:type="dxa" w:w="50"/>
            </w:tcMar>
          </w:tcPr>
          <w:p>
            <w:r>
              <w:rPr>
                <w:rFonts w:ascii="Times New Roman" w:cs="Times New Roman" w:eastAsia="Times New Roman" w:hAnsi="Times New Roman"/>
                <w:b/>
                <w:bCs/>
                <w:sz w:val="15"/>
                <w:szCs w:val="15"/>
              </w:rPr>
              <w:t xml:space="preserve">P (Cal)</w:t>
            </w:r>
          </w:p>
        </w:tc>
        <w:tc>
          <w:tcPr>
            <w:tcW w:type="dxa" w:w="1015"/>
            <w:tcBorders>
              <w:top w:val="single" w:color="000000" w:sz="4"/>
              <w:left w:val="single" w:color="000000" w:sz="4"/>
              <w:bottom w:val="single" w:color="000000" w:sz="4"/>
              <w:right w:val="single" w:color="000000" w:sz="4"/>
            </w:tcBorders>
            <w:shd w:fill="BFBFBF" w:color="auto" w:val="clear"/>
            <w:tcMar>
              <w:top w:type="dxa" w:w="25"/>
              <w:left w:type="dxa" w:w="50"/>
              <w:bottom w:type="dxa" w:w="25"/>
              <w:right w:type="dxa" w:w="50"/>
            </w:tcMar>
          </w:tcPr>
          <w:p>
            <w:r>
              <w:rPr>
                <w:rFonts w:ascii="Times New Roman" w:cs="Times New Roman" w:eastAsia="Times New Roman" w:hAnsi="Times New Roman"/>
                <w:b/>
                <w:bCs/>
                <w:sz w:val="15"/>
                <w:szCs w:val="15"/>
              </w:rPr>
              <w:t xml:space="preserve">R (Cal)</w:t>
            </w:r>
          </w:p>
        </w:tc>
        <w:tc>
          <w:tcPr>
            <w:tcW w:type="dxa" w:w="1015"/>
            <w:tcBorders>
              <w:top w:val="single" w:color="000000" w:sz="4"/>
              <w:left w:val="single" w:color="000000" w:sz="4"/>
              <w:bottom w:val="single" w:color="000000" w:sz="4"/>
              <w:right w:val="single" w:color="000000" w:sz="4"/>
            </w:tcBorders>
            <w:shd w:fill="BFBFBF" w:color="auto" w:val="clear"/>
            <w:tcMar>
              <w:top w:type="dxa" w:w="25"/>
              <w:left w:type="dxa" w:w="50"/>
              <w:bottom w:type="dxa" w:w="25"/>
              <w:right w:type="dxa" w:w="50"/>
            </w:tcMar>
          </w:tcPr>
          <w:p>
            <w:r>
              <w:rPr>
                <w:rFonts w:ascii="Times New Roman" w:cs="Times New Roman" w:eastAsia="Times New Roman" w:hAnsi="Times New Roman"/>
                <w:b/>
                <w:bCs/>
                <w:sz w:val="15"/>
                <w:szCs w:val="15"/>
              </w:rPr>
              <w:t xml:space="preserve">F1 (Cal)</w:t>
            </w:r>
          </w:p>
        </w:tc>
        <w:tc>
          <w:tcPr>
            <w:tcW w:type="dxa" w:w="1017"/>
            <w:tcBorders>
              <w:top w:val="single" w:color="000000" w:sz="4"/>
              <w:left w:val="single" w:color="000000" w:sz="4"/>
              <w:bottom w:val="single" w:color="000000" w:sz="4"/>
              <w:right w:val="single" w:color="000000" w:sz="4"/>
            </w:tcBorders>
            <w:shd w:fill="BFBFBF" w:color="auto" w:val="clear"/>
            <w:tcMar>
              <w:top w:type="dxa" w:w="25"/>
              <w:left w:type="dxa" w:w="50"/>
              <w:bottom w:type="dxa" w:w="25"/>
              <w:right w:type="dxa" w:w="50"/>
            </w:tcMar>
          </w:tcPr>
          <w:p>
            <w:r>
              <w:rPr>
                <w:rFonts w:ascii="Times New Roman" w:cs="Times New Roman" w:eastAsia="Times New Roman" w:hAnsi="Times New Roman"/>
                <w:b/>
                <w:bCs/>
                <w:sz w:val="15"/>
                <w:szCs w:val="15"/>
              </w:rPr>
              <w:t xml:space="preserve">Spec (Cal)</w:t>
            </w:r>
          </w:p>
        </w:tc>
      </w:tr>
      <w:tr>
        <w:trPr>
          <w:cantSplit/>
        </w:trPr>
        <w:tc>
          <w:tcPr>
            <w:tcW w:type="dxa" w:w="1624"/>
            <w:tcBorders>
              <w:top w:val="single" w:color="000000" w:sz="4"/>
              <w:left w:val="single" w:color="000000" w:sz="4"/>
              <w:bottom w:val="single" w:color="000000" w:sz="4"/>
              <w:right w:val="single" w:color="000000" w:sz="4"/>
            </w:tcBorders>
            <w:shd w:fill="E7E6E6" w:color="auto" w:val="clear"/>
            <w:tcMar>
              <w:top w:type="dxa" w:w="25"/>
              <w:left w:type="dxa" w:w="50"/>
              <w:bottom w:type="dxa" w:w="25"/>
              <w:right w:type="dxa" w:w="50"/>
            </w:tcMar>
          </w:tcPr>
          <w:p>
            <w:r>
              <w:rPr>
                <w:rFonts w:ascii="Times New Roman" w:cs="Times New Roman" w:eastAsia="Times New Roman" w:hAnsi="Times New Roman"/>
                <w:b/>
                <w:bCs/>
                <w:sz w:val="15"/>
                <w:szCs w:val="15"/>
              </w:rPr>
              <w:t xml:space="preserve">62 electrodes</w:t>
            </w:r>
          </w:p>
        </w:tc>
        <w:tc>
          <w:tcPr>
            <w:tcW w:type="dxa" w:w="1015"/>
            <w:tcBorders>
              <w:top w:val="single" w:color="000000" w:sz="4"/>
              <w:left w:val="single" w:color="000000" w:sz="4"/>
              <w:bottom w:val="single" w:color="000000" w:sz="4"/>
              <w:right w:val="single" w:color="000000" w:sz="4"/>
            </w:tcBorders>
            <w:shd w:fill="E7E6E6" w:color="auto" w:val="clear"/>
            <w:tcMar>
              <w:top w:type="dxa" w:w="25"/>
              <w:left w:type="dxa" w:w="50"/>
              <w:bottom w:type="dxa" w:w="25"/>
              <w:right w:type="dxa" w:w="50"/>
            </w:tcMar>
          </w:tcPr>
          <w:p/>
        </w:tc>
        <w:tc>
          <w:tcPr>
            <w:tcW w:type="dxa" w:w="1015"/>
            <w:tcBorders>
              <w:top w:val="single" w:color="000000" w:sz="4"/>
              <w:left w:val="single" w:color="000000" w:sz="4"/>
              <w:bottom w:val="single" w:color="000000" w:sz="4"/>
              <w:right w:val="single" w:color="000000" w:sz="4"/>
            </w:tcBorders>
            <w:shd w:fill="E7E6E6" w:color="auto" w:val="clear"/>
            <w:tcMar>
              <w:top w:type="dxa" w:w="25"/>
              <w:left w:type="dxa" w:w="50"/>
              <w:bottom w:type="dxa" w:w="25"/>
              <w:right w:type="dxa" w:w="50"/>
            </w:tcMar>
          </w:tcPr>
          <w:p/>
        </w:tc>
        <w:tc>
          <w:tcPr>
            <w:tcW w:type="dxa" w:w="1015"/>
            <w:tcBorders>
              <w:top w:val="single" w:color="000000" w:sz="4"/>
              <w:left w:val="single" w:color="000000" w:sz="4"/>
              <w:bottom w:val="single" w:color="000000" w:sz="4"/>
              <w:right w:val="single" w:color="000000" w:sz="4"/>
            </w:tcBorders>
            <w:shd w:fill="E7E6E6" w:color="auto" w:val="clear"/>
            <w:tcMar>
              <w:top w:type="dxa" w:w="25"/>
              <w:left w:type="dxa" w:w="50"/>
              <w:bottom w:type="dxa" w:w="25"/>
              <w:right w:type="dxa" w:w="50"/>
            </w:tcMar>
          </w:tcPr>
          <w:p/>
        </w:tc>
        <w:tc>
          <w:tcPr>
            <w:tcW w:type="dxa" w:w="1015"/>
            <w:tcBorders>
              <w:top w:val="single" w:color="000000" w:sz="4"/>
              <w:left w:val="single" w:color="000000" w:sz="4"/>
              <w:bottom w:val="single" w:color="000000" w:sz="4"/>
              <w:right w:val="single" w:color="000000" w:sz="4"/>
            </w:tcBorders>
            <w:shd w:fill="E7E6E6" w:color="auto" w:val="clear"/>
            <w:tcMar>
              <w:top w:type="dxa" w:w="25"/>
              <w:left w:type="dxa" w:w="50"/>
              <w:bottom w:type="dxa" w:w="25"/>
              <w:right w:type="dxa" w:w="50"/>
            </w:tcMar>
          </w:tcPr>
          <w:p/>
        </w:tc>
        <w:tc>
          <w:tcPr>
            <w:tcW w:type="dxa" w:w="1015"/>
            <w:tcBorders>
              <w:top w:val="single" w:color="000000" w:sz="4"/>
              <w:left w:val="single" w:color="000000" w:sz="4"/>
              <w:bottom w:val="single" w:color="000000" w:sz="4"/>
              <w:right w:val="single" w:color="000000" w:sz="4"/>
            </w:tcBorders>
            <w:shd w:fill="E7E6E6" w:color="auto" w:val="clear"/>
            <w:tcMar>
              <w:top w:type="dxa" w:w="25"/>
              <w:left w:type="dxa" w:w="50"/>
              <w:bottom w:type="dxa" w:w="25"/>
              <w:right w:type="dxa" w:w="50"/>
            </w:tcMar>
          </w:tcPr>
          <w:p/>
        </w:tc>
        <w:tc>
          <w:tcPr>
            <w:tcW w:type="dxa" w:w="1015"/>
            <w:tcBorders>
              <w:top w:val="single" w:color="000000" w:sz="4"/>
              <w:left w:val="single" w:color="000000" w:sz="4"/>
              <w:bottom w:val="single" w:color="000000" w:sz="4"/>
              <w:right w:val="single" w:color="000000" w:sz="4"/>
            </w:tcBorders>
            <w:shd w:fill="E7E6E6" w:color="auto" w:val="clear"/>
            <w:tcMar>
              <w:top w:type="dxa" w:w="25"/>
              <w:left w:type="dxa" w:w="50"/>
              <w:bottom w:type="dxa" w:w="25"/>
              <w:right w:type="dxa" w:w="50"/>
            </w:tcMar>
          </w:tcPr>
          <w:p/>
        </w:tc>
        <w:tc>
          <w:tcPr>
            <w:tcW w:type="dxa" w:w="1015"/>
            <w:tcBorders>
              <w:top w:val="single" w:color="000000" w:sz="4"/>
              <w:left w:val="single" w:color="000000" w:sz="4"/>
              <w:bottom w:val="single" w:color="000000" w:sz="4"/>
              <w:right w:val="single" w:color="000000" w:sz="4"/>
            </w:tcBorders>
            <w:shd w:fill="E7E6E6" w:color="auto" w:val="clear"/>
            <w:tcMar>
              <w:top w:type="dxa" w:w="25"/>
              <w:left w:type="dxa" w:w="50"/>
              <w:bottom w:type="dxa" w:w="25"/>
              <w:right w:type="dxa" w:w="50"/>
            </w:tcMar>
          </w:tcPr>
          <w:p/>
        </w:tc>
        <w:tc>
          <w:tcPr>
            <w:tcW w:type="dxa" w:w="1017"/>
            <w:tcBorders>
              <w:top w:val="single" w:color="000000" w:sz="4"/>
              <w:left w:val="single" w:color="000000" w:sz="4"/>
              <w:bottom w:val="single" w:color="000000" w:sz="4"/>
              <w:right w:val="single" w:color="000000" w:sz="4"/>
            </w:tcBorders>
            <w:shd w:fill="E7E6E6" w:color="auto" w:val="clear"/>
            <w:tcMar>
              <w:top w:type="dxa" w:w="25"/>
              <w:left w:type="dxa" w:w="50"/>
              <w:bottom w:type="dxa" w:w="25"/>
              <w:right w:type="dxa" w:w="50"/>
            </w:tcMar>
          </w:tcPr>
          <w:p/>
        </w:tc>
      </w:tr>
      <w:tr>
        <w:trPr>
          <w:cantSplit/>
        </w:trPr>
        <w:tc>
          <w:tcPr>
            <w:tcW w:type="dxa" w:w="1624"/>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5"/>
                <w:szCs w:val="15"/>
              </w:rPr>
              <w:t xml:space="preserve">Neutral</w:t>
            </w:r>
          </w:p>
        </w:tc>
        <w:tc>
          <w:tcPr>
            <w:tcW w:type="dxa" w:w="1015"/>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5"/>
                <w:szCs w:val="15"/>
              </w:rPr>
              <w:t xml:space="preserve">0.595</w:t>
            </w:r>
          </w:p>
        </w:tc>
        <w:tc>
          <w:tcPr>
            <w:tcW w:type="dxa" w:w="1015"/>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5"/>
                <w:szCs w:val="15"/>
              </w:rPr>
              <w:t xml:space="preserve">0.535</w:t>
            </w:r>
          </w:p>
        </w:tc>
        <w:tc>
          <w:tcPr>
            <w:tcW w:type="dxa" w:w="1015"/>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5"/>
                <w:szCs w:val="15"/>
              </w:rPr>
              <w:t xml:space="preserve">0.541</w:t>
            </w:r>
          </w:p>
        </w:tc>
        <w:tc>
          <w:tcPr>
            <w:tcW w:type="dxa" w:w="1015"/>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5"/>
                <w:szCs w:val="15"/>
              </w:rPr>
              <w:t xml:space="preserve">0.848</w:t>
            </w:r>
          </w:p>
        </w:tc>
        <w:tc>
          <w:tcPr>
            <w:tcW w:type="dxa" w:w="1015"/>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5"/>
                <w:szCs w:val="15"/>
              </w:rPr>
              <w:t xml:space="preserve">0.790</w:t>
            </w:r>
          </w:p>
        </w:tc>
        <w:tc>
          <w:tcPr>
            <w:tcW w:type="dxa" w:w="1015"/>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5"/>
                <w:szCs w:val="15"/>
              </w:rPr>
              <w:t xml:space="preserve">0.697</w:t>
            </w:r>
          </w:p>
        </w:tc>
        <w:tc>
          <w:tcPr>
            <w:tcW w:type="dxa" w:w="1015"/>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5"/>
                <w:szCs w:val="15"/>
              </w:rPr>
              <w:t xml:space="preserve">0.728</w:t>
            </w:r>
          </w:p>
        </w:tc>
        <w:tc>
          <w:tcPr>
            <w:tcW w:type="dxa" w:w="1017"/>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5"/>
                <w:szCs w:val="15"/>
              </w:rPr>
              <w:t xml:space="preserve">0.919</w:t>
            </w:r>
          </w:p>
        </w:tc>
      </w:tr>
      <w:tr>
        <w:trPr>
          <w:cantSplit/>
        </w:trPr>
        <w:tc>
          <w:tcPr>
            <w:tcW w:type="dxa" w:w="1624"/>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5"/>
                <w:szCs w:val="15"/>
              </w:rPr>
              <w:t xml:space="preserve">Sad</w:t>
            </w:r>
          </w:p>
        </w:tc>
        <w:tc>
          <w:tcPr>
            <w:tcW w:type="dxa" w:w="1015"/>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5"/>
                <w:szCs w:val="15"/>
              </w:rPr>
              <w:t xml:space="preserve">0.539</w:t>
            </w:r>
          </w:p>
        </w:tc>
        <w:tc>
          <w:tcPr>
            <w:tcW w:type="dxa" w:w="1015"/>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5"/>
                <w:szCs w:val="15"/>
              </w:rPr>
              <w:t xml:space="preserve">0.464</w:t>
            </w:r>
          </w:p>
        </w:tc>
        <w:tc>
          <w:tcPr>
            <w:tcW w:type="dxa" w:w="1015"/>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5"/>
                <w:szCs w:val="15"/>
              </w:rPr>
              <w:t xml:space="preserve">0.480</w:t>
            </w:r>
          </w:p>
        </w:tc>
        <w:tc>
          <w:tcPr>
            <w:tcW w:type="dxa" w:w="1015"/>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5"/>
                <w:szCs w:val="15"/>
              </w:rPr>
              <w:t xml:space="preserve">0.837</w:t>
            </w:r>
          </w:p>
        </w:tc>
        <w:tc>
          <w:tcPr>
            <w:tcW w:type="dxa" w:w="1015"/>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5"/>
                <w:szCs w:val="15"/>
              </w:rPr>
              <w:t xml:space="preserve">0.687</w:t>
            </w:r>
          </w:p>
        </w:tc>
        <w:tc>
          <w:tcPr>
            <w:tcW w:type="dxa" w:w="1015"/>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5"/>
                <w:szCs w:val="15"/>
              </w:rPr>
              <w:t xml:space="preserve">0.733</w:t>
            </w:r>
          </w:p>
        </w:tc>
        <w:tc>
          <w:tcPr>
            <w:tcW w:type="dxa" w:w="1015"/>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5"/>
                <w:szCs w:val="15"/>
              </w:rPr>
              <w:t xml:space="preserve">0.695</w:t>
            </w:r>
          </w:p>
        </w:tc>
        <w:tc>
          <w:tcPr>
            <w:tcW w:type="dxa" w:w="1017"/>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5"/>
                <w:szCs w:val="15"/>
              </w:rPr>
              <w:t xml:space="preserve">0.858</w:t>
            </w:r>
          </w:p>
        </w:tc>
      </w:tr>
      <w:tr>
        <w:trPr>
          <w:cantSplit/>
        </w:trPr>
        <w:tc>
          <w:tcPr>
            <w:tcW w:type="dxa" w:w="1624"/>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5"/>
                <w:szCs w:val="15"/>
              </w:rPr>
              <w:t xml:space="preserve">Fear</w:t>
            </w:r>
          </w:p>
        </w:tc>
        <w:tc>
          <w:tcPr>
            <w:tcW w:type="dxa" w:w="1015"/>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5"/>
                <w:szCs w:val="15"/>
              </w:rPr>
              <w:t xml:space="preserve">0.393</w:t>
            </w:r>
          </w:p>
        </w:tc>
        <w:tc>
          <w:tcPr>
            <w:tcW w:type="dxa" w:w="1015"/>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5"/>
                <w:szCs w:val="15"/>
              </w:rPr>
              <w:t xml:space="preserve">0.438</w:t>
            </w:r>
          </w:p>
        </w:tc>
        <w:tc>
          <w:tcPr>
            <w:tcW w:type="dxa" w:w="1015"/>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5"/>
                <w:szCs w:val="15"/>
              </w:rPr>
              <w:t xml:space="preserve">0.408</w:t>
            </w:r>
          </w:p>
        </w:tc>
        <w:tc>
          <w:tcPr>
            <w:tcW w:type="dxa" w:w="1015"/>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5"/>
                <w:szCs w:val="15"/>
              </w:rPr>
              <w:t xml:space="preserve">0.776</w:t>
            </w:r>
          </w:p>
        </w:tc>
        <w:tc>
          <w:tcPr>
            <w:tcW w:type="dxa" w:w="1015"/>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5"/>
                <w:szCs w:val="15"/>
              </w:rPr>
              <w:t xml:space="preserve">0.675</w:t>
            </w:r>
          </w:p>
        </w:tc>
        <w:tc>
          <w:tcPr>
            <w:tcW w:type="dxa" w:w="1015"/>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5"/>
                <w:szCs w:val="15"/>
              </w:rPr>
              <w:t xml:space="preserve">0.604</w:t>
            </w:r>
          </w:p>
        </w:tc>
        <w:tc>
          <w:tcPr>
            <w:tcW w:type="dxa" w:w="1015"/>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5"/>
                <w:szCs w:val="15"/>
              </w:rPr>
              <w:t xml:space="preserve">0.621</w:t>
            </w:r>
          </w:p>
        </w:tc>
        <w:tc>
          <w:tcPr>
            <w:tcW w:type="dxa" w:w="1017"/>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5"/>
                <w:szCs w:val="15"/>
              </w:rPr>
              <w:t xml:space="preserve">0.895</w:t>
            </w:r>
          </w:p>
        </w:tc>
      </w:tr>
      <w:tr>
        <w:trPr>
          <w:cantSplit/>
        </w:trPr>
        <w:tc>
          <w:tcPr>
            <w:tcW w:type="dxa" w:w="1624"/>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5"/>
                <w:szCs w:val="15"/>
              </w:rPr>
              <w:t xml:space="preserve">Happy</w:t>
            </w:r>
          </w:p>
        </w:tc>
        <w:tc>
          <w:tcPr>
            <w:tcW w:type="dxa" w:w="1015"/>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5"/>
                <w:szCs w:val="15"/>
              </w:rPr>
              <w:t xml:space="preserve">0.490</w:t>
            </w:r>
          </w:p>
        </w:tc>
        <w:tc>
          <w:tcPr>
            <w:tcW w:type="dxa" w:w="1015"/>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5"/>
                <w:szCs w:val="15"/>
              </w:rPr>
              <w:t xml:space="preserve">0.504</w:t>
            </w:r>
          </w:p>
        </w:tc>
        <w:tc>
          <w:tcPr>
            <w:tcW w:type="dxa" w:w="1015"/>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5"/>
                <w:szCs w:val="15"/>
              </w:rPr>
              <w:t xml:space="preserve">0.488</w:t>
            </w:r>
          </w:p>
        </w:tc>
        <w:tc>
          <w:tcPr>
            <w:tcW w:type="dxa" w:w="1015"/>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5"/>
                <w:szCs w:val="15"/>
              </w:rPr>
              <w:t xml:space="preserve">0.852</w:t>
            </w:r>
          </w:p>
        </w:tc>
        <w:tc>
          <w:tcPr>
            <w:tcW w:type="dxa" w:w="1015"/>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5"/>
                <w:szCs w:val="15"/>
              </w:rPr>
              <w:t xml:space="preserve">0.648</w:t>
            </w:r>
          </w:p>
        </w:tc>
        <w:tc>
          <w:tcPr>
            <w:tcW w:type="dxa" w:w="1015"/>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5"/>
                <w:szCs w:val="15"/>
              </w:rPr>
              <w:t xml:space="preserve">0.671</w:t>
            </w:r>
          </w:p>
        </w:tc>
        <w:tc>
          <w:tcPr>
            <w:tcW w:type="dxa" w:w="1015"/>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5"/>
                <w:szCs w:val="15"/>
              </w:rPr>
              <w:t xml:space="preserve">0.647</w:t>
            </w:r>
          </w:p>
        </w:tc>
        <w:tc>
          <w:tcPr>
            <w:tcW w:type="dxa" w:w="1017"/>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5"/>
                <w:szCs w:val="15"/>
              </w:rPr>
              <w:t xml:space="preserve">0.898</w:t>
            </w:r>
          </w:p>
        </w:tc>
      </w:tr>
      <w:tr>
        <w:trPr>
          <w:cantSplit/>
        </w:trPr>
        <w:tc>
          <w:tcPr>
            <w:tcW w:type="dxa" w:w="1624"/>
            <w:tcBorders>
              <w:top w:val="single" w:color="000000" w:sz="4"/>
              <w:left w:val="single" w:color="000000" w:sz="4"/>
              <w:bottom w:val="single" w:color="000000" w:sz="4"/>
              <w:right w:val="single" w:color="000000" w:sz="4"/>
            </w:tcBorders>
            <w:shd w:fill="E7E6E6" w:color="auto" w:val="clear"/>
            <w:tcMar>
              <w:top w:type="dxa" w:w="25"/>
              <w:left w:type="dxa" w:w="50"/>
              <w:bottom w:type="dxa" w:w="25"/>
              <w:right w:type="dxa" w:w="50"/>
            </w:tcMar>
          </w:tcPr>
          <w:p>
            <w:r>
              <w:rPr>
                <w:rFonts w:ascii="Times New Roman" w:cs="Times New Roman" w:eastAsia="Times New Roman" w:hAnsi="Times New Roman"/>
                <w:b/>
                <w:bCs/>
                <w:sz w:val="15"/>
                <w:szCs w:val="15"/>
              </w:rPr>
              <w:t xml:space="preserve">Six electrodes</w:t>
            </w:r>
          </w:p>
        </w:tc>
        <w:tc>
          <w:tcPr>
            <w:tcW w:type="dxa" w:w="1015"/>
            <w:tcBorders>
              <w:top w:val="single" w:color="000000" w:sz="4"/>
              <w:left w:val="single" w:color="000000" w:sz="4"/>
              <w:bottom w:val="single" w:color="000000" w:sz="4"/>
              <w:right w:val="single" w:color="000000" w:sz="4"/>
            </w:tcBorders>
            <w:shd w:fill="E7E6E6" w:color="auto" w:val="clear"/>
            <w:tcMar>
              <w:top w:type="dxa" w:w="25"/>
              <w:left w:type="dxa" w:w="50"/>
              <w:bottom w:type="dxa" w:w="25"/>
              <w:right w:type="dxa" w:w="50"/>
            </w:tcMar>
          </w:tcPr>
          <w:p/>
        </w:tc>
        <w:tc>
          <w:tcPr>
            <w:tcW w:type="dxa" w:w="1015"/>
            <w:tcBorders>
              <w:top w:val="single" w:color="000000" w:sz="4"/>
              <w:left w:val="single" w:color="000000" w:sz="4"/>
              <w:bottom w:val="single" w:color="000000" w:sz="4"/>
              <w:right w:val="single" w:color="000000" w:sz="4"/>
            </w:tcBorders>
            <w:shd w:fill="E7E6E6" w:color="auto" w:val="clear"/>
            <w:tcMar>
              <w:top w:type="dxa" w:w="25"/>
              <w:left w:type="dxa" w:w="50"/>
              <w:bottom w:type="dxa" w:w="25"/>
              <w:right w:type="dxa" w:w="50"/>
            </w:tcMar>
          </w:tcPr>
          <w:p/>
        </w:tc>
        <w:tc>
          <w:tcPr>
            <w:tcW w:type="dxa" w:w="1015"/>
            <w:tcBorders>
              <w:top w:val="single" w:color="000000" w:sz="4"/>
              <w:left w:val="single" w:color="000000" w:sz="4"/>
              <w:bottom w:val="single" w:color="000000" w:sz="4"/>
              <w:right w:val="single" w:color="000000" w:sz="4"/>
            </w:tcBorders>
            <w:shd w:fill="E7E6E6" w:color="auto" w:val="clear"/>
            <w:tcMar>
              <w:top w:type="dxa" w:w="25"/>
              <w:left w:type="dxa" w:w="50"/>
              <w:bottom w:type="dxa" w:w="25"/>
              <w:right w:type="dxa" w:w="50"/>
            </w:tcMar>
          </w:tcPr>
          <w:p/>
        </w:tc>
        <w:tc>
          <w:tcPr>
            <w:tcW w:type="dxa" w:w="1015"/>
            <w:tcBorders>
              <w:top w:val="single" w:color="000000" w:sz="4"/>
              <w:left w:val="single" w:color="000000" w:sz="4"/>
              <w:bottom w:val="single" w:color="000000" w:sz="4"/>
              <w:right w:val="single" w:color="000000" w:sz="4"/>
            </w:tcBorders>
            <w:shd w:fill="E7E6E6" w:color="auto" w:val="clear"/>
            <w:tcMar>
              <w:top w:type="dxa" w:w="25"/>
              <w:left w:type="dxa" w:w="50"/>
              <w:bottom w:type="dxa" w:w="25"/>
              <w:right w:type="dxa" w:w="50"/>
            </w:tcMar>
          </w:tcPr>
          <w:p/>
        </w:tc>
        <w:tc>
          <w:tcPr>
            <w:tcW w:type="dxa" w:w="1015"/>
            <w:tcBorders>
              <w:top w:val="single" w:color="000000" w:sz="4"/>
              <w:left w:val="single" w:color="000000" w:sz="4"/>
              <w:bottom w:val="single" w:color="000000" w:sz="4"/>
              <w:right w:val="single" w:color="000000" w:sz="4"/>
            </w:tcBorders>
            <w:shd w:fill="E7E6E6" w:color="auto" w:val="clear"/>
            <w:tcMar>
              <w:top w:type="dxa" w:w="25"/>
              <w:left w:type="dxa" w:w="50"/>
              <w:bottom w:type="dxa" w:w="25"/>
              <w:right w:type="dxa" w:w="50"/>
            </w:tcMar>
          </w:tcPr>
          <w:p/>
        </w:tc>
        <w:tc>
          <w:tcPr>
            <w:tcW w:type="dxa" w:w="1015"/>
            <w:tcBorders>
              <w:top w:val="single" w:color="000000" w:sz="4"/>
              <w:left w:val="single" w:color="000000" w:sz="4"/>
              <w:bottom w:val="single" w:color="000000" w:sz="4"/>
              <w:right w:val="single" w:color="000000" w:sz="4"/>
            </w:tcBorders>
            <w:shd w:fill="E7E6E6" w:color="auto" w:val="clear"/>
            <w:tcMar>
              <w:top w:type="dxa" w:w="25"/>
              <w:left w:type="dxa" w:w="50"/>
              <w:bottom w:type="dxa" w:w="25"/>
              <w:right w:type="dxa" w:w="50"/>
            </w:tcMar>
          </w:tcPr>
          <w:p/>
        </w:tc>
        <w:tc>
          <w:tcPr>
            <w:tcW w:type="dxa" w:w="1015"/>
            <w:tcBorders>
              <w:top w:val="single" w:color="000000" w:sz="4"/>
              <w:left w:val="single" w:color="000000" w:sz="4"/>
              <w:bottom w:val="single" w:color="000000" w:sz="4"/>
              <w:right w:val="single" w:color="000000" w:sz="4"/>
            </w:tcBorders>
            <w:shd w:fill="E7E6E6" w:color="auto" w:val="clear"/>
            <w:tcMar>
              <w:top w:type="dxa" w:w="25"/>
              <w:left w:type="dxa" w:w="50"/>
              <w:bottom w:type="dxa" w:w="25"/>
              <w:right w:type="dxa" w:w="50"/>
            </w:tcMar>
          </w:tcPr>
          <w:p/>
        </w:tc>
        <w:tc>
          <w:tcPr>
            <w:tcW w:type="dxa" w:w="1017"/>
            <w:tcBorders>
              <w:top w:val="single" w:color="000000" w:sz="4"/>
              <w:left w:val="single" w:color="000000" w:sz="4"/>
              <w:bottom w:val="single" w:color="000000" w:sz="4"/>
              <w:right w:val="single" w:color="000000" w:sz="4"/>
            </w:tcBorders>
            <w:shd w:fill="E7E6E6" w:color="auto" w:val="clear"/>
            <w:tcMar>
              <w:top w:type="dxa" w:w="25"/>
              <w:left w:type="dxa" w:w="50"/>
              <w:bottom w:type="dxa" w:w="25"/>
              <w:right w:type="dxa" w:w="50"/>
            </w:tcMar>
          </w:tcPr>
          <w:p/>
        </w:tc>
      </w:tr>
      <w:tr>
        <w:trPr>
          <w:cantSplit/>
        </w:trPr>
        <w:tc>
          <w:tcPr>
            <w:tcW w:type="dxa" w:w="1624"/>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5"/>
                <w:szCs w:val="15"/>
              </w:rPr>
              <w:t xml:space="preserve">Neutral</w:t>
            </w:r>
          </w:p>
        </w:tc>
        <w:tc>
          <w:tcPr>
            <w:tcW w:type="dxa" w:w="1015"/>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5"/>
                <w:szCs w:val="15"/>
              </w:rPr>
              <w:t xml:space="preserve">0.489</w:t>
            </w:r>
          </w:p>
        </w:tc>
        <w:tc>
          <w:tcPr>
            <w:tcW w:type="dxa" w:w="1015"/>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5"/>
                <w:szCs w:val="15"/>
              </w:rPr>
              <w:t xml:space="preserve">0.430</w:t>
            </w:r>
          </w:p>
        </w:tc>
        <w:tc>
          <w:tcPr>
            <w:tcW w:type="dxa" w:w="1015"/>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5"/>
                <w:szCs w:val="15"/>
              </w:rPr>
              <w:t xml:space="preserve">0.446</w:t>
            </w:r>
          </w:p>
        </w:tc>
        <w:tc>
          <w:tcPr>
            <w:tcW w:type="dxa" w:w="1015"/>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5"/>
                <w:szCs w:val="15"/>
              </w:rPr>
              <w:t xml:space="preserve">0.829</w:t>
            </w:r>
          </w:p>
        </w:tc>
        <w:tc>
          <w:tcPr>
            <w:tcW w:type="dxa" w:w="1015"/>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5"/>
                <w:szCs w:val="15"/>
              </w:rPr>
              <w:t xml:space="preserve">0.674</w:t>
            </w:r>
          </w:p>
        </w:tc>
        <w:tc>
          <w:tcPr>
            <w:tcW w:type="dxa" w:w="1015"/>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5"/>
                <w:szCs w:val="15"/>
              </w:rPr>
              <w:t xml:space="preserve">0.668</w:t>
            </w:r>
          </w:p>
        </w:tc>
        <w:tc>
          <w:tcPr>
            <w:tcW w:type="dxa" w:w="1015"/>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5"/>
                <w:szCs w:val="15"/>
              </w:rPr>
              <w:t xml:space="preserve">0.659</w:t>
            </w:r>
          </w:p>
        </w:tc>
        <w:tc>
          <w:tcPr>
            <w:tcW w:type="dxa" w:w="1017"/>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5"/>
                <w:szCs w:val="15"/>
              </w:rPr>
              <w:t xml:space="preserve">0.870</w:t>
            </w:r>
          </w:p>
        </w:tc>
      </w:tr>
      <w:tr>
        <w:trPr>
          <w:cantSplit/>
        </w:trPr>
        <w:tc>
          <w:tcPr>
            <w:tcW w:type="dxa" w:w="1624"/>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5"/>
                <w:szCs w:val="15"/>
              </w:rPr>
              <w:t xml:space="preserve">Sad</w:t>
            </w:r>
          </w:p>
        </w:tc>
        <w:tc>
          <w:tcPr>
            <w:tcW w:type="dxa" w:w="1015"/>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5"/>
                <w:szCs w:val="15"/>
              </w:rPr>
              <w:t xml:space="preserve">0.419</w:t>
            </w:r>
          </w:p>
        </w:tc>
        <w:tc>
          <w:tcPr>
            <w:tcW w:type="dxa" w:w="1015"/>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5"/>
                <w:szCs w:val="15"/>
              </w:rPr>
              <w:t xml:space="preserve">0.399</w:t>
            </w:r>
          </w:p>
        </w:tc>
        <w:tc>
          <w:tcPr>
            <w:tcW w:type="dxa" w:w="1015"/>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5"/>
                <w:szCs w:val="15"/>
              </w:rPr>
              <w:t xml:space="preserve">0.402</w:t>
            </w:r>
          </w:p>
        </w:tc>
        <w:tc>
          <w:tcPr>
            <w:tcW w:type="dxa" w:w="1015"/>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5"/>
                <w:szCs w:val="15"/>
              </w:rPr>
              <w:t xml:space="preserve">0.787</w:t>
            </w:r>
          </w:p>
        </w:tc>
        <w:tc>
          <w:tcPr>
            <w:tcW w:type="dxa" w:w="1015"/>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5"/>
                <w:szCs w:val="15"/>
              </w:rPr>
              <w:t xml:space="preserve">0.636</w:t>
            </w:r>
          </w:p>
        </w:tc>
        <w:tc>
          <w:tcPr>
            <w:tcW w:type="dxa" w:w="1015"/>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5"/>
                <w:szCs w:val="15"/>
              </w:rPr>
              <w:t xml:space="preserve">0.689</w:t>
            </w:r>
          </w:p>
        </w:tc>
        <w:tc>
          <w:tcPr>
            <w:tcW w:type="dxa" w:w="1015"/>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5"/>
                <w:szCs w:val="15"/>
              </w:rPr>
              <w:t xml:space="preserve">0.644</w:t>
            </w:r>
          </w:p>
        </w:tc>
        <w:tc>
          <w:tcPr>
            <w:tcW w:type="dxa" w:w="1017"/>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5"/>
                <w:szCs w:val="15"/>
              </w:rPr>
              <w:t xml:space="preserve">0.828</w:t>
            </w:r>
          </w:p>
        </w:tc>
      </w:tr>
      <w:tr>
        <w:trPr>
          <w:cantSplit/>
        </w:trPr>
        <w:tc>
          <w:tcPr>
            <w:tcW w:type="dxa" w:w="1624"/>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5"/>
                <w:szCs w:val="15"/>
              </w:rPr>
              <w:t xml:space="preserve">Fear</w:t>
            </w:r>
          </w:p>
        </w:tc>
        <w:tc>
          <w:tcPr>
            <w:tcW w:type="dxa" w:w="1015"/>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5"/>
                <w:szCs w:val="15"/>
              </w:rPr>
              <w:t xml:space="preserve">0.336</w:t>
            </w:r>
          </w:p>
        </w:tc>
        <w:tc>
          <w:tcPr>
            <w:tcW w:type="dxa" w:w="1015"/>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5"/>
                <w:szCs w:val="15"/>
              </w:rPr>
              <w:t xml:space="preserve">0.327</w:t>
            </w:r>
          </w:p>
        </w:tc>
        <w:tc>
          <w:tcPr>
            <w:tcW w:type="dxa" w:w="1015"/>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5"/>
                <w:szCs w:val="15"/>
              </w:rPr>
              <w:t xml:space="preserve">0.322</w:t>
            </w:r>
          </w:p>
        </w:tc>
        <w:tc>
          <w:tcPr>
            <w:tcW w:type="dxa" w:w="1015"/>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5"/>
                <w:szCs w:val="15"/>
              </w:rPr>
              <w:t xml:space="preserve">0.797</w:t>
            </w:r>
          </w:p>
        </w:tc>
        <w:tc>
          <w:tcPr>
            <w:tcW w:type="dxa" w:w="1015"/>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5"/>
                <w:szCs w:val="15"/>
              </w:rPr>
              <w:t xml:space="preserve">0.645</w:t>
            </w:r>
          </w:p>
        </w:tc>
        <w:tc>
          <w:tcPr>
            <w:tcW w:type="dxa" w:w="1015"/>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5"/>
                <w:szCs w:val="15"/>
              </w:rPr>
              <w:t xml:space="preserve">0.530</w:t>
            </w:r>
          </w:p>
        </w:tc>
        <w:tc>
          <w:tcPr>
            <w:tcW w:type="dxa" w:w="1015"/>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5"/>
                <w:szCs w:val="15"/>
              </w:rPr>
              <w:t xml:space="preserve">0.565</w:t>
            </w:r>
          </w:p>
        </w:tc>
        <w:tc>
          <w:tcPr>
            <w:tcW w:type="dxa" w:w="1017"/>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5"/>
                <w:szCs w:val="15"/>
              </w:rPr>
              <w:t xml:space="preserve">0.901</w:t>
            </w:r>
          </w:p>
        </w:tc>
      </w:tr>
      <w:tr>
        <w:trPr>
          <w:cantSplit/>
        </w:trPr>
        <w:tc>
          <w:tcPr>
            <w:tcW w:type="dxa" w:w="1624"/>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5"/>
                <w:szCs w:val="15"/>
              </w:rPr>
              <w:t xml:space="preserve">Happy</w:t>
            </w:r>
          </w:p>
        </w:tc>
        <w:tc>
          <w:tcPr>
            <w:tcW w:type="dxa" w:w="1015"/>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5"/>
                <w:szCs w:val="15"/>
              </w:rPr>
              <w:t xml:space="preserve">0.402</w:t>
            </w:r>
          </w:p>
        </w:tc>
        <w:tc>
          <w:tcPr>
            <w:tcW w:type="dxa" w:w="1015"/>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5"/>
                <w:szCs w:val="15"/>
              </w:rPr>
              <w:t xml:space="preserve">0.473</w:t>
            </w:r>
          </w:p>
        </w:tc>
        <w:tc>
          <w:tcPr>
            <w:tcW w:type="dxa" w:w="1015"/>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5"/>
                <w:szCs w:val="15"/>
              </w:rPr>
              <w:t xml:space="preserve">0.422</w:t>
            </w:r>
          </w:p>
        </w:tc>
        <w:tc>
          <w:tcPr>
            <w:tcW w:type="dxa" w:w="1015"/>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5"/>
                <w:szCs w:val="15"/>
              </w:rPr>
              <w:t xml:space="preserve">0.795</w:t>
            </w:r>
          </w:p>
        </w:tc>
        <w:tc>
          <w:tcPr>
            <w:tcW w:type="dxa" w:w="1015"/>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5"/>
                <w:szCs w:val="15"/>
              </w:rPr>
              <w:t xml:space="preserve">0.607</w:t>
            </w:r>
          </w:p>
        </w:tc>
        <w:tc>
          <w:tcPr>
            <w:tcW w:type="dxa" w:w="1015"/>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5"/>
                <w:szCs w:val="15"/>
              </w:rPr>
              <w:t xml:space="preserve">0.575</w:t>
            </w:r>
          </w:p>
        </w:tc>
        <w:tc>
          <w:tcPr>
            <w:tcW w:type="dxa" w:w="1015"/>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5"/>
                <w:szCs w:val="15"/>
              </w:rPr>
              <w:t xml:space="preserve">0.577</w:t>
            </w:r>
          </w:p>
        </w:tc>
        <w:tc>
          <w:tcPr>
            <w:tcW w:type="dxa" w:w="1017"/>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5"/>
                <w:szCs w:val="15"/>
              </w:rPr>
              <w:t xml:space="preserve">0.892</w:t>
            </w:r>
          </w:p>
        </w:tc>
      </w:tr>
    </w:tbl>
    <w:p>
      <w:pPr>
        <w:pBdr>
          <w:bottom w:val="dotted" w:color="A6A6A6" w:sz="6" w:space="6"/>
        </w:pBdr>
        <w:spacing w:after="360" w:before="120" w:line="240"/>
        <w:ind w:left="1700"/>
        <w:jc w:val="left"/>
      </w:pPr>
      <w:r>
        <w:rPr>
          <w:rFonts w:ascii="Times New Roman" w:cs="Times New Roman" w:eastAsia="Times New Roman" w:hAnsi="Times New Roman"/>
          <w:b/>
          <w:bCs/>
          <w:sz w:val="19"/>
          <w:szCs w:val="19"/>
        </w:rPr>
        <w:t xml:space="preserve">Table 10</w:t>
      </w:r>
      <w:r>
        <w:rPr>
          <w:rFonts w:ascii="Times New Roman" w:cs="Times New Roman" w:eastAsia="Times New Roman" w:hAnsi="Times New Roman"/>
          <w:sz w:val="19"/>
          <w:szCs w:val="19"/>
        </w:rPr>
        <w:t xml:space="preserve">. Per-class precision (P), recall (R), F1 and specificity (Spec) of CLISA-EWU, zero-shot (ZS) and calibrated (Cal), means over 15 participants.</w:t>
      </w:r>
    </w:p>
    <w:p>
      <w:pPr>
        <w:keepNext/>
        <w:spacing w:before="240"/>
        <w:jc w:val="center"/>
      </w:pPr>
      <w:r>
        <w:drawing>
          <wp:inline distT="0" distB="0" distL="0" distR="0">
            <wp:extent cx="6096000" cy="2200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6096000" cy="2200275"/>
                    </a:xfrm>
                    <a:prstGeom prst="rect">
                      <a:avLst/>
                    </a:prstGeom>
                  </pic:spPr>
                </pic:pic>
              </a:graphicData>
            </a:graphic>
          </wp:inline>
        </w:drawing>
      </w:r>
    </w:p>
    <w:p>
      <w:pPr>
        <w:pBdr>
          <w:bottom w:val="dotted" w:color="A6A6A6" w:sz="6" w:space="6"/>
        </w:pBdr>
        <w:spacing w:after="360" w:before="120" w:line="240"/>
        <w:ind w:left="1700"/>
        <w:jc w:val="left"/>
      </w:pPr>
      <w:r>
        <w:rPr>
          <w:rFonts w:ascii="Times New Roman" w:cs="Times New Roman" w:eastAsia="Times New Roman" w:hAnsi="Times New Roman"/>
          <w:b/>
          <w:bCs/>
          <w:sz w:val="19"/>
          <w:szCs w:val="19"/>
        </w:rPr>
        <w:t xml:space="preserve">Fig. 15</w:t>
      </w:r>
      <w:r>
        <w:rPr>
          <w:rFonts w:ascii="Times New Roman" w:cs="Times New Roman" w:eastAsia="Times New Roman" w:hAnsi="Times New Roman"/>
          <w:sz w:val="19"/>
          <w:szCs w:val="19"/>
        </w:rPr>
        <w:t xml:space="preserve">. Per-class metrics of calibrated CLISA-EWU. Precision, recall, F1 score and specificity for each emotion with 62 and six electrodes, means over 15 held-out participants.</w:t>
      </w:r>
    </w:p>
    <w:p>
      <w:pPr>
        <w:keepNext/>
        <w:spacing w:before="240"/>
        <w:jc w:val="center"/>
      </w:pPr>
      <w:r>
        <w:drawing>
          <wp:inline distT="0" distB="0" distL="0" distR="0">
            <wp:extent cx="5934075" cy="5334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5934075" cy="5334000"/>
                    </a:xfrm>
                    <a:prstGeom prst="rect">
                      <a:avLst/>
                    </a:prstGeom>
                  </pic:spPr>
                </pic:pic>
              </a:graphicData>
            </a:graphic>
          </wp:inline>
        </w:drawing>
      </w:r>
    </w:p>
    <w:p>
      <w:pPr>
        <w:pBdr>
          <w:bottom w:val="dotted" w:color="A6A6A6" w:sz="6" w:space="6"/>
        </w:pBdr>
        <w:spacing w:after="360" w:before="120" w:line="240"/>
        <w:ind w:left="1700"/>
        <w:jc w:val="left"/>
      </w:pPr>
      <w:r>
        <w:rPr>
          <w:rFonts w:ascii="Times New Roman" w:cs="Times New Roman" w:eastAsia="Times New Roman" w:hAnsi="Times New Roman"/>
          <w:b/>
          <w:bCs/>
          <w:sz w:val="19"/>
          <w:szCs w:val="19"/>
        </w:rPr>
        <w:t xml:space="preserve">Fig. 16</w:t>
      </w:r>
      <w:r>
        <w:rPr>
          <w:rFonts w:ascii="Times New Roman" w:cs="Times New Roman" w:eastAsia="Times New Roman" w:hAnsi="Times New Roman"/>
          <w:sz w:val="19"/>
          <w:szCs w:val="19"/>
        </w:rPr>
        <w:t xml:space="preserve">. Mean confusion matrices of CLISA-EWU. Row-normalised percentages averaged over all 45 runs for (a) 62 electrodes zero-shot, (b) 62 electrodes calibrated, (c) six electrodes zero-shot and (d) six electrodes calibrated. Diagonal cells are per-class recall.</w:t>
      </w:r>
    </w:p>
    <w:p>
      <w:pPr>
        <w:keepNext/>
        <w:spacing w:before="240"/>
        <w:jc w:val="center"/>
      </w:pPr>
      <w:r>
        <w:drawing>
          <wp:inline distT="0" distB="0" distL="0" distR="0">
            <wp:extent cx="6096000"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6096000" cy="2476500"/>
                    </a:xfrm>
                    <a:prstGeom prst="rect">
                      <a:avLst/>
                    </a:prstGeom>
                  </pic:spPr>
                </pic:pic>
              </a:graphicData>
            </a:graphic>
          </wp:inline>
        </w:drawing>
      </w:r>
    </w:p>
    <w:p>
      <w:pPr>
        <w:pBdr>
          <w:bottom w:val="dotted" w:color="A6A6A6" w:sz="6" w:space="6"/>
        </w:pBdr>
        <w:spacing w:after="360" w:before="120" w:line="240"/>
        <w:ind w:left="1700"/>
        <w:jc w:val="left"/>
      </w:pPr>
      <w:r>
        <w:rPr>
          <w:rFonts w:ascii="Times New Roman" w:cs="Times New Roman" w:eastAsia="Times New Roman" w:hAnsi="Times New Roman"/>
          <w:b/>
          <w:bCs/>
          <w:sz w:val="19"/>
          <w:szCs w:val="19"/>
        </w:rPr>
        <w:t xml:space="preserve">Fig. 17</w:t>
      </w:r>
      <w:r>
        <w:rPr>
          <w:rFonts w:ascii="Times New Roman" w:cs="Times New Roman" w:eastAsia="Times New Roman" w:hAnsi="Times New Roman"/>
          <w:sz w:val="19"/>
          <w:szCs w:val="19"/>
        </w:rPr>
        <w:t xml:space="preserve">. Confusion matrices of CLISA-EWU in the best single runs. Row-normalised percentages after calibration with (a) 62 electrodes (participant 15, seed 7) and (b) six electrodes (participant 7, seed 1). Best runs illustrate class-level behaviour and are not representative; mean per-class recall over all runs is reported in the text.</w:t>
      </w:r>
    </w:p>
    <w:p>
      <w:pPr>
        <w:spacing w:after="0" w:line="252"/>
        <w:ind w:left="1700" w:firstLine="240"/>
        <w:jc w:val="both"/>
      </w:pPr>
      <w:r>
        <w:rPr>
          <w:rFonts w:ascii="Times New Roman" w:cs="Times New Roman" w:eastAsia="Times New Roman" w:hAnsi="Times New Roman"/>
          <w:sz w:val="20"/>
          <w:szCs w:val="20"/>
        </w:rPr>
        <w:t xml:space="preserve">Electrode importance differed by class (Fig. 18). For happy, the wearable electrodes FP1 and FP2 ranked second and sixth of 62. For sad, FP1 and F8 ranked fourth and seventh, and the most important electrode was the adjacent midline FPZ. For neutral, FP2 ranked third. For fear, the most important electrodes were parieto-occipital (POZ, PO8), and only F7 among the wearable electrodes ranked in the top five, consistent with fear being the class most affected by electrode reduction. This analysis is based on a single run and is exploratory.</w:t>
      </w:r>
    </w:p>
    <w:p>
      <w:pPr>
        <w:keepNext/>
        <w:spacing w:before="240"/>
        <w:jc w:val="center"/>
      </w:pPr>
      <w:r>
        <w:drawing>
          <wp:inline distT="0" distB="0" distL="0" distR="0">
            <wp:extent cx="6096000" cy="1504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6096000" cy="1504950"/>
                    </a:xfrm>
                    <a:prstGeom prst="rect">
                      <a:avLst/>
                    </a:prstGeom>
                  </pic:spPr>
                </pic:pic>
              </a:graphicData>
            </a:graphic>
          </wp:inline>
        </w:drawing>
      </w:r>
    </w:p>
    <w:p>
      <w:pPr>
        <w:pBdr>
          <w:bottom w:val="dotted" w:color="A6A6A6" w:sz="6" w:space="6"/>
        </w:pBdr>
        <w:spacing w:after="360" w:before="120" w:line="240"/>
        <w:ind w:left="1700"/>
        <w:jc w:val="left"/>
      </w:pPr>
      <w:r>
        <w:rPr>
          <w:rFonts w:ascii="Times New Roman" w:cs="Times New Roman" w:eastAsia="Times New Roman" w:hAnsi="Times New Roman"/>
          <w:b/>
          <w:bCs/>
          <w:sz w:val="19"/>
          <w:szCs w:val="19"/>
        </w:rPr>
        <w:t xml:space="preserve">Fig. 18</w:t>
      </w:r>
      <w:r>
        <w:rPr>
          <w:rFonts w:ascii="Times New Roman" w:cs="Times New Roman" w:eastAsia="Times New Roman" w:hAnsi="Times New Roman"/>
          <w:sz w:val="19"/>
          <w:szCs w:val="19"/>
        </w:rPr>
        <w:t xml:space="preserve">. Electrode importance by predicted class. SHAP attributions summed over five frequency bands per electrode for neutral, sad, fear and happy (left to right), CLISA-EWU with 62 electrodes, best run; shared colour scale. Blue circles mark the six-electrode wearable subset. Single-run, exploratory analysis.</w:t>
      </w:r>
    </w:p>
    <w:p>
      <w:pPr>
        <w:pStyle w:val="Heading2"/>
        <w:keepNext/>
        <w:spacing w:after="40" w:before="220"/>
        <w:ind w:left="1700"/>
      </w:pPr>
      <w:r>
        <w:rPr>
          <w:rFonts w:ascii="Arial" w:cs="Arial" w:eastAsia="Arial" w:hAnsi="Arial"/>
          <w:b/>
          <w:bCs/>
          <w:color w:val="000000"/>
          <w:sz w:val="21"/>
          <w:szCs w:val="21"/>
        </w:rPr>
        <w:t xml:space="preserve">4.11 Representation geometry</w:t>
      </w:r>
    </w:p>
    <w:p>
      <w:pPr>
        <w:spacing w:after="0" w:line="252"/>
        <w:ind w:left="1700" w:firstLine="0"/>
        <w:jc w:val="both"/>
      </w:pPr>
      <w:r>
        <w:rPr>
          <w:rFonts w:ascii="Times New Roman" w:cs="Times New Roman" w:eastAsia="Times New Roman" w:hAnsi="Times New Roman"/>
          <w:sz w:val="20"/>
          <w:szCs w:val="20"/>
        </w:rPr>
        <w:t xml:space="preserve">In the raw feature space, emotion classes were not separable (emotion silhouette −0.017 with 62 electrodes and −0.013 with six; Table 11). In the CLISA-EWU embedding, emotion silhouette rose to 0.220 (62 electrodes) and 0.046 (six), Davies–Bouldin indices fell, and participant silhouettes were negative (−0.098 and −0.057), indicating that participant identity did not dominate the embedding (Fig. 19). These embeddings were computed on all 15 participants with the best-run model, 14 of whom contributed labelled training data, so the emotion structure partly reflects supervised fitting </w:t>
      </w:r>
      <w:r>
        <w:rPr>
          <w:rFonts w:ascii="Times New Roman" w:cs="Times New Roman" w:eastAsia="Times New Roman" w:hAnsi="Times New Roman"/>
          <w:sz w:val="20"/>
          <w:szCs w:val="20"/>
          <w:highlight w:val="yellow"/>
          <w:highlightCs w:val="yellow"/>
        </w:rPr>
        <w:t xml:space="preserve">[recompute on held-out participants only]</w:t>
      </w:r>
      <w:r>
        <w:rPr>
          <w:rFonts w:ascii="Times New Roman" w:cs="Times New Roman" w:eastAsia="Times New Roman" w:hAnsi="Times New Roman"/>
          <w:sz w:val="20"/>
          <w:szCs w:val="20"/>
        </w:rPr>
        <w:t xml:space="preserve">.</w:t>
      </w:r>
    </w:p>
    <w:p>
      <w:pPr>
        <w:spacing w:before="20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844"/>
        <w:gridCol w:w="2029"/>
        <w:gridCol w:w="1522"/>
        <w:gridCol w:w="1623"/>
        <w:gridCol w:w="1728"/>
      </w:tblGrid>
      <w:tr>
        <w:trPr>
          <w:tblHeader/>
        </w:trPr>
        <w:tc>
          <w:tcPr>
            <w:tcW w:type="dxa" w:w="2844"/>
            <w:tcBorders>
              <w:top w:val="single" w:color="000000" w:sz="4"/>
              <w:left w:val="single" w:color="000000" w:sz="4"/>
              <w:bottom w:val="single" w:color="000000" w:sz="4"/>
              <w:right w:val="single" w:color="000000" w:sz="4"/>
            </w:tcBorders>
            <w:shd w:fill="BFBFBF" w:color="auto" w:val="clear"/>
            <w:tcMar>
              <w:top w:type="dxa" w:w="25"/>
              <w:left w:type="dxa" w:w="50"/>
              <w:bottom w:type="dxa" w:w="25"/>
              <w:right w:type="dxa" w:w="50"/>
            </w:tcMar>
          </w:tcPr>
          <w:p>
            <w:r>
              <w:rPr>
                <w:rFonts w:ascii="Times New Roman" w:cs="Times New Roman" w:eastAsia="Times New Roman" w:hAnsi="Times New Roman"/>
                <w:b/>
                <w:bCs/>
                <w:sz w:val="17"/>
                <w:szCs w:val="17"/>
              </w:rPr>
              <w:t xml:space="preserve">Feature space</w:t>
            </w:r>
          </w:p>
        </w:tc>
        <w:tc>
          <w:tcPr>
            <w:tcW w:type="dxa" w:w="2029"/>
            <w:tcBorders>
              <w:top w:val="single" w:color="000000" w:sz="4"/>
              <w:left w:val="single" w:color="000000" w:sz="4"/>
              <w:bottom w:val="single" w:color="000000" w:sz="4"/>
              <w:right w:val="single" w:color="000000" w:sz="4"/>
            </w:tcBorders>
            <w:shd w:fill="BFBFBF" w:color="auto" w:val="clear"/>
            <w:tcMar>
              <w:top w:type="dxa" w:w="25"/>
              <w:left w:type="dxa" w:w="50"/>
              <w:bottom w:type="dxa" w:w="25"/>
              <w:right w:type="dxa" w:w="50"/>
            </w:tcMar>
          </w:tcPr>
          <w:p>
            <w:r>
              <w:rPr>
                <w:rFonts w:ascii="Times New Roman" w:cs="Times New Roman" w:eastAsia="Times New Roman" w:hAnsi="Times New Roman"/>
                <w:b/>
                <w:bCs/>
                <w:sz w:val="17"/>
                <w:szCs w:val="17"/>
              </w:rPr>
              <w:t xml:space="preserve">Labels (clusters)</w:t>
            </w:r>
          </w:p>
        </w:tc>
        <w:tc>
          <w:tcPr>
            <w:tcW w:type="dxa" w:w="1522"/>
            <w:tcBorders>
              <w:top w:val="single" w:color="000000" w:sz="4"/>
              <w:left w:val="single" w:color="000000" w:sz="4"/>
              <w:bottom w:val="single" w:color="000000" w:sz="4"/>
              <w:right w:val="single" w:color="000000" w:sz="4"/>
            </w:tcBorders>
            <w:shd w:fill="BFBFBF" w:color="auto" w:val="clear"/>
            <w:tcMar>
              <w:top w:type="dxa" w:w="25"/>
              <w:left w:type="dxa" w:w="50"/>
              <w:bottom w:type="dxa" w:w="25"/>
              <w:right w:type="dxa" w:w="50"/>
            </w:tcMar>
          </w:tcPr>
          <w:p>
            <w:r>
              <w:rPr>
                <w:rFonts w:ascii="Times New Roman" w:cs="Times New Roman" w:eastAsia="Times New Roman" w:hAnsi="Times New Roman"/>
                <w:b/>
                <w:bCs/>
                <w:sz w:val="17"/>
                <w:szCs w:val="17"/>
              </w:rPr>
              <w:t xml:space="preserve">Silhouette</w:t>
            </w:r>
          </w:p>
        </w:tc>
        <w:tc>
          <w:tcPr>
            <w:tcW w:type="dxa" w:w="1623"/>
            <w:tcBorders>
              <w:top w:val="single" w:color="000000" w:sz="4"/>
              <w:left w:val="single" w:color="000000" w:sz="4"/>
              <w:bottom w:val="single" w:color="000000" w:sz="4"/>
              <w:right w:val="single" w:color="000000" w:sz="4"/>
            </w:tcBorders>
            <w:shd w:fill="BFBFBF" w:color="auto" w:val="clear"/>
            <w:tcMar>
              <w:top w:type="dxa" w:w="25"/>
              <w:left w:type="dxa" w:w="50"/>
              <w:bottom w:type="dxa" w:w="25"/>
              <w:right w:type="dxa" w:w="50"/>
            </w:tcMar>
          </w:tcPr>
          <w:p>
            <w:r>
              <w:rPr>
                <w:rFonts w:ascii="Times New Roman" w:cs="Times New Roman" w:eastAsia="Times New Roman" w:hAnsi="Times New Roman"/>
                <w:b/>
                <w:bCs/>
                <w:sz w:val="17"/>
                <w:szCs w:val="17"/>
              </w:rPr>
              <w:t xml:space="preserve">Davies–Bouldin</w:t>
            </w:r>
          </w:p>
        </w:tc>
        <w:tc>
          <w:tcPr>
            <w:tcW w:type="dxa" w:w="1728"/>
            <w:tcBorders>
              <w:top w:val="single" w:color="000000" w:sz="4"/>
              <w:left w:val="single" w:color="000000" w:sz="4"/>
              <w:bottom w:val="single" w:color="000000" w:sz="4"/>
              <w:right w:val="single" w:color="000000" w:sz="4"/>
            </w:tcBorders>
            <w:shd w:fill="BFBFBF" w:color="auto" w:val="clear"/>
            <w:tcMar>
              <w:top w:type="dxa" w:w="25"/>
              <w:left w:type="dxa" w:w="50"/>
              <w:bottom w:type="dxa" w:w="25"/>
              <w:right w:type="dxa" w:w="50"/>
            </w:tcMar>
          </w:tcPr>
          <w:p>
            <w:r>
              <w:rPr>
                <w:rFonts w:ascii="Times New Roman" w:cs="Times New Roman" w:eastAsia="Times New Roman" w:hAnsi="Times New Roman"/>
                <w:b/>
                <w:bCs/>
                <w:sz w:val="17"/>
                <w:szCs w:val="17"/>
              </w:rPr>
              <w:t xml:space="preserve">Calinski–Harabasz</w:t>
            </w:r>
          </w:p>
        </w:tc>
      </w:tr>
      <w:tr>
        <w:trPr>
          <w:cantSplit/>
        </w:trPr>
        <w:tc>
          <w:tcPr>
            <w:tcW w:type="dxa" w:w="2844"/>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7"/>
                <w:szCs w:val="17"/>
              </w:rPr>
              <w:t xml:space="preserve">Raw, 62 electrodes</w:t>
            </w:r>
          </w:p>
        </w:tc>
        <w:tc>
          <w:tcPr>
            <w:tcW w:type="dxa" w:w="2029"/>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7"/>
                <w:szCs w:val="17"/>
              </w:rPr>
              <w:t xml:space="preserve">Emotion (4)</w:t>
            </w:r>
          </w:p>
        </w:tc>
        <w:tc>
          <w:tcPr>
            <w:tcW w:type="dxa" w:w="1522"/>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7"/>
                <w:szCs w:val="17"/>
              </w:rPr>
              <w:t xml:space="preserve">−0.017</w:t>
            </w:r>
          </w:p>
        </w:tc>
        <w:tc>
          <w:tcPr>
            <w:tcW w:type="dxa" w:w="1623"/>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7"/>
                <w:szCs w:val="17"/>
              </w:rPr>
              <w:t xml:space="preserve">7.68</w:t>
            </w:r>
          </w:p>
        </w:tc>
        <w:tc>
          <w:tcPr>
            <w:tcW w:type="dxa" w:w="1728"/>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7"/>
                <w:szCs w:val="17"/>
              </w:rPr>
              <w:t xml:space="preserve">511.8</w:t>
            </w:r>
          </w:p>
        </w:tc>
      </w:tr>
      <w:tr>
        <w:trPr>
          <w:cantSplit/>
        </w:trPr>
        <w:tc>
          <w:tcPr>
            <w:tcW w:type="dxa" w:w="2844"/>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7"/>
                <w:szCs w:val="17"/>
              </w:rPr>
              <w:t xml:space="preserve">Raw, 62 electrodes</w:t>
            </w:r>
          </w:p>
        </w:tc>
        <w:tc>
          <w:tcPr>
            <w:tcW w:type="dxa" w:w="2029"/>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7"/>
                <w:szCs w:val="17"/>
              </w:rPr>
              <w:t xml:space="preserve">Participant (15)</w:t>
            </w:r>
          </w:p>
        </w:tc>
        <w:tc>
          <w:tcPr>
            <w:tcW w:type="dxa" w:w="1522"/>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7"/>
                <w:szCs w:val="17"/>
              </w:rPr>
              <w:t xml:space="preserve">−0.034</w:t>
            </w:r>
          </w:p>
        </w:tc>
        <w:tc>
          <w:tcPr>
            <w:tcW w:type="dxa" w:w="1623"/>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7"/>
                <w:szCs w:val="17"/>
              </w:rPr>
              <w:t xml:space="preserve">1.40 × 10</w:t>
            </w:r>
            <w:r>
              <w:rPr>
                <w:rFonts w:ascii="Times New Roman" w:cs="Times New Roman" w:eastAsia="Times New Roman" w:hAnsi="Times New Roman"/>
                <w:color w:val="1F4E9A"/>
                <w:sz w:val="17"/>
                <w:szCs w:val="17"/>
                <w:vertAlign w:val="superscript"/>
              </w:rPr>
              <w:t xml:space="preserve">5</w:t>
            </w:r>
          </w:p>
        </w:tc>
        <w:tc>
          <w:tcPr>
            <w:tcW w:type="dxa" w:w="1728"/>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7"/>
                <w:szCs w:val="17"/>
              </w:rPr>
              <w:t xml:space="preserve">&lt;0.1</w:t>
            </w:r>
          </w:p>
        </w:tc>
      </w:tr>
      <w:tr>
        <w:trPr>
          <w:cantSplit/>
        </w:trPr>
        <w:tc>
          <w:tcPr>
            <w:tcW w:type="dxa" w:w="2844"/>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7"/>
                <w:szCs w:val="17"/>
              </w:rPr>
              <w:t xml:space="preserve">CLISA-EWU, 62 electrodes</w:t>
            </w:r>
          </w:p>
        </w:tc>
        <w:tc>
          <w:tcPr>
            <w:tcW w:type="dxa" w:w="2029"/>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7"/>
                <w:szCs w:val="17"/>
              </w:rPr>
              <w:t xml:space="preserve">Emotion (4)</w:t>
            </w:r>
          </w:p>
        </w:tc>
        <w:tc>
          <w:tcPr>
            <w:tcW w:type="dxa" w:w="1522"/>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7"/>
                <w:szCs w:val="17"/>
              </w:rPr>
              <w:t xml:space="preserve">0.220</w:t>
            </w:r>
          </w:p>
        </w:tc>
        <w:tc>
          <w:tcPr>
            <w:tcW w:type="dxa" w:w="1623"/>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7"/>
                <w:szCs w:val="17"/>
              </w:rPr>
              <w:t xml:space="preserve">1.64</w:t>
            </w:r>
          </w:p>
        </w:tc>
        <w:tc>
          <w:tcPr>
            <w:tcW w:type="dxa" w:w="1728"/>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7"/>
                <w:szCs w:val="17"/>
              </w:rPr>
              <w:t xml:space="preserve">7309.0</w:t>
            </w:r>
          </w:p>
        </w:tc>
      </w:tr>
      <w:tr>
        <w:trPr>
          <w:cantSplit/>
        </w:trPr>
        <w:tc>
          <w:tcPr>
            <w:tcW w:type="dxa" w:w="2844"/>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7"/>
                <w:szCs w:val="17"/>
              </w:rPr>
              <w:t xml:space="preserve">CLISA-EWU, 62 electrodes</w:t>
            </w:r>
          </w:p>
        </w:tc>
        <w:tc>
          <w:tcPr>
            <w:tcW w:type="dxa" w:w="2029"/>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7"/>
                <w:szCs w:val="17"/>
              </w:rPr>
              <w:t xml:space="preserve">Participant (15)</w:t>
            </w:r>
          </w:p>
        </w:tc>
        <w:tc>
          <w:tcPr>
            <w:tcW w:type="dxa" w:w="1522"/>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7"/>
                <w:szCs w:val="17"/>
              </w:rPr>
              <w:t xml:space="preserve">−0.098</w:t>
            </w:r>
          </w:p>
        </w:tc>
        <w:tc>
          <w:tcPr>
            <w:tcW w:type="dxa" w:w="1623"/>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7"/>
                <w:szCs w:val="17"/>
              </w:rPr>
              <w:t xml:space="preserve">11.10</w:t>
            </w:r>
          </w:p>
        </w:tc>
        <w:tc>
          <w:tcPr>
            <w:tcW w:type="dxa" w:w="1728"/>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7"/>
                <w:szCs w:val="17"/>
              </w:rPr>
              <w:t xml:space="preserve">84.4</w:t>
            </w:r>
          </w:p>
        </w:tc>
      </w:tr>
      <w:tr>
        <w:trPr>
          <w:cantSplit/>
        </w:trPr>
        <w:tc>
          <w:tcPr>
            <w:tcW w:type="dxa" w:w="2844"/>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7"/>
                <w:szCs w:val="17"/>
              </w:rPr>
              <w:t xml:space="preserve">Raw, six electrodes</w:t>
            </w:r>
          </w:p>
        </w:tc>
        <w:tc>
          <w:tcPr>
            <w:tcW w:type="dxa" w:w="2029"/>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7"/>
                <w:szCs w:val="17"/>
              </w:rPr>
              <w:t xml:space="preserve">Emotion (4)</w:t>
            </w:r>
          </w:p>
        </w:tc>
        <w:tc>
          <w:tcPr>
            <w:tcW w:type="dxa" w:w="1522"/>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7"/>
                <w:szCs w:val="17"/>
              </w:rPr>
              <w:t xml:space="preserve">−0.013</w:t>
            </w:r>
          </w:p>
        </w:tc>
        <w:tc>
          <w:tcPr>
            <w:tcW w:type="dxa" w:w="1623"/>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7"/>
                <w:szCs w:val="17"/>
              </w:rPr>
              <w:t xml:space="preserve">8.16</w:t>
            </w:r>
          </w:p>
        </w:tc>
        <w:tc>
          <w:tcPr>
            <w:tcW w:type="dxa" w:w="1728"/>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7"/>
                <w:szCs w:val="17"/>
              </w:rPr>
              <w:t xml:space="preserve">536.3</w:t>
            </w:r>
          </w:p>
        </w:tc>
      </w:tr>
      <w:tr>
        <w:trPr>
          <w:cantSplit/>
        </w:trPr>
        <w:tc>
          <w:tcPr>
            <w:tcW w:type="dxa" w:w="2844"/>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7"/>
                <w:szCs w:val="17"/>
              </w:rPr>
              <w:t xml:space="preserve">Raw, six electrodes</w:t>
            </w:r>
          </w:p>
        </w:tc>
        <w:tc>
          <w:tcPr>
            <w:tcW w:type="dxa" w:w="2029"/>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7"/>
                <w:szCs w:val="17"/>
              </w:rPr>
              <w:t xml:space="preserve">Participant (15)</w:t>
            </w:r>
          </w:p>
        </w:tc>
        <w:tc>
          <w:tcPr>
            <w:tcW w:type="dxa" w:w="1522"/>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7"/>
                <w:szCs w:val="17"/>
              </w:rPr>
              <w:t xml:space="preserve">−0.045</w:t>
            </w:r>
          </w:p>
        </w:tc>
        <w:tc>
          <w:tcPr>
            <w:tcW w:type="dxa" w:w="1623"/>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7"/>
                <w:szCs w:val="17"/>
              </w:rPr>
              <w:t xml:space="preserve">5.56 × 10</w:t>
            </w:r>
            <w:r>
              <w:rPr>
                <w:rFonts w:ascii="Times New Roman" w:cs="Times New Roman" w:eastAsia="Times New Roman" w:hAnsi="Times New Roman"/>
                <w:color w:val="1F4E9A"/>
                <w:sz w:val="17"/>
                <w:szCs w:val="17"/>
                <w:vertAlign w:val="superscript"/>
              </w:rPr>
              <w:t xml:space="preserve">4</w:t>
            </w:r>
          </w:p>
        </w:tc>
        <w:tc>
          <w:tcPr>
            <w:tcW w:type="dxa" w:w="1728"/>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7"/>
                <w:szCs w:val="17"/>
              </w:rPr>
              <w:t xml:space="preserve">&lt;0.1</w:t>
            </w:r>
          </w:p>
        </w:tc>
      </w:tr>
      <w:tr>
        <w:trPr>
          <w:cantSplit/>
        </w:trPr>
        <w:tc>
          <w:tcPr>
            <w:tcW w:type="dxa" w:w="2844"/>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7"/>
                <w:szCs w:val="17"/>
              </w:rPr>
              <w:t xml:space="preserve">CLISA-EWU, six electrodes</w:t>
            </w:r>
          </w:p>
        </w:tc>
        <w:tc>
          <w:tcPr>
            <w:tcW w:type="dxa" w:w="2029"/>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7"/>
                <w:szCs w:val="17"/>
              </w:rPr>
              <w:t xml:space="preserve">Emotion (4)</w:t>
            </w:r>
          </w:p>
        </w:tc>
        <w:tc>
          <w:tcPr>
            <w:tcW w:type="dxa" w:w="1522"/>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7"/>
                <w:szCs w:val="17"/>
              </w:rPr>
              <w:t xml:space="preserve">0.046</w:t>
            </w:r>
          </w:p>
        </w:tc>
        <w:tc>
          <w:tcPr>
            <w:tcW w:type="dxa" w:w="1623"/>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7"/>
                <w:szCs w:val="17"/>
              </w:rPr>
              <w:t xml:space="preserve">3.75</w:t>
            </w:r>
          </w:p>
        </w:tc>
        <w:tc>
          <w:tcPr>
            <w:tcW w:type="dxa" w:w="1728"/>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7"/>
                <w:szCs w:val="17"/>
              </w:rPr>
              <w:t xml:space="preserve">1434.1</w:t>
            </w:r>
          </w:p>
        </w:tc>
      </w:tr>
      <w:tr>
        <w:trPr>
          <w:cantSplit/>
        </w:trPr>
        <w:tc>
          <w:tcPr>
            <w:tcW w:type="dxa" w:w="2844"/>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7"/>
                <w:szCs w:val="17"/>
              </w:rPr>
              <w:t xml:space="preserve">CLISA-EWU, six electrodes</w:t>
            </w:r>
          </w:p>
        </w:tc>
        <w:tc>
          <w:tcPr>
            <w:tcW w:type="dxa" w:w="2029"/>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7"/>
                <w:szCs w:val="17"/>
              </w:rPr>
              <w:t xml:space="preserve">Participant (15)</w:t>
            </w:r>
          </w:p>
        </w:tc>
        <w:tc>
          <w:tcPr>
            <w:tcW w:type="dxa" w:w="1522"/>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7"/>
                <w:szCs w:val="17"/>
              </w:rPr>
              <w:t xml:space="preserve">−0.057</w:t>
            </w:r>
          </w:p>
        </w:tc>
        <w:tc>
          <w:tcPr>
            <w:tcW w:type="dxa" w:w="1623"/>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7"/>
                <w:szCs w:val="17"/>
              </w:rPr>
              <w:t xml:space="preserve">10.09</w:t>
            </w:r>
          </w:p>
        </w:tc>
        <w:tc>
          <w:tcPr>
            <w:tcW w:type="dxa" w:w="1728"/>
            <w:tcBorders>
              <w:top w:val="single" w:color="000000" w:sz="4"/>
              <w:left w:val="single" w:color="000000" w:sz="4"/>
              <w:bottom w:val="single" w:color="000000" w:sz="4"/>
              <w:right w:val="single" w:color="000000" w:sz="4"/>
            </w:tcBorders>
            <w:tcMar>
              <w:top w:type="dxa" w:w="25"/>
              <w:left w:type="dxa" w:w="50"/>
              <w:bottom w:type="dxa" w:w="25"/>
              <w:right w:type="dxa" w:w="50"/>
            </w:tcMar>
          </w:tcPr>
          <w:p>
            <w:r>
              <w:rPr>
                <w:rFonts w:ascii="Times New Roman" w:cs="Times New Roman" w:eastAsia="Times New Roman" w:hAnsi="Times New Roman"/>
                <w:sz w:val="17"/>
                <w:szCs w:val="17"/>
              </w:rPr>
              <w:t xml:space="preserve">159.6</w:t>
            </w:r>
          </w:p>
        </w:tc>
      </w:tr>
    </w:tbl>
    <w:p>
      <w:pPr>
        <w:pBdr>
          <w:bottom w:val="dotted" w:color="A6A6A6" w:sz="6" w:space="6"/>
        </w:pBdr>
        <w:spacing w:after="360" w:before="120" w:line="240"/>
        <w:ind w:left="1700"/>
        <w:jc w:val="left"/>
      </w:pPr>
      <w:r>
        <w:rPr>
          <w:rFonts w:ascii="Times New Roman" w:cs="Times New Roman" w:eastAsia="Times New Roman" w:hAnsi="Times New Roman"/>
          <w:b/>
          <w:bCs/>
          <w:sz w:val="19"/>
          <w:szCs w:val="19"/>
        </w:rPr>
        <w:t xml:space="preserve">Table 11</w:t>
      </w:r>
      <w:r>
        <w:rPr>
          <w:rFonts w:ascii="Times New Roman" w:cs="Times New Roman" w:eastAsia="Times New Roman" w:hAnsi="Times New Roman"/>
          <w:sz w:val="19"/>
          <w:szCs w:val="19"/>
        </w:rPr>
        <w:t xml:space="preserve">. Clustering metrics for raw features and CLISA-EWU embeddings. Higher silhouette and Calinski–Harabasz and lower Davies–Bouldin values indicate tighter clusters. Embeddings were computed with the best-run model on all 15 participants (14 of whom were in its training set).</w:t>
      </w:r>
    </w:p>
    <w:p>
      <w:pPr>
        <w:keepNext/>
        <w:spacing w:before="240"/>
        <w:jc w:val="center"/>
      </w:pPr>
      <w:r>
        <w:drawing>
          <wp:inline distT="0" distB="0" distL="0" distR="0">
            <wp:extent cx="6096000" cy="5029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6096000" cy="5029200"/>
                    </a:xfrm>
                    <a:prstGeom prst="rect">
                      <a:avLst/>
                    </a:prstGeom>
                  </pic:spPr>
                </pic:pic>
              </a:graphicData>
            </a:graphic>
          </wp:inline>
        </w:drawing>
      </w:r>
    </w:p>
    <w:p>
      <w:pPr>
        <w:pBdr>
          <w:bottom w:val="dotted" w:color="A6A6A6" w:sz="6" w:space="6"/>
        </w:pBdr>
        <w:spacing w:after="360" w:before="120" w:line="240"/>
        <w:ind w:left="1700"/>
        <w:jc w:val="left"/>
      </w:pPr>
      <w:r>
        <w:rPr>
          <w:rFonts w:ascii="Times New Roman" w:cs="Times New Roman" w:eastAsia="Times New Roman" w:hAnsi="Times New Roman"/>
          <w:b/>
          <w:bCs/>
          <w:sz w:val="19"/>
          <w:szCs w:val="19"/>
        </w:rPr>
        <w:t xml:space="preserve">Fig. 19</w:t>
      </w:r>
      <w:r>
        <w:rPr>
          <w:rFonts w:ascii="Times New Roman" w:cs="Times New Roman" w:eastAsia="Times New Roman" w:hAnsi="Times New Roman"/>
          <w:sz w:val="19"/>
          <w:szCs w:val="19"/>
        </w:rPr>
        <w:t xml:space="preserve">. Representation geometry. t-SNE projections of raw 62-electrode differential-entropy features (top) and CLISA-EWU 62-electrode encoder embeddings (bottom), coloured by participant (left) and emotion (right). The embedding model is from the best run, and 14 of the 15 participants contributed labelled training data to it, so the emotion structure should be interpreted qualitatively.</w:t>
      </w:r>
    </w:p>
    <w:p>
      <w:pPr>
        <w:pStyle w:val="Heading2"/>
        <w:keepNext/>
        <w:spacing w:after="40" w:before="220"/>
        <w:ind w:left="1700"/>
      </w:pPr>
      <w:r>
        <w:rPr>
          <w:rFonts w:ascii="Arial" w:cs="Arial" w:eastAsia="Arial" w:hAnsi="Arial"/>
          <w:b/>
          <w:bCs/>
          <w:color w:val="000000"/>
          <w:sz w:val="21"/>
          <w:szCs w:val="21"/>
        </w:rPr>
        <w:t xml:space="preserve">4.12 Secondary analyses</w:t>
      </w:r>
    </w:p>
    <w:p>
      <w:pPr>
        <w:spacing w:after="0" w:line="252"/>
        <w:ind w:left="1700" w:firstLine="0"/>
        <w:jc w:val="both"/>
      </w:pPr>
      <w:r>
        <w:rPr>
          <w:rFonts w:ascii="Times New Roman" w:cs="Times New Roman" w:eastAsia="Times New Roman" w:hAnsi="Times New Roman"/>
          <w:sz w:val="20"/>
          <w:szCs w:val="20"/>
        </w:rPr>
        <w:t xml:space="preserve">The DANCE teacher–student pair was included as a secondary reference. Its calibrated accuracy was 0.519 (teacher, 62 electrodes) and 0.571 (student, six electrodes). An ablation of the DANCE framework is shown in Fig. 20; four of its variants produced identical results, indicating that the corresponding options were not applied, so this ablation should be regarded as incomplete </w:t>
      </w:r>
      <w:r>
        <w:rPr>
          <w:rFonts w:ascii="Times New Roman" w:cs="Times New Roman" w:eastAsia="Times New Roman" w:hAnsi="Times New Roman"/>
          <w:sz w:val="20"/>
          <w:szCs w:val="20"/>
          <w:highlight w:val="yellow"/>
          <w:highlightCs w:val="yellow"/>
        </w:rPr>
        <w:t xml:space="preserve">[re-run, and add a CLISA-EWU ablation: no pretraining, noise-only, masking-only, temperature]</w:t>
      </w:r>
      <w:r>
        <w:rPr>
          <w:rFonts w:ascii="Times New Roman" w:cs="Times New Roman" w:eastAsia="Times New Roman" w:hAnsi="Times New Roman"/>
          <w:sz w:val="20"/>
          <w:szCs w:val="20"/>
        </w:rPr>
        <w:t xml:space="preserve">. A software prototype, NeuroSync, displays signal traces, band power, predicted state and class probabilities from the trained model (Fig. 21); it was demonstrated on a synthetic replay session and has not been validated on live wearable recordings.</w:t>
      </w:r>
    </w:p>
    <w:p>
      <w:pPr>
        <w:keepNext/>
        <w:spacing w:before="240"/>
        <w:jc w:val="center"/>
      </w:pPr>
      <w:r>
        <w:drawing>
          <wp:inline distT="0" distB="0" distL="0" distR="0">
            <wp:extent cx="6096000" cy="3505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6096000" cy="3505200"/>
                    </a:xfrm>
                    <a:prstGeom prst="rect">
                      <a:avLst/>
                    </a:prstGeom>
                  </pic:spPr>
                </pic:pic>
              </a:graphicData>
            </a:graphic>
          </wp:inline>
        </w:drawing>
      </w:r>
    </w:p>
    <w:p>
      <w:pPr>
        <w:pBdr>
          <w:bottom w:val="dotted" w:color="A6A6A6" w:sz="6" w:space="6"/>
        </w:pBdr>
        <w:spacing w:after="360" w:before="120" w:line="240"/>
        <w:ind w:left="1700"/>
        <w:jc w:val="left"/>
      </w:pPr>
      <w:r>
        <w:rPr>
          <w:rFonts w:ascii="Times New Roman" w:cs="Times New Roman" w:eastAsia="Times New Roman" w:hAnsi="Times New Roman"/>
          <w:b/>
          <w:bCs/>
          <w:sz w:val="19"/>
          <w:szCs w:val="19"/>
        </w:rPr>
        <w:t xml:space="preserve">Fig. 20</w:t>
      </w:r>
      <w:r>
        <w:rPr>
          <w:rFonts w:ascii="Times New Roman" w:cs="Times New Roman" w:eastAsia="Times New Roman" w:hAnsi="Times New Roman"/>
          <w:sz w:val="19"/>
          <w:szCs w:val="19"/>
        </w:rPr>
        <w:t xml:space="preserve">. Ablation of the DANCE teacher–student framework (secondary comparator). Calibrated accuracy (mean ± s.d. over three seeds) of 11 DANCE variants under a reduced protocol. Four variants produced identical values, indicating that their options were not applied; this ablation is incomplete and does not concern CLISA-EWU. The axis label ‘balanced accuracy’ in this thesis figure denotes accuracy (see Methods). </w:t>
      </w:r>
      <w:r>
        <w:rPr>
          <w:rFonts w:ascii="Times New Roman" w:cs="Times New Roman" w:eastAsia="Times New Roman" w:hAnsi="Times New Roman"/>
          <w:sz w:val="19"/>
          <w:szCs w:val="19"/>
          <w:highlight w:val="yellow"/>
          <w:highlightCs w:val="yellow"/>
        </w:rPr>
        <w:t xml:space="preserve">[Re-run before submission.]</w:t>
      </w:r>
    </w:p>
    <w:p>
      <w:pPr>
        <w:keepNext/>
        <w:spacing w:before="240"/>
        <w:jc w:val="center"/>
      </w:pPr>
      <w:r>
        <w:drawing>
          <wp:inline distT="0" distB="0" distL="0" distR="0">
            <wp:extent cx="6096000" cy="3829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6096000" cy="3829050"/>
                    </a:xfrm>
                    <a:prstGeom prst="rect">
                      <a:avLst/>
                    </a:prstGeom>
                  </pic:spPr>
                </pic:pic>
              </a:graphicData>
            </a:graphic>
          </wp:inline>
        </w:drawing>
      </w:r>
    </w:p>
    <w:p>
      <w:pPr>
        <w:pBdr>
          <w:bottom w:val="dotted" w:color="A6A6A6" w:sz="6" w:space="6"/>
        </w:pBdr>
        <w:spacing w:after="360" w:before="120" w:line="240"/>
        <w:ind w:left="1700"/>
        <w:jc w:val="left"/>
      </w:pPr>
      <w:r>
        <w:rPr>
          <w:rFonts w:ascii="Times New Roman" w:cs="Times New Roman" w:eastAsia="Times New Roman" w:hAnsi="Times New Roman"/>
          <w:b/>
          <w:bCs/>
          <w:sz w:val="19"/>
          <w:szCs w:val="19"/>
        </w:rPr>
        <w:t xml:space="preserve">Fig. 21</w:t>
      </w:r>
      <w:r>
        <w:rPr>
          <w:rFonts w:ascii="Times New Roman" w:cs="Times New Roman" w:eastAsia="Times New Roman" w:hAnsi="Times New Roman"/>
          <w:sz w:val="19"/>
          <w:szCs w:val="19"/>
        </w:rPr>
        <w:t xml:space="preserve">. NeuroSync dashboard prototype. Signal traces, frequency-band activity, predicted state with confidence and class probabilities produced by the trained model during a synthetic replay session. Software demonstration only; not validated on live wearable recordings.</w:t>
      </w:r>
    </w:p>
    <w:p>
      <w:pPr>
        <w:pStyle w:val="Heading2"/>
        <w:keepNext/>
        <w:spacing w:after="40" w:before="220"/>
        <w:ind w:left="1700"/>
      </w:pPr>
      <w:r>
        <w:rPr>
          <w:rFonts w:ascii="Arial" w:cs="Arial" w:eastAsia="Arial" w:hAnsi="Arial"/>
          <w:b/>
          <w:bCs/>
          <w:color w:val="000000"/>
          <w:sz w:val="21"/>
          <w:szCs w:val="21"/>
        </w:rPr>
        <w:t xml:space="preserve">4.13 Comparison with published studies</w:t>
      </w:r>
    </w:p>
    <w:p>
      <w:pPr>
        <w:spacing w:after="0" w:line="252"/>
        <w:ind w:left="1700" w:firstLine="0"/>
        <w:jc w:val="both"/>
      </w:pPr>
      <w:r>
        <w:rPr>
          <w:rFonts w:ascii="Times New Roman" w:cs="Times New Roman" w:eastAsia="Times New Roman" w:hAnsi="Times New Roman"/>
          <w:sz w:val="20"/>
          <w:szCs w:val="20"/>
        </w:rPr>
        <w:t xml:space="preserve">The calibrated mean of CLISA-EWU (67.8%) lies within the range of published cross-participant SEED-IV results (Table 1), and the zero-shot mean (48.5%) lies below it. Because the published values differ in their use of target-participant data and in reporting unit, they cannot be ranked against the present results; a fair comparison requires re-evaluating published architectures under both protocols used here.</w:t>
      </w:r>
    </w:p>
    <w:p>
      <w:pPr>
        <w:pStyle w:val="Heading2"/>
        <w:keepNext/>
        <w:spacing w:after="40" w:before="220"/>
        <w:ind w:left="1700"/>
      </w:pPr>
      <w:r>
        <w:rPr>
          <w:rFonts w:ascii="Arial" w:cs="Arial" w:eastAsia="Arial" w:hAnsi="Arial"/>
          <w:b/>
          <w:bCs/>
          <w:color w:val="000000"/>
          <w:sz w:val="21"/>
          <w:szCs w:val="21"/>
        </w:rPr>
        <w:t xml:space="preserve">4.14 Implications</w:t>
      </w:r>
    </w:p>
    <w:p>
      <w:pPr>
        <w:spacing w:after="0" w:line="252"/>
        <w:ind w:left="1700" w:firstLine="0"/>
        <w:jc w:val="both"/>
      </w:pPr>
      <w:r>
        <w:rPr>
          <w:rFonts w:ascii="Times New Roman" w:cs="Times New Roman" w:eastAsia="Times New Roman" w:hAnsi="Times New Roman"/>
          <w:sz w:val="20"/>
          <w:szCs w:val="20"/>
        </w:rPr>
        <w:t xml:space="preserve">These findings change how cross-participant results should be read. Much of the published progress on SEED-IV has been attributed to architectural innovation, yet our results suggest that the protocol, and specifically whether and how target-participant data are used, may explain as much variance as the architecture. Under calibration, the ordering of model families inverted: supervised networks that matched self-supervised models zero-shot fell far behind them. Comparisons that mix zero-shot, transductive and calibrated results, or that compare a best fold with another study's mean, are therefore uninterpretable. We recommend that cross-participant EEG studies report zero-shot and calibrated results separately, specify the number and selection of calibration samples, keep calibration and test trials disjoint, and summarise results at the participant level with confidence intervals</w:t>
      </w:r>
      <w:r>
        <w:rPr>
          <w:rFonts w:ascii="Times New Roman" w:cs="Times New Roman" w:eastAsia="Times New Roman" w:hAnsi="Times New Roman"/>
          <w:color w:val="1F4E9A"/>
          <w:sz w:val="20"/>
          <w:szCs w:val="20"/>
          <w:vertAlign w:val="superscript"/>
        </w:rPr>
        <w:t xml:space="preserve">17,54</w:t>
      </w:r>
      <w:r>
        <w:rPr>
          <w:rFonts w:ascii="Times New Roman" w:cs="Times New Roman" w:eastAsia="Times New Roman" w:hAnsi="Times New Roman"/>
          <w:sz w:val="20"/>
          <w:szCs w:val="20"/>
        </w:rPr>
        <w:t xml:space="preserve">.</w:t>
      </w:r>
    </w:p>
    <w:p>
      <w:pPr>
        <w:spacing w:after="0" w:line="252"/>
        <w:ind w:left="1700" w:firstLine="240"/>
        <w:jc w:val="both"/>
      </w:pPr>
      <w:r>
        <w:rPr>
          <w:rFonts w:ascii="Times New Roman" w:cs="Times New Roman" w:eastAsia="Times New Roman" w:hAnsi="Times New Roman"/>
          <w:sz w:val="20"/>
          <w:szCs w:val="20"/>
        </w:rPr>
        <w:t xml:space="preserve">The practical message for wearable affective computing is cautiously positive. A short calibration session is acceptable in most consumer and research workflows, and a headband carrying frontal and temporal electrodes appears to keep most of the decodable signal under calibration. That some self-supervised models lost nothing from electrode reduction suggests that the frontal–temporal subset contains much of the information these models exploit, consistent with the established role of frontal activity in affect</w:t>
      </w:r>
      <w:r>
        <w:rPr>
          <w:rFonts w:ascii="Times New Roman" w:cs="Times New Roman" w:eastAsia="Times New Roman" w:hAnsi="Times New Roman"/>
          <w:color w:val="1F4E9A"/>
          <w:sz w:val="20"/>
          <w:szCs w:val="20"/>
          <w:vertAlign w:val="superscript"/>
        </w:rPr>
        <w:t xml:space="preserve">3</w:t>
      </w:r>
      <w:r>
        <w:rPr>
          <w:rFonts w:ascii="Times New Roman" w:cs="Times New Roman" w:eastAsia="Times New Roman" w:hAnsi="Times New Roman"/>
          <w:sz w:val="20"/>
          <w:szCs w:val="20"/>
        </w:rPr>
        <w:t xml:space="preserve">. The attribution analysis indicates where the six-electrode montage falls short: fear relied on parieto-occipital electrodes outside the subset, and fear recall dropped most. A seven- or eight-electrode montage adding a parieto-occipital site is a natural next design to test. Nevertheless, the absolute calibrated accuracy (about 62% for four classes with six electrodes) and the large between-participant spread mean that individual predictions remain unreliable, and the system is not suitable for clinical decisions.</w:t>
      </w:r>
    </w:p>
    <w:p>
      <w:pPr>
        <w:pStyle w:val="Heading2"/>
        <w:keepNext/>
        <w:spacing w:after="40" w:before="220"/>
        <w:ind w:left="1700"/>
      </w:pPr>
      <w:r>
        <w:rPr>
          <w:rFonts w:ascii="Arial" w:cs="Arial" w:eastAsia="Arial" w:hAnsi="Arial"/>
          <w:b/>
          <w:bCs/>
          <w:color w:val="000000"/>
          <w:sz w:val="21"/>
          <w:szCs w:val="21"/>
        </w:rPr>
        <w:t xml:space="preserve">4.15 Limitations</w:t>
      </w:r>
    </w:p>
    <w:p>
      <w:pPr>
        <w:spacing w:after="0" w:line="252"/>
        <w:ind w:left="1700" w:firstLine="0"/>
        <w:jc w:val="both"/>
      </w:pPr>
      <w:r>
        <w:rPr>
          <w:rFonts w:ascii="Times New Roman" w:cs="Times New Roman" w:eastAsia="Times New Roman" w:hAnsi="Times New Roman"/>
          <w:sz w:val="20"/>
          <w:szCs w:val="20"/>
        </w:rPr>
        <w:t xml:space="preserve">This study has limitations. The cohort was small (15 participants), healthy and drawn from one laboratory, and emotions were elicited with film clips under controlled conditions; generalisation to other populations, naturalistic settings and clinical groups is unknown</w:t>
      </w:r>
      <w:r>
        <w:rPr>
          <w:rFonts w:ascii="Times New Roman" w:cs="Times New Roman" w:eastAsia="Times New Roman" w:hAnsi="Times New Roman"/>
          <w:color w:val="1F4E9A"/>
          <w:sz w:val="20"/>
          <w:szCs w:val="20"/>
          <w:vertAlign w:val="superscript"/>
        </w:rPr>
        <w:t xml:space="preserve">3,24,25</w:t>
      </w:r>
      <w:r>
        <w:rPr>
          <w:rFonts w:ascii="Times New Roman" w:cs="Times New Roman" w:eastAsia="Times New Roman" w:hAnsi="Times New Roman"/>
          <w:sz w:val="20"/>
          <w:szCs w:val="20"/>
        </w:rPr>
        <w:t xml:space="preserve">. The six-electrode montage was simulated by selecting channels from a laboratory cap rather than recorded with a wearable device. Calibration windows were sampled across trials, so calibration and test windows could share a trial, which may have inflated calibrated accuracy</w:t>
      </w:r>
      <w:r>
        <w:rPr>
          <w:rFonts w:ascii="Times New Roman" w:cs="Times New Roman" w:eastAsia="Times New Roman" w:hAnsi="Times New Roman"/>
          <w:color w:val="1F4E9A"/>
          <w:sz w:val="20"/>
          <w:szCs w:val="20"/>
          <w:vertAlign w:val="superscript"/>
        </w:rPr>
        <w:t xml:space="preserve">18</w:t>
      </w:r>
      <w:r>
        <w:rPr>
          <w:rFonts w:ascii="Times New Roman" w:cs="Times New Roman" w:eastAsia="Times New Roman" w:hAnsi="Times New Roman"/>
          <w:sz w:val="20"/>
          <w:szCs w:val="20"/>
        </w:rPr>
        <w:t xml:space="preserve">. Labels were assigned per film clip rather than per moment. We used precomputed features, so preprocessing choices could not be varied, and hyperparameters were not tuned separately for each model. Finally, the contrastive model contrasted augmented views of single windows rather than aligning participants explicitly, so its gains should not be attributed to inter-participant alignment.</w:t>
      </w:r>
    </w:p>
    <w:p>
      <w:pPr>
        <w:pStyle w:val="Heading1"/>
        <w:keepNext/>
        <w:spacing w:after="40" w:before="300"/>
        <w:ind w:left="1700"/>
      </w:pPr>
      <w:r>
        <w:rPr>
          <w:rFonts w:ascii="Arial" w:cs="Arial" w:eastAsia="Arial" w:hAnsi="Arial"/>
          <w:b/>
          <w:bCs/>
          <w:color w:val="000000"/>
          <w:sz w:val="26"/>
          <w:szCs w:val="26"/>
        </w:rPr>
        <w:t xml:space="preserve">5 Conclusion and Future Work</w:t>
      </w:r>
    </w:p>
    <w:p>
      <w:pPr>
        <w:spacing w:after="0" w:line="252"/>
        <w:ind w:left="1700" w:firstLine="0"/>
        <w:jc w:val="both"/>
      </w:pPr>
      <w:r>
        <w:rPr>
          <w:rFonts w:ascii="Times New Roman" w:cs="Times New Roman" w:eastAsia="Times New Roman" w:hAnsi="Times New Roman"/>
          <w:sz w:val="20"/>
          <w:szCs w:val="20"/>
        </w:rPr>
        <w:t xml:space="preserve">In this benchmark of 26 models under one leave-one-participant-out protocol, three findings stand out. First, decoding four emotions in an unseen participant without any of their data was modest for every model, and the deep architectures, including the contrastive model of primary interest, did not clearly outperform a two-layer perceptron. Second, about 80 s of labelled calibration data raised accuracy by roughly 20 percentage points, but only for models trained with contrastive, domain-adversarial or pseudo-label objectives. Third, a six-electrode frontal–temporal montage retained about nine-tenths of calibrated full-montage performance. In a controlled participant-independent benchmark, brief labelled calibration rather than architecture accounted for most of the measurable gain in EEG emotion recognition, and a six-electrode wearable-compatible montage retained about 91% of calibrated performance. Rigorous separation of zero-shot and calibrated evaluation, external validation and real wearable recordings are the next steps towards dependable EEG-based affect sensing.</w:t>
      </w:r>
    </w:p>
    <w:p>
      <w:pPr>
        <w:spacing w:after="0" w:line="252"/>
        <w:ind w:left="1700" w:firstLine="240"/>
        <w:jc w:val="both"/>
      </w:pPr>
      <w:r>
        <w:rPr>
          <w:rFonts w:ascii="Times New Roman" w:cs="Times New Roman" w:eastAsia="Times New Roman" w:hAnsi="Times New Roman"/>
          <w:sz w:val="20"/>
          <w:szCs w:val="20"/>
        </w:rPr>
        <w:t xml:space="preserve">Future work will address the limitations identified above:</w:t>
      </w:r>
    </w:p>
    <w:p>
      <w:pPr>
        <w:pStyle w:val="ListParagraph"/>
        <w:numPr>
          <w:ilvl w:val="0"/>
          <w:numId w:val="3"/>
        </w:numPr>
        <w:spacing w:after="40" w:before="40" w:line="252"/>
        <w:jc w:val="both"/>
      </w:pPr>
      <w:r>
        <w:rPr>
          <w:rFonts w:ascii="Times New Roman" w:cs="Times New Roman" w:eastAsia="Times New Roman" w:hAnsi="Times New Roman"/>
          <w:sz w:val="20"/>
          <w:szCs w:val="20"/>
        </w:rPr>
        <w:t xml:space="preserve">External validation on SEED, SEED-V and FACED, and training on SEED-IV with testing on these datasets without retraining</w:t>
      </w:r>
      <w:r>
        <w:rPr>
          <w:rFonts w:ascii="Times New Roman" w:cs="Times New Roman" w:eastAsia="Times New Roman" w:hAnsi="Times New Roman"/>
          <w:color w:val="1F4E9A"/>
          <w:sz w:val="20"/>
          <w:szCs w:val="20"/>
          <w:vertAlign w:val="superscript"/>
        </w:rPr>
        <w:t xml:space="preserve">3,24,25</w:t>
      </w:r>
      <w:r>
        <w:rPr>
          <w:rFonts w:ascii="Times New Roman" w:cs="Times New Roman" w:eastAsia="Times New Roman" w:hAnsi="Times New Roman"/>
          <w:sz w:val="20"/>
          <w:szCs w:val="20"/>
        </w:rPr>
        <w:t xml:space="preserve">.</w:t>
      </w:r>
    </w:p>
    <w:p>
      <w:pPr>
        <w:pStyle w:val="ListParagraph"/>
        <w:numPr>
          <w:ilvl w:val="0"/>
          <w:numId w:val="3"/>
        </w:numPr>
        <w:spacing w:after="40" w:before="40" w:line="252"/>
        <w:jc w:val="both"/>
      </w:pPr>
      <w:r>
        <w:rPr>
          <w:rFonts w:ascii="Times New Roman" w:cs="Times New Roman" w:eastAsia="Times New Roman" w:hAnsi="Times New Roman"/>
          <w:sz w:val="20"/>
          <w:szCs w:val="20"/>
        </w:rPr>
        <w:t xml:space="preserve">A trial-held-out calibration protocol (calibrate on session 1, test on sessions 2–3) and a calibration-budget curve of 5–200 windows to remove the trial-overlap optimism of the present calibration.</w:t>
      </w:r>
    </w:p>
    <w:p>
      <w:pPr>
        <w:pStyle w:val="ListParagraph"/>
        <w:numPr>
          <w:ilvl w:val="0"/>
          <w:numId w:val="3"/>
        </w:numPr>
        <w:spacing w:after="40" w:before="40" w:line="252"/>
        <w:jc w:val="both"/>
      </w:pPr>
      <w:r>
        <w:rPr>
          <w:rFonts w:ascii="Times New Roman" w:cs="Times New Roman" w:eastAsia="Times New Roman" w:hAnsi="Times New Roman"/>
          <w:sz w:val="20"/>
          <w:szCs w:val="20"/>
        </w:rPr>
        <w:t xml:space="preserve">An ablation that calibrates only batch-normalisation statistics, only the classifier, or all parameters, to identify the mechanism behind the objective-dependent calibration gain.</w:t>
      </w:r>
    </w:p>
    <w:p>
      <w:pPr>
        <w:pStyle w:val="ListParagraph"/>
        <w:numPr>
          <w:ilvl w:val="0"/>
          <w:numId w:val="3"/>
        </w:numPr>
        <w:spacing w:after="40" w:before="40" w:line="252"/>
        <w:jc w:val="both"/>
      </w:pPr>
      <w:r>
        <w:rPr>
          <w:rFonts w:ascii="Times New Roman" w:cs="Times New Roman" w:eastAsia="Times New Roman" w:hAnsi="Times New Roman"/>
          <w:sz w:val="20"/>
          <w:szCs w:val="20"/>
        </w:rPr>
        <w:t xml:space="preserve">A true inter-participant contrastive objective with stimulus-aligned positives from different participants, to test whether zero-shot accuracy can be improved.</w:t>
      </w:r>
    </w:p>
    <w:p>
      <w:pPr>
        <w:pStyle w:val="ListParagraph"/>
        <w:numPr>
          <w:ilvl w:val="0"/>
          <w:numId w:val="3"/>
        </w:numPr>
        <w:spacing w:after="40" w:before="40" w:line="252"/>
        <w:jc w:val="both"/>
      </w:pPr>
      <w:r>
        <w:rPr>
          <w:rFonts w:ascii="Times New Roman" w:cs="Times New Roman" w:eastAsia="Times New Roman" w:hAnsi="Times New Roman"/>
          <w:sz w:val="20"/>
          <w:szCs w:val="20"/>
        </w:rPr>
        <w:t xml:space="preserve">A seven- or eight-electrode montage that adds a parieto-occipital site, motivated by the attribution results for fear.</w:t>
      </w:r>
    </w:p>
    <w:p>
      <w:pPr>
        <w:pStyle w:val="ListParagraph"/>
        <w:numPr>
          <w:ilvl w:val="0"/>
          <w:numId w:val="3"/>
        </w:numPr>
        <w:spacing w:after="40" w:before="40" w:line="252"/>
        <w:jc w:val="both"/>
      </w:pPr>
      <w:r>
        <w:rPr>
          <w:rFonts w:ascii="Times New Roman" w:cs="Times New Roman" w:eastAsia="Times New Roman" w:hAnsi="Times New Roman"/>
          <w:sz w:val="20"/>
          <w:szCs w:val="20"/>
        </w:rPr>
        <w:t xml:space="preserve">Recording a new cohort with a dry-electrode wearable headband and real-time deployment of the NeuroSync interface, followed by studies in clinically relevant populations.</w:t>
      </w:r>
    </w:p>
    <w:p>
      <w:pPr>
        <w:pStyle w:val="Heading1"/>
        <w:keepNext/>
        <w:spacing w:after="40" w:before="300"/>
        <w:ind w:left="1700"/>
      </w:pPr>
      <w:r>
        <w:rPr>
          <w:rFonts w:ascii="Arial" w:cs="Arial" w:eastAsia="Arial" w:hAnsi="Arial"/>
          <w:b/>
          <w:bCs/>
          <w:color w:val="000000"/>
          <w:sz w:val="26"/>
          <w:szCs w:val="26"/>
        </w:rPr>
        <w:t xml:space="preserve">Data availability</w:t>
      </w:r>
    </w:p>
    <w:p>
      <w:pPr>
        <w:spacing w:after="0" w:line="252"/>
        <w:ind w:left="1700" w:firstLine="0"/>
        <w:jc w:val="both"/>
      </w:pPr>
      <w:r>
        <w:rPr>
          <w:rFonts w:ascii="Times New Roman" w:cs="Times New Roman" w:eastAsia="Times New Roman" w:hAnsi="Times New Roman"/>
          <w:sz w:val="20"/>
          <w:szCs w:val="20"/>
        </w:rPr>
        <w:t xml:space="preserve">The SEED-IV dataset is available from its providers under their licence at https://bcmi.sjtu.edu.cn/home/seed/. Data splits, per-fold predictions, confusion matrices and result tables are available at https://github.com/saifkhancse/clisa-ewu-brain-informatics </w:t>
      </w:r>
      <w:r>
        <w:rPr>
          <w:rFonts w:ascii="Times New Roman" w:cs="Times New Roman" w:eastAsia="Times New Roman" w:hAnsi="Times New Roman"/>
          <w:sz w:val="20"/>
          <w:szCs w:val="20"/>
          <w:highlight w:val="yellow"/>
          <w:highlightCs w:val="yellow"/>
        </w:rPr>
        <w:t xml:space="preserve">[archive a tagged release on Zenodo and cite its DOI]</w:t>
      </w:r>
      <w:r>
        <w:rPr>
          <w:rFonts w:ascii="Times New Roman" w:cs="Times New Roman" w:eastAsia="Times New Roman" w:hAnsi="Times New Roman"/>
          <w:sz w:val="20"/>
          <w:szCs w:val="20"/>
        </w:rPr>
        <w:t xml:space="preserve">.</w:t>
      </w:r>
    </w:p>
    <w:p>
      <w:pPr>
        <w:pStyle w:val="Heading1"/>
        <w:keepNext/>
        <w:spacing w:after="40" w:before="300"/>
        <w:ind w:left="1700"/>
      </w:pPr>
      <w:r>
        <w:rPr>
          <w:rFonts w:ascii="Arial" w:cs="Arial" w:eastAsia="Arial" w:hAnsi="Arial"/>
          <w:b/>
          <w:bCs/>
          <w:color w:val="000000"/>
          <w:sz w:val="26"/>
          <w:szCs w:val="26"/>
        </w:rPr>
        <w:t xml:space="preserve">Code availability</w:t>
      </w:r>
    </w:p>
    <w:p>
      <w:pPr>
        <w:spacing w:after="0" w:line="252"/>
        <w:ind w:left="1700" w:firstLine="0"/>
        <w:jc w:val="both"/>
      </w:pPr>
      <w:r>
        <w:rPr>
          <w:rFonts w:ascii="Times New Roman" w:cs="Times New Roman" w:eastAsia="Times New Roman" w:hAnsi="Times New Roman"/>
          <w:sz w:val="20"/>
          <w:szCs w:val="20"/>
        </w:rPr>
        <w:t xml:space="preserve">Model, training, evaluation and analysis code, including the scripts that regenerate every statistic and figure in this paper, is available at https://github.com/saifkhancse/clisa-ewu-brain-informatics.</w:t>
      </w:r>
    </w:p>
    <w:p>
      <w:pPr>
        <w:pStyle w:val="Heading1"/>
        <w:keepNext/>
        <w:spacing w:after="40" w:before="300"/>
        <w:ind w:left="1700"/>
      </w:pPr>
      <w:r>
        <w:rPr>
          <w:rFonts w:ascii="Arial" w:cs="Arial" w:eastAsia="Arial" w:hAnsi="Arial"/>
          <w:b/>
          <w:bCs/>
          <w:color w:val="000000"/>
          <w:sz w:val="26"/>
          <w:szCs w:val="26"/>
        </w:rPr>
        <w:t xml:space="preserve">References</w:t>
      </w:r>
    </w:p>
    <w:p>
      <w:pPr>
        <w:pStyle w:val="ListParagraph"/>
        <w:numPr>
          <w:ilvl w:val="0"/>
          <w:numId w:val="4"/>
        </w:numPr>
        <w:spacing w:after="20" w:line="230"/>
        <w:jc w:val="left"/>
      </w:pPr>
      <w:r>
        <w:rPr>
          <w:rFonts w:ascii="Times New Roman" w:cs="Times New Roman" w:eastAsia="Times New Roman" w:hAnsi="Times New Roman"/>
          <w:sz w:val="17"/>
          <w:szCs w:val="17"/>
        </w:rPr>
        <w:t xml:space="preserve">Russell, J. A. A circumplex model of affect. J. Pers. Soc. Psychol. 39, 1161–1178 (1980).</w:t>
      </w:r>
    </w:p>
    <w:p>
      <w:pPr>
        <w:pStyle w:val="ListParagraph"/>
        <w:numPr>
          <w:ilvl w:val="0"/>
          <w:numId w:val="4"/>
        </w:numPr>
        <w:spacing w:after="20" w:line="230"/>
        <w:jc w:val="left"/>
      </w:pPr>
      <w:r>
        <w:rPr>
          <w:rFonts w:ascii="Times New Roman" w:cs="Times New Roman" w:eastAsia="Times New Roman" w:hAnsi="Times New Roman"/>
          <w:sz w:val="17"/>
          <w:szCs w:val="17"/>
        </w:rPr>
        <w:t xml:space="preserve">Zheng, W.-L., Liu, W., Lu, Y., Lu, B.-L. &amp; Cichocki, A. EmotionMeter: a multimodal framework for recognizing human emotions. IEEE Trans. Cybern. 49, 1110–1122 (2019).</w:t>
      </w:r>
    </w:p>
    <w:p>
      <w:pPr>
        <w:pStyle w:val="ListParagraph"/>
        <w:numPr>
          <w:ilvl w:val="0"/>
          <w:numId w:val="4"/>
        </w:numPr>
        <w:spacing w:after="20" w:line="230"/>
        <w:jc w:val="left"/>
      </w:pPr>
      <w:r>
        <w:rPr>
          <w:rFonts w:ascii="Times New Roman" w:cs="Times New Roman" w:eastAsia="Times New Roman" w:hAnsi="Times New Roman"/>
          <w:sz w:val="17"/>
          <w:szCs w:val="17"/>
        </w:rPr>
        <w:t xml:space="preserve">Zheng, W.-L. &amp; Lu, B.-L. Investigating critical frequency bands and channels for EEG-based emotion recognition with deep neural networks. IEEE Trans. Auton. Ment. Dev. 7, 162–175 (2015).</w:t>
      </w:r>
    </w:p>
    <w:p>
      <w:pPr>
        <w:pStyle w:val="ListParagraph"/>
        <w:numPr>
          <w:ilvl w:val="0"/>
          <w:numId w:val="4"/>
        </w:numPr>
        <w:spacing w:after="20" w:line="230"/>
        <w:jc w:val="left"/>
      </w:pPr>
      <w:r>
        <w:rPr>
          <w:rFonts w:ascii="Times New Roman" w:cs="Times New Roman" w:eastAsia="Times New Roman" w:hAnsi="Times New Roman"/>
          <w:sz w:val="17"/>
          <w:szCs w:val="17"/>
        </w:rPr>
        <w:t xml:space="preserve">Koelstra, S. et al. DEAP: a database for emotion analysis using physiological signals. IEEE Trans. Affect. Comput. 3, 18–31 (2012).</w:t>
      </w:r>
    </w:p>
    <w:p>
      <w:pPr>
        <w:pStyle w:val="ListParagraph"/>
        <w:numPr>
          <w:ilvl w:val="0"/>
          <w:numId w:val="4"/>
        </w:numPr>
        <w:spacing w:after="20" w:line="230"/>
        <w:jc w:val="left"/>
      </w:pPr>
      <w:r>
        <w:rPr>
          <w:rFonts w:ascii="Times New Roman" w:cs="Times New Roman" w:eastAsia="Times New Roman" w:hAnsi="Times New Roman"/>
          <w:sz w:val="17"/>
          <w:szCs w:val="17"/>
        </w:rPr>
        <w:t xml:space="preserve">Shen, X., Liu, X., Hu, X., Zhang, D. &amp; Song, S. Contrastive learning of subject-invariant EEG representations for cross-subject emotion recognition. IEEE Trans. Affect. Comput. https://doi.org/10.1109/TAFFC.2022.3164516 (2022). </w:t>
      </w:r>
      <w:r>
        <w:rPr>
          <w:rFonts w:ascii="Times New Roman" w:cs="Times New Roman" w:eastAsia="Times New Roman" w:hAnsi="Times New Roman"/>
          <w:sz w:val="17"/>
          <w:szCs w:val="17"/>
          <w:highlight w:val="yellow"/>
          <w:highlightCs w:val="yellow"/>
        </w:rPr>
        <w:t xml:space="preserve">[verify author list]</w:t>
      </w:r>
    </w:p>
    <w:p>
      <w:pPr>
        <w:pStyle w:val="ListParagraph"/>
        <w:numPr>
          <w:ilvl w:val="0"/>
          <w:numId w:val="4"/>
        </w:numPr>
        <w:spacing w:after="20" w:line="230"/>
        <w:jc w:val="left"/>
      </w:pPr>
      <w:r>
        <w:rPr>
          <w:rFonts w:ascii="Times New Roman" w:cs="Times New Roman" w:eastAsia="Times New Roman" w:hAnsi="Times New Roman"/>
          <w:sz w:val="17"/>
          <w:szCs w:val="17"/>
        </w:rPr>
        <w:t xml:space="preserve">Ganin, Y. et al. Domain-adversarial training of neural networks. J. Mach. Learn. Res. 17, 1–35 (2016).</w:t>
      </w:r>
    </w:p>
    <w:p>
      <w:pPr>
        <w:pStyle w:val="ListParagraph"/>
        <w:numPr>
          <w:ilvl w:val="0"/>
          <w:numId w:val="4"/>
        </w:numPr>
        <w:spacing w:after="20" w:line="230"/>
        <w:jc w:val="left"/>
      </w:pPr>
      <w:r>
        <w:rPr>
          <w:rFonts w:ascii="Times New Roman" w:cs="Times New Roman" w:eastAsia="Times New Roman" w:hAnsi="Times New Roman"/>
          <w:sz w:val="17"/>
          <w:szCs w:val="17"/>
        </w:rPr>
        <w:t xml:space="preserve">Li, H., Jin, Y.-M., Zheng, W.-L. &amp; Lu, B.-L. Cross-subject emotion recognition using deep adaptation networks. In Neural Information Processing (ICONIP 2018) 403–413 (Springer, 2018).</w:t>
      </w:r>
    </w:p>
    <w:p>
      <w:pPr>
        <w:pStyle w:val="ListParagraph"/>
        <w:numPr>
          <w:ilvl w:val="0"/>
          <w:numId w:val="4"/>
        </w:numPr>
        <w:spacing w:after="20" w:line="230"/>
        <w:jc w:val="left"/>
      </w:pPr>
      <w:r>
        <w:rPr>
          <w:rFonts w:ascii="Times New Roman" w:cs="Times New Roman" w:eastAsia="Times New Roman" w:hAnsi="Times New Roman"/>
          <w:sz w:val="17"/>
          <w:szCs w:val="17"/>
        </w:rPr>
        <w:t xml:space="preserve">Li, Y., Zheng, W., Cui, Z., Zhang, T. &amp; Zong, Y. A novel neural network model based on cerebral hemispheric asymmetry for EEG emotion recognition. In Proc. IJCAI 1561–1567 (2018).</w:t>
      </w:r>
    </w:p>
    <w:p>
      <w:pPr>
        <w:pStyle w:val="ListParagraph"/>
        <w:numPr>
          <w:ilvl w:val="0"/>
          <w:numId w:val="4"/>
        </w:numPr>
        <w:spacing w:after="20" w:line="230"/>
        <w:jc w:val="left"/>
      </w:pPr>
      <w:r>
        <w:rPr>
          <w:rFonts w:ascii="Times New Roman" w:cs="Times New Roman" w:eastAsia="Times New Roman" w:hAnsi="Times New Roman"/>
          <w:sz w:val="17"/>
          <w:szCs w:val="17"/>
        </w:rPr>
        <w:t xml:space="preserve">Li, Y. et al. A novel bi-hemispheric discrepancy model for EEG emotion recognition. IEEE Trans. Cogn. Dev. Syst. 13, 354–367 (2021).</w:t>
      </w:r>
    </w:p>
    <w:p>
      <w:pPr>
        <w:pStyle w:val="ListParagraph"/>
        <w:numPr>
          <w:ilvl w:val="0"/>
          <w:numId w:val="4"/>
        </w:numPr>
        <w:spacing w:after="20" w:line="230"/>
        <w:jc w:val="left"/>
      </w:pPr>
      <w:r>
        <w:rPr>
          <w:rFonts w:ascii="Times New Roman" w:cs="Times New Roman" w:eastAsia="Times New Roman" w:hAnsi="Times New Roman"/>
          <w:sz w:val="17"/>
          <w:szCs w:val="17"/>
        </w:rPr>
        <w:t xml:space="preserve">Song, T., Zheng, W., Song, P. &amp; Cui, Z. EEG emotion recognition using dynamical graph convolutional neural networks. IEEE Trans. Affect. Comput. 11, 532–541 (2020).</w:t>
      </w:r>
    </w:p>
    <w:p>
      <w:pPr>
        <w:pStyle w:val="ListParagraph"/>
        <w:numPr>
          <w:ilvl w:val="0"/>
          <w:numId w:val="4"/>
        </w:numPr>
        <w:spacing w:after="20" w:line="230"/>
        <w:jc w:val="left"/>
      </w:pPr>
      <w:r>
        <w:rPr>
          <w:rFonts w:ascii="Times New Roman" w:cs="Times New Roman" w:eastAsia="Times New Roman" w:hAnsi="Times New Roman"/>
          <w:sz w:val="17"/>
          <w:szCs w:val="17"/>
        </w:rPr>
        <w:t xml:space="preserve">Zhong, P., Wang, D. &amp; Miao, C. EEG-based emotion recognition using regularized graph neural networks. IEEE Trans. Affect. Comput. 13, 1290–1301 (2022).</w:t>
      </w:r>
    </w:p>
    <w:p>
      <w:pPr>
        <w:pStyle w:val="ListParagraph"/>
        <w:numPr>
          <w:ilvl w:val="0"/>
          <w:numId w:val="4"/>
        </w:numPr>
        <w:spacing w:after="20" w:line="230"/>
        <w:jc w:val="left"/>
      </w:pPr>
      <w:r>
        <w:rPr>
          <w:rFonts w:ascii="Times New Roman" w:cs="Times New Roman" w:eastAsia="Times New Roman" w:hAnsi="Times New Roman"/>
          <w:sz w:val="17"/>
          <w:szCs w:val="17"/>
        </w:rPr>
        <w:t xml:space="preserve">Li, J., Li, S., Pan, J. &amp; Wang, F. Cross-subject EEG emotion recognition with self-organized graph neural network. Front. Neurosci. 15, 611653 (2021).</w:t>
      </w:r>
    </w:p>
    <w:p>
      <w:pPr>
        <w:pStyle w:val="ListParagraph"/>
        <w:numPr>
          <w:ilvl w:val="0"/>
          <w:numId w:val="4"/>
        </w:numPr>
        <w:spacing w:after="20" w:line="230"/>
        <w:jc w:val="left"/>
      </w:pPr>
      <w:r>
        <w:rPr>
          <w:rFonts w:ascii="Times New Roman" w:cs="Times New Roman" w:eastAsia="Times New Roman" w:hAnsi="Times New Roman"/>
          <w:sz w:val="17"/>
          <w:szCs w:val="17"/>
        </w:rPr>
        <w:t xml:space="preserve">Zhang, J. et al. Subject-independent emotion recognition based on EEG frequency band features and self-adaptive graph construction. Brain Sci. 14, 271 (2024).</w:t>
      </w:r>
    </w:p>
    <w:p>
      <w:pPr>
        <w:pStyle w:val="ListParagraph"/>
        <w:numPr>
          <w:ilvl w:val="0"/>
          <w:numId w:val="4"/>
        </w:numPr>
        <w:spacing w:after="20" w:line="230"/>
        <w:jc w:val="left"/>
      </w:pPr>
      <w:r>
        <w:rPr>
          <w:rFonts w:ascii="Times New Roman" w:cs="Times New Roman" w:eastAsia="Times New Roman" w:hAnsi="Times New Roman"/>
          <w:sz w:val="17"/>
          <w:szCs w:val="17"/>
        </w:rPr>
        <w:t xml:space="preserve">Zhang, S., Chu, C., Zhang, X. &amp; Zhang, X. EEG emotion recognition using AttGraph: a multi-dimensional attention-based dynamic graph convolutional network. Brain Sci. 15, 615 (2025).</w:t>
      </w:r>
    </w:p>
    <w:p>
      <w:pPr>
        <w:pStyle w:val="ListParagraph"/>
        <w:numPr>
          <w:ilvl w:val="0"/>
          <w:numId w:val="4"/>
        </w:numPr>
        <w:spacing w:after="20" w:line="230"/>
        <w:jc w:val="left"/>
      </w:pPr>
      <w:r>
        <w:rPr>
          <w:rFonts w:ascii="Times New Roman" w:cs="Times New Roman" w:eastAsia="Times New Roman" w:hAnsi="Times New Roman"/>
          <w:sz w:val="17"/>
          <w:szCs w:val="17"/>
        </w:rPr>
        <w:t xml:space="preserve">Ahuja, C. &amp; Sethia, D. SS-EMERGE: self-supervised enhancement for multidimension emotion recognition using GNNs for EEG. Sci. Rep. 15, 14254 (2025).</w:t>
      </w:r>
    </w:p>
    <w:p>
      <w:pPr>
        <w:pStyle w:val="ListParagraph"/>
        <w:numPr>
          <w:ilvl w:val="0"/>
          <w:numId w:val="4"/>
        </w:numPr>
        <w:spacing w:after="20" w:line="230"/>
        <w:jc w:val="left"/>
      </w:pPr>
      <w:r>
        <w:rPr>
          <w:rFonts w:ascii="Times New Roman" w:cs="Times New Roman" w:eastAsia="Times New Roman" w:hAnsi="Times New Roman"/>
          <w:sz w:val="17"/>
          <w:szCs w:val="17"/>
        </w:rPr>
        <w:t xml:space="preserve">Saeb, S., Lonini, L., Jayaraman, A., Mohr, D. C. &amp; Kording, K. P. The need to approximate the use-case in clinical machine learning. GigaScience 6, 1–9 (2017).</w:t>
      </w:r>
    </w:p>
    <w:p>
      <w:pPr>
        <w:pStyle w:val="ListParagraph"/>
        <w:numPr>
          <w:ilvl w:val="0"/>
          <w:numId w:val="4"/>
        </w:numPr>
        <w:spacing w:after="20" w:line="230"/>
        <w:jc w:val="left"/>
      </w:pPr>
      <w:r>
        <w:rPr>
          <w:rFonts w:ascii="Times New Roman" w:cs="Times New Roman" w:eastAsia="Times New Roman" w:hAnsi="Times New Roman"/>
          <w:sz w:val="17"/>
          <w:szCs w:val="17"/>
        </w:rPr>
        <w:t xml:space="preserve">Kapoor, S. &amp; Narayanan, A. Leakage and the reproducibility crisis in machine-learning-based science. Patterns 4, 100804 (2023).</w:t>
      </w:r>
    </w:p>
    <w:p>
      <w:pPr>
        <w:pStyle w:val="ListParagraph"/>
        <w:numPr>
          <w:ilvl w:val="0"/>
          <w:numId w:val="4"/>
        </w:numPr>
        <w:spacing w:after="20" w:line="230"/>
        <w:jc w:val="left"/>
      </w:pPr>
      <w:r>
        <w:rPr>
          <w:rFonts w:ascii="Times New Roman" w:cs="Times New Roman" w:eastAsia="Times New Roman" w:hAnsi="Times New Roman"/>
          <w:sz w:val="17"/>
          <w:szCs w:val="17"/>
        </w:rPr>
        <w:t xml:space="preserve">Li, R. et al. The perils and pitfalls of block design for EEG classification experiments. IEEE Trans. Pattern Anal. Mach. Intell. 43, 316–333 (2021).</w:t>
      </w:r>
    </w:p>
    <w:p>
      <w:pPr>
        <w:pStyle w:val="ListParagraph"/>
        <w:numPr>
          <w:ilvl w:val="0"/>
          <w:numId w:val="4"/>
        </w:numPr>
        <w:spacing w:after="20" w:line="230"/>
        <w:jc w:val="left"/>
      </w:pPr>
      <w:r>
        <w:rPr>
          <w:rFonts w:ascii="Times New Roman" w:cs="Times New Roman" w:eastAsia="Times New Roman" w:hAnsi="Times New Roman"/>
          <w:sz w:val="17"/>
          <w:szCs w:val="17"/>
        </w:rPr>
        <w:t xml:space="preserve">Katsigiannis, S. &amp; Ramzan, N. DREAMER: a database for emotion recognition through EEG and ECG signals from wireless low-cost off-the-shelf devices. IEEE J. Biomed. Health Inform. 22, 98–107 (2018).</w:t>
      </w:r>
    </w:p>
    <w:p>
      <w:pPr>
        <w:pStyle w:val="ListParagraph"/>
        <w:numPr>
          <w:ilvl w:val="0"/>
          <w:numId w:val="4"/>
        </w:numPr>
        <w:spacing w:after="20" w:line="230"/>
        <w:jc w:val="left"/>
      </w:pPr>
      <w:r>
        <w:rPr>
          <w:rFonts w:ascii="Times New Roman" w:cs="Times New Roman" w:eastAsia="Times New Roman" w:hAnsi="Times New Roman"/>
          <w:sz w:val="17"/>
          <w:szCs w:val="17"/>
        </w:rPr>
        <w:t xml:space="preserve">Davidson, R. J. Anterior cerebral asymmetry and the nature of emotion. Brain Cogn. 20, 125–151 (1992).</w:t>
      </w:r>
    </w:p>
    <w:p>
      <w:pPr>
        <w:pStyle w:val="ListParagraph"/>
        <w:numPr>
          <w:ilvl w:val="0"/>
          <w:numId w:val="4"/>
        </w:numPr>
        <w:spacing w:after="20" w:line="230"/>
        <w:jc w:val="left"/>
      </w:pPr>
      <w:r>
        <w:rPr>
          <w:rFonts w:ascii="Times New Roman" w:cs="Times New Roman" w:eastAsia="Times New Roman" w:hAnsi="Times New Roman"/>
          <w:sz w:val="17"/>
          <w:szCs w:val="17"/>
        </w:rPr>
        <w:t xml:space="preserve">Coan, J. A. &amp; Allen, J. J. B. Frontal EEG asymmetry as a moderator and mediator of emotion. Biol. Psychol. 67, 7–49 (2004).</w:t>
      </w:r>
    </w:p>
    <w:p>
      <w:pPr>
        <w:pStyle w:val="ListParagraph"/>
        <w:numPr>
          <w:ilvl w:val="0"/>
          <w:numId w:val="4"/>
        </w:numPr>
        <w:spacing w:after="20" w:line="230"/>
        <w:jc w:val="left"/>
      </w:pPr>
      <w:r>
        <w:rPr>
          <w:rFonts w:ascii="Times New Roman" w:cs="Times New Roman" w:eastAsia="Times New Roman" w:hAnsi="Times New Roman"/>
          <w:sz w:val="17"/>
          <w:szCs w:val="17"/>
        </w:rPr>
        <w:t xml:space="preserve">Alarcão, S. M. &amp; Fonseca, M. J. Emotions recognition using EEG signals: a survey. IEEE Trans. Affect. Comput. 10, 374–393 (2019).</w:t>
      </w:r>
    </w:p>
    <w:p>
      <w:pPr>
        <w:pStyle w:val="ListParagraph"/>
        <w:numPr>
          <w:ilvl w:val="0"/>
          <w:numId w:val="4"/>
        </w:numPr>
        <w:spacing w:after="20" w:line="230"/>
        <w:jc w:val="left"/>
      </w:pPr>
      <w:r>
        <w:rPr>
          <w:rFonts w:ascii="Times New Roman" w:cs="Times New Roman" w:eastAsia="Times New Roman" w:hAnsi="Times New Roman"/>
          <w:sz w:val="17"/>
          <w:szCs w:val="17"/>
        </w:rPr>
        <w:t xml:space="preserve">Jenke, R., Peer, A. &amp; Buss, M. Feature extraction and selection for emotion recognition from EEG. IEEE Trans. Affect. Comput. 5, 327–339 (2014).</w:t>
      </w:r>
    </w:p>
    <w:p>
      <w:pPr>
        <w:pStyle w:val="ListParagraph"/>
        <w:numPr>
          <w:ilvl w:val="0"/>
          <w:numId w:val="4"/>
        </w:numPr>
        <w:spacing w:after="20" w:line="230"/>
        <w:jc w:val="left"/>
      </w:pPr>
      <w:r>
        <w:rPr>
          <w:rFonts w:ascii="Times New Roman" w:cs="Times New Roman" w:eastAsia="Times New Roman" w:hAnsi="Times New Roman"/>
          <w:sz w:val="17"/>
          <w:szCs w:val="17"/>
        </w:rPr>
        <w:t xml:space="preserve">Liu, W., Qiu, J.-L., Zheng, W.-L. &amp; Lu, B.-L. Comparing recognition performance and robustness of multimodal deep learning models for multimodal emotion recognition. IEEE Trans. Cogn. Dev. Syst. 14, 715–729 (2022).</w:t>
      </w:r>
    </w:p>
    <w:p>
      <w:pPr>
        <w:pStyle w:val="ListParagraph"/>
        <w:numPr>
          <w:ilvl w:val="0"/>
          <w:numId w:val="4"/>
        </w:numPr>
        <w:spacing w:after="20" w:line="230"/>
        <w:jc w:val="left"/>
      </w:pPr>
      <w:r>
        <w:rPr>
          <w:rFonts w:ascii="Times New Roman" w:cs="Times New Roman" w:eastAsia="Times New Roman" w:hAnsi="Times New Roman"/>
          <w:sz w:val="17"/>
          <w:szCs w:val="17"/>
        </w:rPr>
        <w:t xml:space="preserve">Chen, J. et al. A large finer-grained affective computing EEG dataset. Sci. Data 10, 740 (2023).</w:t>
      </w:r>
    </w:p>
    <w:p>
      <w:pPr>
        <w:pStyle w:val="ListParagraph"/>
        <w:numPr>
          <w:ilvl w:val="0"/>
          <w:numId w:val="4"/>
        </w:numPr>
        <w:spacing w:after="20" w:line="230"/>
        <w:jc w:val="left"/>
      </w:pPr>
      <w:r>
        <w:rPr>
          <w:rFonts w:ascii="Times New Roman" w:cs="Times New Roman" w:eastAsia="Times New Roman" w:hAnsi="Times New Roman"/>
          <w:sz w:val="17"/>
          <w:szCs w:val="17"/>
        </w:rPr>
        <w:t xml:space="preserve">Jayaram, V., Alamgir, M., Altun, Y., Schölkopf, B. &amp; Grosse-Wentrup, M. Transfer learning in brain–computer interfaces. IEEE Comput. Intell. Mag. 11, 20–31 (2016).</w:t>
      </w:r>
    </w:p>
    <w:p>
      <w:pPr>
        <w:pStyle w:val="ListParagraph"/>
        <w:numPr>
          <w:ilvl w:val="0"/>
          <w:numId w:val="4"/>
        </w:numPr>
        <w:spacing w:after="20" w:line="230"/>
        <w:jc w:val="left"/>
      </w:pPr>
      <w:r>
        <w:rPr>
          <w:rFonts w:ascii="Times New Roman" w:cs="Times New Roman" w:eastAsia="Times New Roman" w:hAnsi="Times New Roman"/>
          <w:sz w:val="17"/>
          <w:szCs w:val="17"/>
        </w:rPr>
        <w:t xml:space="preserve">Wu, D., Xu, Y. &amp; Lu, B.-L. Transfer learning for EEG-based brain–computer interfaces: a review of progress made since 2016. IEEE Trans. Cogn. Dev. Syst. 14, 4–19 (2022).</w:t>
      </w:r>
    </w:p>
    <w:p>
      <w:pPr>
        <w:pStyle w:val="ListParagraph"/>
        <w:numPr>
          <w:ilvl w:val="0"/>
          <w:numId w:val="4"/>
        </w:numPr>
        <w:spacing w:after="20" w:line="230"/>
        <w:jc w:val="left"/>
      </w:pPr>
      <w:r>
        <w:rPr>
          <w:rFonts w:ascii="Times New Roman" w:cs="Times New Roman" w:eastAsia="Times New Roman" w:hAnsi="Times New Roman"/>
          <w:sz w:val="17"/>
          <w:szCs w:val="17"/>
        </w:rPr>
        <w:t xml:space="preserve">Duan, R.-N., Zhu, J.-Y. &amp; Lu, B.-L. Differential entropy feature for EEG-based emotion classification. In Proc. 6th Int. IEEE/EMBS Conf. Neural Eng. 81–84 (2013).</w:t>
      </w:r>
    </w:p>
    <w:p>
      <w:pPr>
        <w:pStyle w:val="ListParagraph"/>
        <w:numPr>
          <w:ilvl w:val="0"/>
          <w:numId w:val="4"/>
        </w:numPr>
        <w:spacing w:after="20" w:line="230"/>
        <w:jc w:val="left"/>
      </w:pPr>
      <w:r>
        <w:rPr>
          <w:rFonts w:ascii="Times New Roman" w:cs="Times New Roman" w:eastAsia="Times New Roman" w:hAnsi="Times New Roman"/>
          <w:sz w:val="17"/>
          <w:szCs w:val="17"/>
        </w:rPr>
        <w:t xml:space="preserve">Lotte, F. et al. A review of classification algorithms for EEG-based brain–computer interfaces: a 10 year update. J. Neural Eng. 15, 031005 (2018).</w:t>
      </w:r>
    </w:p>
    <w:p>
      <w:pPr>
        <w:pStyle w:val="ListParagraph"/>
        <w:numPr>
          <w:ilvl w:val="0"/>
          <w:numId w:val="4"/>
        </w:numPr>
        <w:spacing w:after="20" w:line="230"/>
        <w:jc w:val="left"/>
      </w:pPr>
      <w:r>
        <w:rPr>
          <w:rFonts w:ascii="Times New Roman" w:cs="Times New Roman" w:eastAsia="Times New Roman" w:hAnsi="Times New Roman"/>
          <w:sz w:val="17"/>
          <w:szCs w:val="17"/>
        </w:rPr>
        <w:t xml:space="preserve">Chen, T. &amp; Guestrin, C. XGBoost: a scalable tree boosting system. In Proc. 22nd ACM SIGKDD 785–794 (2016).</w:t>
      </w:r>
    </w:p>
    <w:p>
      <w:pPr>
        <w:pStyle w:val="ListParagraph"/>
        <w:numPr>
          <w:ilvl w:val="0"/>
          <w:numId w:val="4"/>
        </w:numPr>
        <w:spacing w:after="20" w:line="230"/>
        <w:jc w:val="left"/>
      </w:pPr>
      <w:r>
        <w:rPr>
          <w:rFonts w:ascii="Times New Roman" w:cs="Times New Roman" w:eastAsia="Times New Roman" w:hAnsi="Times New Roman"/>
          <w:sz w:val="17"/>
          <w:szCs w:val="17"/>
        </w:rPr>
        <w:t xml:space="preserve">Craik, A., He, Y. &amp; Contreras-Vidal, J. L. Deep learning for electroencephalogram (EEG) classification tasks: a review. J. Neural Eng. 16, 031001 (2019).</w:t>
      </w:r>
    </w:p>
    <w:p>
      <w:pPr>
        <w:pStyle w:val="ListParagraph"/>
        <w:numPr>
          <w:ilvl w:val="0"/>
          <w:numId w:val="4"/>
        </w:numPr>
        <w:spacing w:after="20" w:line="230"/>
        <w:jc w:val="left"/>
      </w:pPr>
      <w:r>
        <w:rPr>
          <w:rFonts w:ascii="Times New Roman" w:cs="Times New Roman" w:eastAsia="Times New Roman" w:hAnsi="Times New Roman"/>
          <w:sz w:val="17"/>
          <w:szCs w:val="17"/>
        </w:rPr>
        <w:t xml:space="preserve">Roy, Y. et al. Deep learning-based electroencephalography analysis: a systematic review. J. Neural Eng. 16, 051001 (2019).</w:t>
      </w:r>
    </w:p>
    <w:p>
      <w:pPr>
        <w:pStyle w:val="ListParagraph"/>
        <w:numPr>
          <w:ilvl w:val="0"/>
          <w:numId w:val="4"/>
        </w:numPr>
        <w:spacing w:after="20" w:line="230"/>
        <w:jc w:val="left"/>
      </w:pPr>
      <w:r>
        <w:rPr>
          <w:rFonts w:ascii="Times New Roman" w:cs="Times New Roman" w:eastAsia="Times New Roman" w:hAnsi="Times New Roman"/>
          <w:sz w:val="17"/>
          <w:szCs w:val="17"/>
        </w:rPr>
        <w:t xml:space="preserve">Schirrmeister, R. T. et al. Deep learning with convolutional neural networks for EEG decoding and visualization. Hum. Brain Mapp. 38, 5391–5420 (2017).</w:t>
      </w:r>
    </w:p>
    <w:p>
      <w:pPr>
        <w:pStyle w:val="ListParagraph"/>
        <w:numPr>
          <w:ilvl w:val="0"/>
          <w:numId w:val="4"/>
        </w:numPr>
        <w:spacing w:after="20" w:line="230"/>
        <w:jc w:val="left"/>
      </w:pPr>
      <w:r>
        <w:rPr>
          <w:rFonts w:ascii="Times New Roman" w:cs="Times New Roman" w:eastAsia="Times New Roman" w:hAnsi="Times New Roman"/>
          <w:sz w:val="17"/>
          <w:szCs w:val="17"/>
        </w:rPr>
        <w:t xml:space="preserve">Lawhern, V. J. et al. EEGNet: a compact convolutional neural network for EEG-based brain–computer interfaces. J. Neural Eng. 15, 056013 (2018).</w:t>
      </w:r>
    </w:p>
    <w:p>
      <w:pPr>
        <w:pStyle w:val="ListParagraph"/>
        <w:numPr>
          <w:ilvl w:val="0"/>
          <w:numId w:val="4"/>
        </w:numPr>
        <w:spacing w:after="20" w:line="230"/>
        <w:jc w:val="left"/>
      </w:pPr>
      <w:r>
        <w:rPr>
          <w:rFonts w:ascii="Times New Roman" w:cs="Times New Roman" w:eastAsia="Times New Roman" w:hAnsi="Times New Roman"/>
          <w:sz w:val="17"/>
          <w:szCs w:val="17"/>
        </w:rPr>
        <w:t xml:space="preserve">Song, Y., Zheng, Q., Liu, B. &amp; Gao, X. EEG Conformer: convolutional transformer for EEG decoding and visualization. IEEE Trans. Neural Syst. Rehabil. Eng. 31, 710–719 (2023).</w:t>
      </w:r>
    </w:p>
    <w:p>
      <w:pPr>
        <w:pStyle w:val="ListParagraph"/>
        <w:numPr>
          <w:ilvl w:val="0"/>
          <w:numId w:val="4"/>
        </w:numPr>
        <w:spacing w:after="20" w:line="230"/>
        <w:jc w:val="left"/>
      </w:pPr>
      <w:r>
        <w:rPr>
          <w:rFonts w:ascii="Times New Roman" w:cs="Times New Roman" w:eastAsia="Times New Roman" w:hAnsi="Times New Roman"/>
          <w:sz w:val="17"/>
          <w:szCs w:val="17"/>
        </w:rPr>
        <w:t xml:space="preserve">Vaswani, A. et al. Attention is all you need. Adv. Neural Inf. Process. Syst. 30 (2017).</w:t>
      </w:r>
    </w:p>
    <w:p>
      <w:pPr>
        <w:pStyle w:val="ListParagraph"/>
        <w:numPr>
          <w:ilvl w:val="0"/>
          <w:numId w:val="4"/>
        </w:numPr>
        <w:spacing w:after="20" w:line="230"/>
        <w:jc w:val="left"/>
      </w:pPr>
      <w:r>
        <w:rPr>
          <w:rFonts w:ascii="Times New Roman" w:cs="Times New Roman" w:eastAsia="Times New Roman" w:hAnsi="Times New Roman"/>
          <w:sz w:val="17"/>
          <w:szCs w:val="17"/>
        </w:rPr>
        <w:t xml:space="preserve">Li, Y. et al. From regional to global brain: a novel hierarchical spatial-temporal neural network model for EEG emotion recognition. IEEE Trans. Affect. Comput. 13, 568–578 (2022).</w:t>
      </w:r>
    </w:p>
    <w:p>
      <w:pPr>
        <w:pStyle w:val="ListParagraph"/>
        <w:numPr>
          <w:ilvl w:val="0"/>
          <w:numId w:val="4"/>
        </w:numPr>
        <w:spacing w:after="20" w:line="230"/>
        <w:jc w:val="left"/>
      </w:pPr>
      <w:r>
        <w:rPr>
          <w:rFonts w:ascii="Times New Roman" w:cs="Times New Roman" w:eastAsia="Times New Roman" w:hAnsi="Times New Roman"/>
          <w:sz w:val="17"/>
          <w:szCs w:val="17"/>
        </w:rPr>
        <w:t xml:space="preserve">Pan, S. J., Tsang, I. W., Kwok, J. T. &amp; Yang, Q. Domain adaptation via transfer component analysis. IEEE Trans. Neural Netw. 22, 199–210 (2011).</w:t>
      </w:r>
    </w:p>
    <w:p>
      <w:pPr>
        <w:pStyle w:val="ListParagraph"/>
        <w:numPr>
          <w:ilvl w:val="0"/>
          <w:numId w:val="4"/>
        </w:numPr>
        <w:spacing w:after="20" w:line="230"/>
        <w:jc w:val="left"/>
      </w:pPr>
      <w:r>
        <w:rPr>
          <w:rFonts w:ascii="Times New Roman" w:cs="Times New Roman" w:eastAsia="Times New Roman" w:hAnsi="Times New Roman"/>
          <w:sz w:val="17"/>
          <w:szCs w:val="17"/>
        </w:rPr>
        <w:t xml:space="preserve">Zheng, W.-L. &amp; Lu, B.-L. Personalizing EEG-based affective models with transfer learning. In Proc. 25th Int. Joint Conf. Artif. Intell. 2732–2738 (2016).</w:t>
      </w:r>
    </w:p>
    <w:p>
      <w:pPr>
        <w:pStyle w:val="ListParagraph"/>
        <w:numPr>
          <w:ilvl w:val="0"/>
          <w:numId w:val="4"/>
        </w:numPr>
        <w:spacing w:after="20" w:line="230"/>
        <w:jc w:val="left"/>
      </w:pPr>
      <w:r>
        <w:rPr>
          <w:rFonts w:ascii="Times New Roman" w:cs="Times New Roman" w:eastAsia="Times New Roman" w:hAnsi="Times New Roman"/>
          <w:sz w:val="17"/>
          <w:szCs w:val="17"/>
        </w:rPr>
        <w:t xml:space="preserve">Zanini, P., Congedo, M., Jutten, C., Said, S. &amp; Berthoumieu, Y. Transfer learning: a Riemannian geometry framework with applications to brain–computer interfaces. IEEE Trans. Biomed. Eng. 65, 1107–1116 (2018).</w:t>
      </w:r>
    </w:p>
    <w:p>
      <w:pPr>
        <w:pStyle w:val="ListParagraph"/>
        <w:numPr>
          <w:ilvl w:val="0"/>
          <w:numId w:val="4"/>
        </w:numPr>
        <w:spacing w:after="20" w:line="230"/>
        <w:jc w:val="left"/>
      </w:pPr>
      <w:r>
        <w:rPr>
          <w:rFonts w:ascii="Times New Roman" w:cs="Times New Roman" w:eastAsia="Times New Roman" w:hAnsi="Times New Roman"/>
          <w:sz w:val="17"/>
          <w:szCs w:val="17"/>
        </w:rPr>
        <w:t xml:space="preserve">He, H. &amp; Wu, D. Transfer learning for brain–computer interfaces: a Euclidean space data alignment approach. IEEE Trans. Biomed. Eng. 67, 399–410 (2020).</w:t>
      </w:r>
    </w:p>
    <w:p>
      <w:pPr>
        <w:pStyle w:val="ListParagraph"/>
        <w:numPr>
          <w:ilvl w:val="0"/>
          <w:numId w:val="4"/>
        </w:numPr>
        <w:spacing w:after="20" w:line="230"/>
        <w:jc w:val="left"/>
      </w:pPr>
      <w:r>
        <w:rPr>
          <w:rFonts w:ascii="Times New Roman" w:cs="Times New Roman" w:eastAsia="Times New Roman" w:hAnsi="Times New Roman"/>
          <w:sz w:val="17"/>
          <w:szCs w:val="17"/>
        </w:rPr>
        <w:t xml:space="preserve">Long, M., Cao, Y., Wang, J. &amp; Jordan, M. I. Learning transferable features with deep adaptation networks. In Proc. 32nd Int. Conf. Mach. Learn. 97–105 (2015).</w:t>
      </w:r>
    </w:p>
    <w:p>
      <w:pPr>
        <w:pStyle w:val="ListParagraph"/>
        <w:numPr>
          <w:ilvl w:val="0"/>
          <w:numId w:val="4"/>
        </w:numPr>
        <w:spacing w:after="20" w:line="230"/>
        <w:jc w:val="left"/>
      </w:pPr>
      <w:r>
        <w:rPr>
          <w:rFonts w:ascii="Times New Roman" w:cs="Times New Roman" w:eastAsia="Times New Roman" w:hAnsi="Times New Roman"/>
          <w:sz w:val="17"/>
          <w:szCs w:val="17"/>
        </w:rPr>
        <w:t xml:space="preserve">Li, J., Qiu, S., Shen, Y.-Y., Liu, C.-L. &amp; He, H. Multisource transfer learning for cross-subject EEG emotion recognition. IEEE Trans. Cybern. 50, 3281–3293 (2020).</w:t>
      </w:r>
    </w:p>
    <w:p>
      <w:pPr>
        <w:pStyle w:val="ListParagraph"/>
        <w:numPr>
          <w:ilvl w:val="0"/>
          <w:numId w:val="4"/>
        </w:numPr>
        <w:spacing w:after="20" w:line="230"/>
        <w:jc w:val="left"/>
      </w:pPr>
      <w:r>
        <w:rPr>
          <w:rFonts w:ascii="Times New Roman" w:cs="Times New Roman" w:eastAsia="Times New Roman" w:hAnsi="Times New Roman"/>
          <w:sz w:val="17"/>
          <w:szCs w:val="17"/>
        </w:rPr>
        <w:t xml:space="preserve">Zhao, L.-M., Yan, X. &amp; Lu, B.-L. Plug-and-play domain adaptation for cross-subject EEG-based emotion recognition. In Proc. AAAI Conf. Artif. Intell. 35, 863–870 (2021).</w:t>
      </w:r>
    </w:p>
    <w:p>
      <w:pPr>
        <w:pStyle w:val="ListParagraph"/>
        <w:numPr>
          <w:ilvl w:val="0"/>
          <w:numId w:val="4"/>
        </w:numPr>
        <w:spacing w:after="20" w:line="230"/>
        <w:jc w:val="left"/>
      </w:pPr>
      <w:r>
        <w:rPr>
          <w:rFonts w:ascii="Times New Roman" w:cs="Times New Roman" w:eastAsia="Times New Roman" w:hAnsi="Times New Roman"/>
          <w:sz w:val="17"/>
          <w:szCs w:val="17"/>
        </w:rPr>
        <w:t xml:space="preserve">Li, Y., Wang, N., Shi, J., Hou, X. &amp; Liu, J. Adaptive batch normalization for practical domain adaptation. Pattern Recognit. 80, 109–117 (2018).</w:t>
      </w:r>
    </w:p>
    <w:p>
      <w:pPr>
        <w:pStyle w:val="ListParagraph"/>
        <w:numPr>
          <w:ilvl w:val="0"/>
          <w:numId w:val="4"/>
        </w:numPr>
        <w:spacing w:after="20" w:line="230"/>
        <w:jc w:val="left"/>
      </w:pPr>
      <w:r>
        <w:rPr>
          <w:rFonts w:ascii="Times New Roman" w:cs="Times New Roman" w:eastAsia="Times New Roman" w:hAnsi="Times New Roman"/>
          <w:sz w:val="17"/>
          <w:szCs w:val="17"/>
        </w:rPr>
        <w:t xml:space="preserve">Chen, T., Kornblith, S., Norouzi, M. &amp; Hinton, G. A simple framework for contrastive learning of visual representations. In Proc. ICML 1597–1607 (2020).</w:t>
      </w:r>
    </w:p>
    <w:p>
      <w:pPr>
        <w:pStyle w:val="ListParagraph"/>
        <w:numPr>
          <w:ilvl w:val="0"/>
          <w:numId w:val="4"/>
        </w:numPr>
        <w:spacing w:after="20" w:line="230"/>
        <w:jc w:val="left"/>
      </w:pPr>
      <w:r>
        <w:rPr>
          <w:rFonts w:ascii="Times New Roman" w:cs="Times New Roman" w:eastAsia="Times New Roman" w:hAnsi="Times New Roman"/>
          <w:sz w:val="17"/>
          <w:szCs w:val="17"/>
        </w:rPr>
        <w:t xml:space="preserve">Grill, J.-B. et al. Bootstrap your own latent: a new approach to self-supervised learning. Adv. Neural Inf. Process. Syst. 33, 21271–21284 (2020).</w:t>
      </w:r>
    </w:p>
    <w:p>
      <w:pPr>
        <w:pStyle w:val="ListParagraph"/>
        <w:numPr>
          <w:ilvl w:val="0"/>
          <w:numId w:val="4"/>
        </w:numPr>
        <w:spacing w:after="20" w:line="230"/>
        <w:jc w:val="left"/>
      </w:pPr>
      <w:r>
        <w:rPr>
          <w:rFonts w:ascii="Times New Roman" w:cs="Times New Roman" w:eastAsia="Times New Roman" w:hAnsi="Times New Roman"/>
          <w:sz w:val="17"/>
          <w:szCs w:val="17"/>
        </w:rPr>
        <w:t xml:space="preserve">Mohsenvand, M. N., Izadi, M. R. &amp; Maes, P. Contrastive representation learning for electroencephalogram classification. In Proc. Machine Learning for Health, PMLR 136, 238–253 (2020).</w:t>
      </w:r>
    </w:p>
    <w:p>
      <w:pPr>
        <w:pStyle w:val="ListParagraph"/>
        <w:numPr>
          <w:ilvl w:val="0"/>
          <w:numId w:val="4"/>
        </w:numPr>
        <w:spacing w:after="20" w:line="230"/>
        <w:jc w:val="left"/>
      </w:pPr>
      <w:r>
        <w:rPr>
          <w:rFonts w:ascii="Times New Roman" w:cs="Times New Roman" w:eastAsia="Times New Roman" w:hAnsi="Times New Roman"/>
          <w:sz w:val="17"/>
          <w:szCs w:val="17"/>
        </w:rPr>
        <w:t xml:space="preserve">Banville, H., Chehab, O., Hyvärinen, A., Engemann, D.-A. &amp; Gramfort, A. Uncovering the structure of clinical EEG signals with self-supervised learning. J. Neural Eng. 18, 046020 (2021).</w:t>
      </w:r>
    </w:p>
    <w:p>
      <w:pPr>
        <w:pStyle w:val="ListParagraph"/>
        <w:numPr>
          <w:ilvl w:val="0"/>
          <w:numId w:val="4"/>
        </w:numPr>
        <w:spacing w:after="20" w:line="230"/>
        <w:jc w:val="left"/>
      </w:pPr>
      <w:r>
        <w:rPr>
          <w:rFonts w:ascii="Times New Roman" w:cs="Times New Roman" w:eastAsia="Times New Roman" w:hAnsi="Times New Roman"/>
          <w:sz w:val="17"/>
          <w:szCs w:val="17"/>
        </w:rPr>
        <w:t xml:space="preserve">Kostas, D., Aroca-Ouellette, S. &amp; Rudzicz, F. BENDR: using transformers and a contrastive self-supervised learning task to learn from massive amounts of EEG data. Front. Hum. Neurosci. 15, 653659 (2021).</w:t>
      </w:r>
    </w:p>
    <w:p>
      <w:pPr>
        <w:pStyle w:val="ListParagraph"/>
        <w:numPr>
          <w:ilvl w:val="0"/>
          <w:numId w:val="4"/>
        </w:numPr>
        <w:spacing w:after="20" w:line="230"/>
        <w:jc w:val="left"/>
      </w:pPr>
      <w:r>
        <w:rPr>
          <w:rFonts w:ascii="Times New Roman" w:cs="Times New Roman" w:eastAsia="Times New Roman" w:hAnsi="Times New Roman"/>
          <w:sz w:val="17"/>
          <w:szCs w:val="17"/>
        </w:rPr>
        <w:t xml:space="preserve">Lee, D.-H. Pseudo-label: the simple and efficient semi-supervised learning method for deep neural networks. In ICML Workshop on Challenges in Representation Learning (2013).</w:t>
      </w:r>
    </w:p>
    <w:p>
      <w:pPr>
        <w:pStyle w:val="ListParagraph"/>
        <w:numPr>
          <w:ilvl w:val="0"/>
          <w:numId w:val="4"/>
        </w:numPr>
        <w:spacing w:after="20" w:line="230"/>
        <w:jc w:val="left"/>
      </w:pPr>
      <w:r>
        <w:rPr>
          <w:rFonts w:ascii="Times New Roman" w:cs="Times New Roman" w:eastAsia="Times New Roman" w:hAnsi="Times New Roman"/>
          <w:sz w:val="17"/>
          <w:szCs w:val="17"/>
        </w:rPr>
        <w:t xml:space="preserve">Berthelot, D. et al. MixMatch: a holistic approach to semi-supervised learning. Adv. Neural Inf. Process. Syst. 32 (2019).</w:t>
      </w:r>
    </w:p>
    <w:p>
      <w:pPr>
        <w:pStyle w:val="ListParagraph"/>
        <w:numPr>
          <w:ilvl w:val="0"/>
          <w:numId w:val="4"/>
        </w:numPr>
        <w:spacing w:after="20" w:line="230"/>
        <w:jc w:val="left"/>
      </w:pPr>
      <w:r>
        <w:rPr>
          <w:rFonts w:ascii="Times New Roman" w:cs="Times New Roman" w:eastAsia="Times New Roman" w:hAnsi="Times New Roman"/>
          <w:sz w:val="17"/>
          <w:szCs w:val="17"/>
        </w:rPr>
        <w:t xml:space="preserve">Hinton, G., Vinyals, O. &amp; Dean, J. Distilling the knowledge in a neural network. Preprint at https://arxiv.org/abs/1503.02531 (2015).</w:t>
      </w:r>
    </w:p>
    <w:p>
      <w:pPr>
        <w:pStyle w:val="ListParagraph"/>
        <w:numPr>
          <w:ilvl w:val="0"/>
          <w:numId w:val="4"/>
        </w:numPr>
        <w:spacing w:after="20" w:line="230"/>
        <w:jc w:val="left"/>
      </w:pPr>
      <w:r>
        <w:rPr>
          <w:rFonts w:ascii="Times New Roman" w:cs="Times New Roman" w:eastAsia="Times New Roman" w:hAnsi="Times New Roman"/>
          <w:sz w:val="17"/>
          <w:szCs w:val="17"/>
        </w:rPr>
        <w:t xml:space="preserve">Collins, G. S. et al. TRIPOD+AI statement: updated guidance for reporting clinical prediction models that use regression or machine learning methods. BMJ 385, e078378 (2024).</w:t>
      </w:r>
    </w:p>
    <w:p>
      <w:pPr>
        <w:pStyle w:val="ListParagraph"/>
        <w:numPr>
          <w:ilvl w:val="0"/>
          <w:numId w:val="4"/>
        </w:numPr>
        <w:spacing w:after="20" w:line="230"/>
        <w:jc w:val="left"/>
      </w:pPr>
      <w:r>
        <w:rPr>
          <w:rFonts w:ascii="Times New Roman" w:cs="Times New Roman" w:eastAsia="Times New Roman" w:hAnsi="Times New Roman"/>
          <w:sz w:val="17"/>
          <w:szCs w:val="17"/>
        </w:rPr>
        <w:t xml:space="preserve">Demšar, J. Statistical comparisons of classifiers over multiple data sets. J. Mach. Learn. Res. 7, 1–30 (2006).</w:t>
      </w:r>
    </w:p>
    <w:p>
      <w:pPr>
        <w:pStyle w:val="ListParagraph"/>
        <w:numPr>
          <w:ilvl w:val="0"/>
          <w:numId w:val="4"/>
        </w:numPr>
        <w:spacing w:after="20" w:line="230"/>
        <w:jc w:val="left"/>
      </w:pPr>
      <w:r>
        <w:rPr>
          <w:rFonts w:ascii="Times New Roman" w:cs="Times New Roman" w:eastAsia="Times New Roman" w:hAnsi="Times New Roman"/>
          <w:sz w:val="17"/>
          <w:szCs w:val="17"/>
        </w:rPr>
        <w:t xml:space="preserve">Krigolson, O. E., Williams, C. C., Norton, A., Hassall, C. D. &amp; Colino, F. L. Choosing MUSE: validation of a low-cost, portable EEG system for ERP research. Front. Neurosci. 11, 109 (2017).</w:t>
      </w:r>
    </w:p>
    <w:p>
      <w:pPr>
        <w:pStyle w:val="ListParagraph"/>
        <w:numPr>
          <w:ilvl w:val="0"/>
          <w:numId w:val="4"/>
        </w:numPr>
        <w:spacing w:after="20" w:line="230"/>
        <w:jc w:val="left"/>
      </w:pPr>
      <w:r>
        <w:rPr>
          <w:rFonts w:ascii="Times New Roman" w:cs="Times New Roman" w:eastAsia="Times New Roman" w:hAnsi="Times New Roman"/>
          <w:sz w:val="17"/>
          <w:szCs w:val="17"/>
        </w:rPr>
        <w:t xml:space="preserve">Casson, A. J. Wearable EEG and beyond. Biomed. Eng. Lett. 9, 53–71 (2019).</w:t>
      </w:r>
    </w:p>
    <w:p>
      <w:pPr>
        <w:pStyle w:val="ListParagraph"/>
        <w:numPr>
          <w:ilvl w:val="0"/>
          <w:numId w:val="4"/>
        </w:numPr>
        <w:spacing w:after="20" w:line="230"/>
        <w:jc w:val="left"/>
      </w:pPr>
      <w:r>
        <w:rPr>
          <w:rFonts w:ascii="Times New Roman" w:cs="Times New Roman" w:eastAsia="Times New Roman" w:hAnsi="Times New Roman"/>
          <w:sz w:val="17"/>
          <w:szCs w:val="17"/>
        </w:rPr>
        <w:t xml:space="preserve">Brodersen, K. H., Ong, C. S., Stephan, K. E. &amp; Buhmann, J. M. The balanced accuracy and its posterior distribution. In Proc. 20th Int. Conf. Pattern Recognit. 3121–3124 (2010).</w:t>
      </w:r>
    </w:p>
    <w:p>
      <w:pPr>
        <w:pStyle w:val="ListParagraph"/>
        <w:numPr>
          <w:ilvl w:val="0"/>
          <w:numId w:val="4"/>
        </w:numPr>
        <w:spacing w:after="20" w:line="230"/>
        <w:jc w:val="left"/>
      </w:pPr>
      <w:r>
        <w:rPr>
          <w:rFonts w:ascii="Times New Roman" w:cs="Times New Roman" w:eastAsia="Times New Roman" w:hAnsi="Times New Roman"/>
          <w:sz w:val="17"/>
          <w:szCs w:val="17"/>
        </w:rPr>
        <w:t xml:space="preserve">Cohen, J. A coefficient of agreement for nominal scales. Educ. Psychol. Meas. 20, 37–46 (1960).</w:t>
      </w:r>
    </w:p>
    <w:p>
      <w:pPr>
        <w:pStyle w:val="ListParagraph"/>
        <w:numPr>
          <w:ilvl w:val="0"/>
          <w:numId w:val="4"/>
        </w:numPr>
        <w:spacing w:after="20" w:line="230"/>
        <w:jc w:val="left"/>
      </w:pPr>
      <w:r>
        <w:rPr>
          <w:rFonts w:ascii="Times New Roman" w:cs="Times New Roman" w:eastAsia="Times New Roman" w:hAnsi="Times New Roman"/>
          <w:sz w:val="17"/>
          <w:szCs w:val="17"/>
        </w:rPr>
        <w:t xml:space="preserve">Gorodkin, J. Comparing two K-category assignments by a K-category correlation coefficient. Comput. Biol. Chem. 28, 367–374 (2004).</w:t>
      </w:r>
    </w:p>
    <w:p>
      <w:pPr>
        <w:pStyle w:val="ListParagraph"/>
        <w:numPr>
          <w:ilvl w:val="0"/>
          <w:numId w:val="4"/>
        </w:numPr>
        <w:spacing w:after="20" w:line="230"/>
        <w:jc w:val="left"/>
      </w:pPr>
      <w:r>
        <w:rPr>
          <w:rFonts w:ascii="Times New Roman" w:cs="Times New Roman" w:eastAsia="Times New Roman" w:hAnsi="Times New Roman"/>
          <w:sz w:val="17"/>
          <w:szCs w:val="17"/>
        </w:rPr>
        <w:t xml:space="preserve">Chicco, D. &amp; Jurman, G. The advantages of the Matthews correlation coefficient (MCC) over F1 score and accuracy in binary classification evaluation. BMC Genomics 21, 6 (2020).</w:t>
      </w:r>
    </w:p>
    <w:p>
      <w:pPr>
        <w:pStyle w:val="ListParagraph"/>
        <w:numPr>
          <w:ilvl w:val="0"/>
          <w:numId w:val="4"/>
        </w:numPr>
        <w:spacing w:after="20" w:line="230"/>
        <w:jc w:val="left"/>
      </w:pPr>
      <w:r>
        <w:rPr>
          <w:rFonts w:ascii="Times New Roman" w:cs="Times New Roman" w:eastAsia="Times New Roman" w:hAnsi="Times New Roman"/>
          <w:sz w:val="17"/>
          <w:szCs w:val="17"/>
        </w:rPr>
        <w:t xml:space="preserve">Kubat, M. &amp; Matwin, S. Addressing the curse of imbalanced training sets: one-sided selection. In Proc. 14th Int. Conf. Mach. Learn. 179–186 (1997).</w:t>
      </w:r>
    </w:p>
    <w:p>
      <w:pPr>
        <w:pStyle w:val="ListParagraph"/>
        <w:numPr>
          <w:ilvl w:val="0"/>
          <w:numId w:val="4"/>
        </w:numPr>
        <w:spacing w:after="20" w:line="230"/>
        <w:jc w:val="left"/>
      </w:pPr>
      <w:r>
        <w:rPr>
          <w:rFonts w:ascii="Times New Roman" w:cs="Times New Roman" w:eastAsia="Times New Roman" w:hAnsi="Times New Roman"/>
          <w:sz w:val="17"/>
          <w:szCs w:val="17"/>
        </w:rPr>
        <w:t xml:space="preserve">Wolpaw, J. R., Birbaumer, N., McFarland, D. J., Pfurtscheller, G. &amp; Vaughan, T. M. Brain–computer interfaces for communication and control. Clin. Neurophysiol. 113, 767–791 (2002).</w:t>
      </w:r>
    </w:p>
    <w:p>
      <w:pPr>
        <w:pStyle w:val="ListParagraph"/>
        <w:numPr>
          <w:ilvl w:val="0"/>
          <w:numId w:val="4"/>
        </w:numPr>
        <w:spacing w:after="20" w:line="230"/>
        <w:jc w:val="left"/>
      </w:pPr>
      <w:r>
        <w:rPr>
          <w:rFonts w:ascii="Times New Roman" w:cs="Times New Roman" w:eastAsia="Times New Roman" w:hAnsi="Times New Roman"/>
          <w:sz w:val="17"/>
          <w:szCs w:val="17"/>
        </w:rPr>
        <w:t xml:space="preserve">Friedman, M. The use of ranks to avoid the assumption of normality implicit in the analysis of variance. J. Am. Stat. Assoc. 32, 675–701 (1937).</w:t>
      </w:r>
    </w:p>
    <w:p>
      <w:pPr>
        <w:pStyle w:val="ListParagraph"/>
        <w:numPr>
          <w:ilvl w:val="0"/>
          <w:numId w:val="4"/>
        </w:numPr>
        <w:spacing w:after="20" w:line="230"/>
        <w:jc w:val="left"/>
      </w:pPr>
      <w:r>
        <w:rPr>
          <w:rFonts w:ascii="Times New Roman" w:cs="Times New Roman" w:eastAsia="Times New Roman" w:hAnsi="Times New Roman"/>
          <w:sz w:val="17"/>
          <w:szCs w:val="17"/>
        </w:rPr>
        <w:t xml:space="preserve">Wilcoxon, F. Individual comparisons by ranking methods. Biom. Bull. 1, 80–83 (1945).</w:t>
      </w:r>
    </w:p>
    <w:p>
      <w:pPr>
        <w:pStyle w:val="ListParagraph"/>
        <w:numPr>
          <w:ilvl w:val="0"/>
          <w:numId w:val="4"/>
        </w:numPr>
        <w:spacing w:after="20" w:line="230"/>
        <w:jc w:val="left"/>
      </w:pPr>
      <w:r>
        <w:rPr>
          <w:rFonts w:ascii="Times New Roman" w:cs="Times New Roman" w:eastAsia="Times New Roman" w:hAnsi="Times New Roman"/>
          <w:sz w:val="17"/>
          <w:szCs w:val="17"/>
        </w:rPr>
        <w:t xml:space="preserve">Holm, S. A simple sequentially rejective multiple test procedure. Scand. J. Stat. 6, 65–70 (1979).</w:t>
      </w:r>
    </w:p>
    <w:p>
      <w:pPr>
        <w:pStyle w:val="ListParagraph"/>
        <w:numPr>
          <w:ilvl w:val="0"/>
          <w:numId w:val="4"/>
        </w:numPr>
        <w:spacing w:after="20" w:line="230"/>
        <w:jc w:val="left"/>
      </w:pPr>
      <w:r>
        <w:rPr>
          <w:rFonts w:ascii="Times New Roman" w:cs="Times New Roman" w:eastAsia="Times New Roman" w:hAnsi="Times New Roman"/>
          <w:sz w:val="17"/>
          <w:szCs w:val="17"/>
        </w:rPr>
        <w:t xml:space="preserve">Lakens, D. Calculating and reporting effect sizes to facilitate cumulative science: a practical primer for t-tests and ANOVAs. Front. Psychol. 4, 863 (2013).</w:t>
      </w:r>
    </w:p>
    <w:p>
      <w:pPr>
        <w:pStyle w:val="ListParagraph"/>
        <w:numPr>
          <w:ilvl w:val="0"/>
          <w:numId w:val="4"/>
        </w:numPr>
        <w:spacing w:after="20" w:line="230"/>
        <w:jc w:val="left"/>
      </w:pPr>
      <w:r>
        <w:rPr>
          <w:rFonts w:ascii="Times New Roman" w:cs="Times New Roman" w:eastAsia="Times New Roman" w:hAnsi="Times New Roman"/>
          <w:sz w:val="17"/>
          <w:szCs w:val="17"/>
        </w:rPr>
        <w:t xml:space="preserve">Kerby, D. S. The simple difference formula: an approach to teaching nonparametric correlation. Compr. Psychol. 3, 11.IT.3.1 (2014).</w:t>
      </w:r>
    </w:p>
    <w:p>
      <w:pPr>
        <w:pStyle w:val="ListParagraph"/>
        <w:numPr>
          <w:ilvl w:val="0"/>
          <w:numId w:val="4"/>
        </w:numPr>
        <w:spacing w:after="20" w:line="230"/>
        <w:jc w:val="left"/>
      </w:pPr>
      <w:r>
        <w:rPr>
          <w:rFonts w:ascii="Times New Roman" w:cs="Times New Roman" w:eastAsia="Times New Roman" w:hAnsi="Times New Roman"/>
          <w:sz w:val="17"/>
          <w:szCs w:val="17"/>
        </w:rPr>
        <w:t xml:space="preserve">Shrout, P. E. &amp; Fleiss, J. L. Intraclass correlations: uses in assessing rater reliability. Psychol. Bull. 86, 420–428 (1979).</w:t>
      </w:r>
    </w:p>
    <w:p>
      <w:pPr>
        <w:pStyle w:val="ListParagraph"/>
        <w:numPr>
          <w:ilvl w:val="0"/>
          <w:numId w:val="4"/>
        </w:numPr>
        <w:spacing w:after="20" w:line="230"/>
        <w:jc w:val="left"/>
      </w:pPr>
      <w:r>
        <w:rPr>
          <w:rFonts w:ascii="Times New Roman" w:cs="Times New Roman" w:eastAsia="Times New Roman" w:hAnsi="Times New Roman"/>
          <w:sz w:val="17"/>
          <w:szCs w:val="17"/>
        </w:rPr>
        <w:t xml:space="preserve">van der Maaten, L. &amp; Hinton, G. Visualizing data using t-SNE. J. Mach. Learn. Res. 9, 2579–2605 (2008).</w:t>
      </w:r>
    </w:p>
    <w:p>
      <w:pPr>
        <w:pStyle w:val="ListParagraph"/>
        <w:numPr>
          <w:ilvl w:val="0"/>
          <w:numId w:val="4"/>
        </w:numPr>
        <w:spacing w:after="20" w:line="230"/>
        <w:jc w:val="left"/>
      </w:pPr>
      <w:r>
        <w:rPr>
          <w:rFonts w:ascii="Times New Roman" w:cs="Times New Roman" w:eastAsia="Times New Roman" w:hAnsi="Times New Roman"/>
          <w:sz w:val="17"/>
          <w:szCs w:val="17"/>
        </w:rPr>
        <w:t xml:space="preserve">Rousseeuw, P. J. Silhouettes: a graphical aid to the interpretation and validation of cluster analysis. J. Comput. Appl. Math. 20, 53–65 (1987).</w:t>
      </w:r>
    </w:p>
    <w:p>
      <w:pPr>
        <w:pStyle w:val="ListParagraph"/>
        <w:numPr>
          <w:ilvl w:val="0"/>
          <w:numId w:val="4"/>
        </w:numPr>
        <w:spacing w:after="20" w:line="230"/>
        <w:jc w:val="left"/>
      </w:pPr>
      <w:r>
        <w:rPr>
          <w:rFonts w:ascii="Times New Roman" w:cs="Times New Roman" w:eastAsia="Times New Roman" w:hAnsi="Times New Roman"/>
          <w:sz w:val="17"/>
          <w:szCs w:val="17"/>
        </w:rPr>
        <w:t xml:space="preserve">Davies, D. L. &amp; Bouldin, D. W. A cluster separation measure. IEEE Trans. Pattern Anal. Mach. Intell. 1, 224–227 (1979).</w:t>
      </w:r>
    </w:p>
    <w:p>
      <w:pPr>
        <w:pStyle w:val="ListParagraph"/>
        <w:numPr>
          <w:ilvl w:val="0"/>
          <w:numId w:val="4"/>
        </w:numPr>
        <w:spacing w:after="20" w:line="230"/>
        <w:jc w:val="left"/>
      </w:pPr>
      <w:r>
        <w:rPr>
          <w:rFonts w:ascii="Times New Roman" w:cs="Times New Roman" w:eastAsia="Times New Roman" w:hAnsi="Times New Roman"/>
          <w:sz w:val="17"/>
          <w:szCs w:val="17"/>
        </w:rPr>
        <w:t xml:space="preserve">Caliński, T. &amp; Harabasz, J. A dendrite method for cluster analysis. Commun. Stat. 3, 1–27 (1974).</w:t>
      </w:r>
    </w:p>
    <w:p>
      <w:pPr>
        <w:pStyle w:val="ListParagraph"/>
        <w:numPr>
          <w:ilvl w:val="0"/>
          <w:numId w:val="4"/>
        </w:numPr>
        <w:spacing w:after="20" w:line="230"/>
        <w:jc w:val="left"/>
      </w:pPr>
      <w:r>
        <w:rPr>
          <w:rFonts w:ascii="Times New Roman" w:cs="Times New Roman" w:eastAsia="Times New Roman" w:hAnsi="Times New Roman"/>
          <w:sz w:val="17"/>
          <w:szCs w:val="17"/>
        </w:rPr>
        <w:t xml:space="preserve">Lundberg, S. M. &amp; Lee, S.-I. A unified approach to interpreting model predictions. Adv. Neural Inf. Process. Syst. 30 (2017).</w:t>
      </w:r>
    </w:p>
    <w:p>
      <w:pPr>
        <w:pStyle w:val="ListParagraph"/>
        <w:numPr>
          <w:ilvl w:val="0"/>
          <w:numId w:val="4"/>
        </w:numPr>
        <w:spacing w:after="20" w:line="230"/>
        <w:jc w:val="left"/>
      </w:pPr>
      <w:r>
        <w:rPr>
          <w:rFonts w:ascii="Times New Roman" w:cs="Times New Roman" w:eastAsia="Times New Roman" w:hAnsi="Times New Roman"/>
          <w:sz w:val="17"/>
          <w:szCs w:val="17"/>
        </w:rPr>
        <w:t xml:space="preserve">Landis, J. R. &amp; Koch, G. G. The measurement of observer agreement for categorical data. Biometrics 33, 159–174 (1977).</w:t>
      </w:r>
    </w:p>
    <w:p>
      <w:pPr>
        <w:pStyle w:val="Heading1"/>
        <w:keepNext/>
        <w:spacing w:after="40" w:before="300"/>
        <w:ind w:left="1700"/>
      </w:pPr>
      <w:r>
        <w:rPr>
          <w:rFonts w:ascii="Arial" w:cs="Arial" w:eastAsia="Arial" w:hAnsi="Arial"/>
          <w:b/>
          <w:bCs/>
          <w:color w:val="000000"/>
          <w:sz w:val="26"/>
          <w:szCs w:val="26"/>
        </w:rPr>
        <w:t xml:space="preserve">Acknowledgements</w:t>
      </w:r>
    </w:p>
    <w:p>
      <w:pPr>
        <w:spacing w:after="0" w:line="252"/>
        <w:ind w:left="1700" w:firstLine="0"/>
        <w:jc w:val="both"/>
      </w:pPr>
      <w:r>
        <w:rPr>
          <w:rFonts w:ascii="Times New Roman" w:cs="Times New Roman" w:eastAsia="Times New Roman" w:hAnsi="Times New Roman"/>
          <w:sz w:val="20"/>
          <w:szCs w:val="20"/>
        </w:rPr>
        <w:t xml:space="preserve">The authors thank the providers of the SEED-IV dataset and the Department of Computer Science and Engineering, East West University, for their support. All figures were created by the authors; schematic illustrations (Figs. 1 and 4) were drawn manually and all plots were generated with Python.</w:t>
      </w:r>
    </w:p>
    <w:p>
      <w:pPr>
        <w:pStyle w:val="Heading1"/>
        <w:keepNext/>
        <w:spacing w:after="40" w:before="300"/>
        <w:ind w:left="1700"/>
      </w:pPr>
      <w:r>
        <w:rPr>
          <w:rFonts w:ascii="Arial" w:cs="Arial" w:eastAsia="Arial" w:hAnsi="Arial"/>
          <w:b/>
          <w:bCs/>
          <w:color w:val="000000"/>
          <w:sz w:val="26"/>
          <w:szCs w:val="26"/>
        </w:rPr>
        <w:t xml:space="preserve">Author contributions</w:t>
      </w:r>
    </w:p>
    <w:p>
      <w:pPr>
        <w:spacing w:after="0" w:line="252"/>
        <w:ind w:left="1700" w:firstLine="0"/>
        <w:jc w:val="both"/>
      </w:pPr>
      <w:r>
        <w:rPr>
          <w:rFonts w:ascii="Times New Roman" w:cs="Times New Roman" w:eastAsia="Times New Roman" w:hAnsi="Times New Roman"/>
          <w:sz w:val="20"/>
          <w:szCs w:val="20"/>
        </w:rPr>
        <w:t xml:space="preserve">S.K.: conceptualization, methodology, software, experiments, formal analysis, visualization and writing of the original draft. O.B.Q.: experiments, analysis and manuscript preparation. K.M.F.A.B.: implementation, evaluation and documentation. R.R.: experiments, reporting and software integration (NeuroSync). A.W.R.: supervision, review and editing. All authors reviewed and approved the final manuscript.</w:t>
      </w:r>
    </w:p>
    <w:p>
      <w:pPr>
        <w:pStyle w:val="Heading1"/>
        <w:keepNext/>
        <w:spacing w:after="40" w:before="300"/>
        <w:ind w:left="1700"/>
      </w:pPr>
      <w:r>
        <w:rPr>
          <w:rFonts w:ascii="Arial" w:cs="Arial" w:eastAsia="Arial" w:hAnsi="Arial"/>
          <w:b/>
          <w:bCs/>
          <w:color w:val="000000"/>
          <w:sz w:val="26"/>
          <w:szCs w:val="26"/>
        </w:rPr>
        <w:t xml:space="preserve">Funding</w:t>
      </w:r>
    </w:p>
    <w:p>
      <w:pPr>
        <w:spacing w:after="0" w:line="252"/>
        <w:ind w:left="1700" w:firstLine="0"/>
        <w:jc w:val="both"/>
      </w:pPr>
      <w:r>
        <w:rPr>
          <w:rFonts w:ascii="Times New Roman" w:cs="Times New Roman" w:eastAsia="Times New Roman" w:hAnsi="Times New Roman"/>
          <w:sz w:val="20"/>
          <w:szCs w:val="20"/>
        </w:rPr>
        <w:t xml:space="preserve">No external funding was received for this study </w:t>
      </w:r>
      <w:r>
        <w:rPr>
          <w:rFonts w:ascii="Times New Roman" w:cs="Times New Roman" w:eastAsia="Times New Roman" w:hAnsi="Times New Roman"/>
          <w:sz w:val="20"/>
          <w:szCs w:val="20"/>
          <w:highlight w:val="yellow"/>
          <w:highlightCs w:val="yellow"/>
        </w:rPr>
        <w:t xml:space="preserve">[confirm]</w:t>
      </w:r>
      <w:r>
        <w:rPr>
          <w:rFonts w:ascii="Times New Roman" w:cs="Times New Roman" w:eastAsia="Times New Roman" w:hAnsi="Times New Roman"/>
          <w:sz w:val="20"/>
          <w:szCs w:val="20"/>
        </w:rPr>
        <w:t xml:space="preserve">.</w:t>
      </w:r>
    </w:p>
    <w:p>
      <w:pPr>
        <w:pStyle w:val="Heading1"/>
        <w:keepNext/>
        <w:spacing w:after="40" w:before="300"/>
        <w:ind w:left="1700"/>
      </w:pPr>
      <w:r>
        <w:rPr>
          <w:rFonts w:ascii="Arial" w:cs="Arial" w:eastAsia="Arial" w:hAnsi="Arial"/>
          <w:b/>
          <w:bCs/>
          <w:color w:val="000000"/>
          <w:sz w:val="26"/>
          <w:szCs w:val="26"/>
        </w:rPr>
        <w:t xml:space="preserve">Declarations</w:t>
      </w:r>
    </w:p>
    <w:p>
      <w:pPr>
        <w:pStyle w:val="Heading2"/>
        <w:keepNext/>
        <w:spacing w:after="40" w:before="220"/>
        <w:ind w:left="1700"/>
      </w:pPr>
      <w:r>
        <w:rPr>
          <w:rFonts w:ascii="Arial" w:cs="Arial" w:eastAsia="Arial" w:hAnsi="Arial"/>
          <w:b/>
          <w:bCs/>
          <w:color w:val="000000"/>
          <w:sz w:val="21"/>
          <w:szCs w:val="21"/>
        </w:rPr>
        <w:t xml:space="preserve">Competing interests</w:t>
      </w:r>
    </w:p>
    <w:p>
      <w:pPr>
        <w:spacing w:after="0" w:line="252"/>
        <w:ind w:left="1700" w:firstLine="0"/>
        <w:jc w:val="both"/>
      </w:pPr>
      <w:r>
        <w:rPr>
          <w:rFonts w:ascii="Times New Roman" w:cs="Times New Roman" w:eastAsia="Times New Roman" w:hAnsi="Times New Roman"/>
          <w:sz w:val="20"/>
          <w:szCs w:val="20"/>
        </w:rPr>
        <w:t xml:space="preserve">The authors declare no competing interests.</w:t>
      </w:r>
    </w:p>
    <w:p>
      <w:pPr>
        <w:pStyle w:val="Heading2"/>
        <w:keepNext/>
        <w:spacing w:after="40" w:before="220"/>
        <w:ind w:left="1700"/>
      </w:pPr>
      <w:r>
        <w:rPr>
          <w:rFonts w:ascii="Arial" w:cs="Arial" w:eastAsia="Arial" w:hAnsi="Arial"/>
          <w:b/>
          <w:bCs/>
          <w:color w:val="000000"/>
          <w:sz w:val="21"/>
          <w:szCs w:val="21"/>
        </w:rPr>
        <w:t xml:space="preserve">Additional information</w:t>
      </w:r>
    </w:p>
    <w:p>
      <w:pPr>
        <w:spacing w:after="0" w:line="252"/>
        <w:ind w:left="1700"/>
      </w:pPr>
      <w:r>
        <w:rPr>
          <w:rFonts w:ascii="Times New Roman" w:cs="Times New Roman" w:eastAsia="Times New Roman" w:hAnsi="Times New Roman"/>
          <w:b/>
          <w:bCs/>
          <w:sz w:val="20"/>
          <w:szCs w:val="20"/>
        </w:rPr>
        <w:t xml:space="preserve">Correspondence</w:t>
      </w:r>
      <w:r>
        <w:rPr>
          <w:rFonts w:ascii="Times New Roman" w:cs="Times New Roman" w:eastAsia="Times New Roman" w:hAnsi="Times New Roman"/>
          <w:sz w:val="20"/>
          <w:szCs w:val="20"/>
        </w:rPr>
        <w:t xml:space="preserve"> and requests for materials should be addressed to S.K.</w:t>
      </w:r>
    </w:p>
    <w:sectPr>
      <w:footerReference w:type="default" r:id="rId7"/>
      <w:footerReference w:type="first" r:id="rId8"/>
      <w:pgSz w:w="11906" w:h="16838" w:orient="portrait"/>
      <w:pgMar w:top="1100" w:right="860" w:bottom="1100" w:left="1300" w:header="708" w:footer="500"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0000" w:sz="4" w:space="4"/>
      </w:pBdr>
      <w:jc w:val="right"/>
    </w:pPr>
    <w:r>
      <w:rPr>
        <w:rFonts w:ascii="Arial" w:cs="Arial" w:eastAsia="Arial" w:hAnsi="Arial"/>
        <w:color w:val="808080"/>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0000" w:sz="4" w:space="4"/>
      </w:pBdr>
      <w:spacing w:after="0"/>
      <w:ind w:left="1700"/>
    </w:pPr>
    <w:r>
      <w:rPr>
        <w:rFonts w:ascii="Times New Roman" w:cs="Times New Roman" w:eastAsia="Times New Roman" w:hAnsi="Times New Roman"/>
        <w:sz w:val="17"/>
        <w:szCs w:val="17"/>
      </w:rPr>
      <w:t xml:space="preserve">Department of Computer Science and Engineering, East West University, Dhaka 1212, Bangladesh. </w:t>
    </w:r>
  </w:p>
  <w:p>
    <w:pPr>
      <w:spacing w:after="120"/>
      <w:ind w:left="1700"/>
    </w:pPr>
    <w:r>
      <w:rPr>
        <w:rFonts w:ascii="Times New Roman" w:cs="Times New Roman" w:eastAsia="Times New Roman" w:hAnsi="Times New Roman"/>
        <w:sz w:val="17"/>
        <w:szCs w:val="17"/>
      </w:rPr>
      <w:t xml:space="preserve">✉email: saifkhantdm@gmail.com</w:t>
    </w:r>
  </w:p>
  <w:p>
    <w:pPr>
      <w:jc w:val="right"/>
    </w:pPr>
    <w:r>
      <w:rPr>
        <w:rFonts w:ascii="Arial" w:cs="Arial" w:eastAsia="Arial" w:hAnsi="Arial"/>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2200" w:hanging="300"/>
      </w:pPr>
    </w:lvl>
  </w:abstractNum>
  <w:abstractNum w:abstractNumId="3" w15:restartNumberingAfterBreak="0">
    <w:multiLevelType w:val="hybridMultilevel"/>
    <w:lvl w:ilvl="0" w15:tentative="1">
      <w:start w:val="1"/>
      <w:numFmt w:val="decimal"/>
      <w:lvlText w:val="%1."/>
      <w:lvlJc w:val="left"/>
      <w:pPr>
        <w:ind w:left="2200" w:hanging="300"/>
      </w:pPr>
    </w:lvl>
  </w:abstractNum>
  <w:abstractNum w:abstractNumId="4" w15:restartNumberingAfterBreak="0">
    <w:multiLevelType w:val="hybridMultilevel"/>
    <w:lvl w:ilvl="0" w15:tentative="1">
      <w:start w:val="1"/>
      <w:numFmt w:val="decimal"/>
      <w:lvlText w:val="%1."/>
      <w:lvlJc w:val="right"/>
      <w:pPr>
        <w:ind w:left="2060" w:hanging="360"/>
      </w:pPr>
      <w:rPr>
        <w:rFonts w:ascii="Times New Roman" w:cs="Times New Roman" w:eastAsia="Times New Roman" w:hAnsi="Times New Roman"/>
        <w:sz w:val="17"/>
        <w:szCs w:val="17"/>
      </w:r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image" Target="media/91ae6b4fa13e4f46ec5cfabbe67226bc5194c608.png"/><Relationship Id="rId10" Type="http://schemas.openxmlformats.org/officeDocument/2006/relationships/image" Target="media/b9caee8e68a2b73aa5fe03b4458459cbe7169cee.png"/><Relationship Id="rId11" Type="http://schemas.openxmlformats.org/officeDocument/2006/relationships/image" Target="media/214635537958346dc2781bead2fbf9680d3eca4b.png"/><Relationship Id="rId12" Type="http://schemas.openxmlformats.org/officeDocument/2006/relationships/image" Target="media/3acc800267f2805b726c12fda5a8f233ca994004.png"/><Relationship Id="rId13" Type="http://schemas.openxmlformats.org/officeDocument/2006/relationships/image" Target="media/0bb325efd00a6a18a1b39113735b66b3bc4c2f06.png"/><Relationship Id="rId14" Type="http://schemas.openxmlformats.org/officeDocument/2006/relationships/image" Target="media/8198ff0176d880b92b699cd92ae6009e41d5158b.png"/><Relationship Id="rId15" Type="http://schemas.openxmlformats.org/officeDocument/2006/relationships/image" Target="media/f36b4619027ced6ec1e4a20f05f15836582e860e.png"/><Relationship Id="rId16" Type="http://schemas.openxmlformats.org/officeDocument/2006/relationships/image" Target="media/b9bd33ed1f29b16d6f55f1ddb0218a638c0cf6a8.png"/><Relationship Id="rId17" Type="http://schemas.openxmlformats.org/officeDocument/2006/relationships/image" Target="media/c7e15c2066f7b4c362e01fe5e80585e7d6ec11b5.png"/><Relationship Id="rId18" Type="http://schemas.openxmlformats.org/officeDocument/2006/relationships/image" Target="media/fdf4138e6e6c909cb6060e73deea6b6a365fe52c.png"/><Relationship Id="rId19" Type="http://schemas.openxmlformats.org/officeDocument/2006/relationships/image" Target="media/9929b2031fdad4dfae6944cd9fa9573419ce0493.png"/><Relationship Id="rId20" Type="http://schemas.openxmlformats.org/officeDocument/2006/relationships/image" Target="media/269efe484a5dd6c3506392b97e4222cd0252a830.png"/><Relationship Id="rId21" Type="http://schemas.openxmlformats.org/officeDocument/2006/relationships/image" Target="media/ac530a0baecab4a273da73ce58ccd3e2241d1fb1.png"/><Relationship Id="rId22" Type="http://schemas.openxmlformats.org/officeDocument/2006/relationships/image" Target="media/e0707d2d42d8437433975f7547bb3d1ec8351eb6.png"/><Relationship Id="rId23" Type="http://schemas.openxmlformats.org/officeDocument/2006/relationships/image" Target="media/df76edb96743844b8f8233aea88cc79ecb2685c1.png"/><Relationship Id="rId24" Type="http://schemas.openxmlformats.org/officeDocument/2006/relationships/image" Target="media/84f0e6220fd8b75190e41d163e5adbc42b560d69.png"/><Relationship Id="rId25" Type="http://schemas.openxmlformats.org/officeDocument/2006/relationships/image" Target="media/b7a6fbc3c637440d8a87cf0f8f92b0a3139dbc54.png"/><Relationship Id="rId26" Type="http://schemas.openxmlformats.org/officeDocument/2006/relationships/image" Target="media/f8cd4bb07e9410afc943586393d3445aefb29642.png"/><Relationship Id="rId27" Type="http://schemas.openxmlformats.org/officeDocument/2006/relationships/image" Target="media/572f9a86fe18e7a78b43d4a0780cf3f06dada682.png"/><Relationship Id="rId28" Type="http://schemas.openxmlformats.org/officeDocument/2006/relationships/image" Target="media/f0c86b462ff03a479d9318d9d8566cb1aa7f69c3.png"/><Relationship Id="rId29" Type="http://schemas.openxmlformats.org/officeDocument/2006/relationships/image" Target="media/50c422bf03bba6eb31dae7713a013e449b517087.png"/><Relationship Id="rId30" Type="http://schemas.openxmlformats.org/officeDocument/2006/relationships/image" Target="media/c2bf2a7601a2d0a8c4665b974db8e59d854574c8.png"/><Relationship Id="rId31" Type="http://schemas.openxmlformats.org/officeDocument/2006/relationships/image" Target="media/e03b50470a313b05de873871c7ef639be2539928.png"/><Relationship Id="rId32" Type="http://schemas.openxmlformats.org/officeDocument/2006/relationships/image" Target="media/15094777cf509f3a3f12426e30cbd5259199985f.png"/><Relationship Id="rId33" Type="http://schemas.openxmlformats.org/officeDocument/2006/relationships/image" Target="media/6c053f8108f0dfdc86f4798f4aefc476772179dc.png"/><Relationship Id="rId34" Type="http://schemas.openxmlformats.org/officeDocument/2006/relationships/image" Target="media/f2575f97774f119ca360212a91cbd027e590e4b1.png"/><Relationship Id="rId35" Type="http://schemas.openxmlformats.org/officeDocument/2006/relationships/image" Target="media/3cdab014cf38c8490a691843f277d8ffddf0958f.png"/><Relationship Id="rId36" Type="http://schemas.openxmlformats.org/officeDocument/2006/relationships/image" Target="media/1a1893fbb22911237f545231db78ee698f84d8d2.png"/><Relationship Id="rId37" Type="http://schemas.openxmlformats.org/officeDocument/2006/relationships/image" Target="media/3f780924445ba12f6d7e472a2a71e671e11afe0c.png"/><Relationship Id="rId38" Type="http://schemas.openxmlformats.org/officeDocument/2006/relationships/image" Target="media/5fce12c3cd647dc4bcc2ea7ffc5734e4703084dd.png"/><Relationship Id="rId39" Type="http://schemas.openxmlformats.org/officeDocument/2006/relationships/image" Target="media/234730feaceb77a937b33ec9a125829f0b5ec0d7.png"/><Relationship Id="rId40" Type="http://schemas.openxmlformats.org/officeDocument/2006/relationships/image" Target="media/e100be7f979338b95e734c63b3493c59c906d165.png"/><Relationship Id="rId41" Type="http://schemas.openxmlformats.org/officeDocument/2006/relationships/image" Target="media/ca2b23d20dbda095d20879fb9656a6534ca757e5.png"/><Relationship Id="rId42" Type="http://schemas.openxmlformats.org/officeDocument/2006/relationships/image" Target="media/1d0fa16b0275beb6bbb4945efe84230c328fd7c2.png"/><Relationship Id="rId43" Type="http://schemas.openxmlformats.org/officeDocument/2006/relationships/image" Target="media/20b38ba379564bb1c109cf8ff58ea7d4a08134fb.png"/><Relationship Id="rId44" Type="http://schemas.openxmlformats.org/officeDocument/2006/relationships/image" Target="media/a4e6844d78b0c339913ea664594c0e6111290d54.png"/><Relationship Id="rId45" Type="http://schemas.openxmlformats.org/officeDocument/2006/relationships/image" Target="media/e30de95927ab00637c115c156114cf47d11591f8.png"/><Relationship Id="rId46" Type="http://schemas.openxmlformats.org/officeDocument/2006/relationships/image" Target="media/2e4cb16486e6eb7009e4015d49186ba6f31a2d12.png"/><Relationship Id="rId47" Type="http://schemas.openxmlformats.org/officeDocument/2006/relationships/image" Target="media/abe21e8fab2ed98eec99d8ab166b03c16b11e530.png"/><Relationship Id="rId48" Type="http://schemas.openxmlformats.org/officeDocument/2006/relationships/image" Target="media/a254136901e401f13a6b6825cd6915b9c892b333.png"/><Relationship Id="rId49" Type="http://schemas.openxmlformats.org/officeDocument/2006/relationships/image" Target="media/71f4fc081665d3b6d1b1aa0cda97f5cc771bc491.png"/><Relationship Id="rId50" Type="http://schemas.openxmlformats.org/officeDocument/2006/relationships/image" Target="media/85fe1a42ebf47dea17247082b580f08c6299f0de.png"/><Relationship Id="rId5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2026-10-18T08:53:27.339Z</dcterms:created>
  <dcterms:modified xsi:type="dcterms:W3CDTF">2026-10-18T08:53:27.347Z</dcterms:modified>
</cp:coreProperties>
</file>

<file path=docProps/custom.xml><?xml version="1.0" encoding="utf-8"?>
<Properties xmlns="http://schemas.openxmlformats.org/officeDocument/2006/custom-properties" xmlns:vt="http://schemas.openxmlformats.org/officeDocument/2006/docPropsVTypes"/>
</file>