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Can Artificial Intelligence Substitute for Classroom Teachers in Higher Education? A Hierarchical Fuzzy–Neural Feasibility Assessment Based on Global Student Survey Data</w:t>
      </w:r>
    </w:p>
    <w:p>
      <w:pPr>
        <w:pStyle w:val="BodyText"/>
      </w:pPr>
      <w:r>
        <w:t xml:space="preserve">Maliha Binta Sumaiya</w:t>
      </w:r>
      <w:r>
        <w:br/>
      </w:r>
      <w:r>
        <w:rPr>
          <w:highlight w:val="yellow"/>
        </w:rPr>
        <w:t xml:space="preserve">Department of Computer Science and Engineering, [University name], [City], [Country]</w:t>
      </w:r>
      <w:r>
        <w:br/>
      </w:r>
      <w:r>
        <w:t xml:space="preserve">Corresponding author: 4notebk@gmail.com</w:t>
      </w:r>
    </w:p>
    <w:bookmarkStart w:id="20" w:name="abstract"/>
    <w:p>
      <w:pPr>
        <w:pStyle w:val="Heading1"/>
      </w:pPr>
      <w:r>
        <w:t xml:space="preserve">Abstract</w:t>
      </w:r>
    </w:p>
    <w:p>
      <w:pPr>
        <w:pStyle w:val="FirstParagraph"/>
      </w:pPr>
      <w:r>
        <w:t xml:space="preserve">Generative artificial intelligence (AI) has revived the question of whether AI could substitute for university teachers. We assess this feasibility task by task. A hierarchical Mamdani fuzzy inference system combines eight evaluation factors into a 0–100 Teacher Replacement Feasibility Score (TRFS), and an activity-level fuzzy system classifies ten teaching activities as suitable for full AI replacement, partial AI assistance or human involvement. Applied to the open Global ChatGPT Student Survey (</w:t>
      </w:r>
      <m:oMath>
        <m:r>
          <m:t>N</m:t>
        </m:r>
        <m:r>
          <m:rPr>
            <m:sty m:val="p"/>
          </m:rPr>
          <m:t>=</m:t>
        </m:r>
        <m:r>
          <m:t>11</m:t>
        </m:r>
        <m:r>
          <m:rPr>
            <m:sty m:val="p"/>
          </m:rPr>
          <m:t>,</m:t>
        </m:r>
        <m:r>
          <m:t>920</m:t>
        </m:r>
      </m:oMath>
      <w:r>
        <w:t xml:space="preserve"> </w:t>
      </w:r>
      <w:r>
        <w:t xml:space="preserve">students, 92 countries; CFI </w:t>
      </w:r>
      <m:oMath>
        <m:r>
          <m:rPr>
            <m:sty m:val="p"/>
          </m:rPr>
          <m:t>=</m:t>
        </m:r>
        <m:r>
          <m:t>0.940</m:t>
        </m:r>
      </m:oMath>
      <w:r>
        <w:t xml:space="preserve">, RMSEA </w:t>
      </w:r>
      <m:oMath>
        <m:r>
          <m:rPr>
            <m:sty m:val="p"/>
          </m:rPr>
          <m:t>=</m:t>
        </m:r>
        <m:r>
          <m:t>0.052</m:t>
        </m:r>
      </m:oMath>
      <w:r>
        <w:t xml:space="preserve">), the TRFS correlated with an independent teacher-substitution criterion (</w:t>
      </w:r>
      <m:oMath>
        <m:r>
          <m:t>ρ</m:t>
        </m:r>
        <m:r>
          <m:rPr>
            <m:sty m:val="p"/>
          </m:rPr>
          <m:t>=</m:t>
        </m:r>
        <m:r>
          <m:t>0.39</m:t>
        </m:r>
      </m:oMath>
      <w:r>
        <w:t xml:space="preserve">). No activity reached the full-replacement band: content explanation (54.7) and question answering (53.3) scored highest, problem solving lowest (46.5), and the ranking was stable across 500 perturbed fuzzy designs (Kendall’s</w:t>
      </w:r>
      <w:r>
        <w:t xml:space="preserve"> </w:t>
      </w:r>
      <m:oMath>
        <m:r>
          <m:t>τ</m:t>
        </m:r>
        <m:r>
          <m:rPr>
            <m:sty m:val="p"/>
          </m:rPr>
          <m:t>=</m:t>
        </m:r>
        <m:r>
          <m:t>0.953</m:t>
        </m:r>
      </m:oMath>
      <w:r>
        <w:t xml:space="preserve">). We prove that a weighted-average variant of the hierarchy is bounded, continuous and monotone in every factor, which the Mamdani version is not, and show that both yield the same conclusions. An artificial neural network predicted the criterion best (</w:t>
      </w:r>
      <m:oMath>
        <m:sSup>
          <m:e>
            <m:r>
              <m:t>R</m:t>
            </m:r>
          </m:e>
          <m:sup>
            <m:r>
              <m:t>2</m:t>
            </m:r>
          </m:sup>
        </m:sSup>
        <m:r>
          <m:rPr>
            <m:sty m:val="p"/>
          </m:rPr>
          <m:t>=</m:t>
        </m:r>
        <m:r>
          <m:t>0.259</m:t>
        </m:r>
      </m:oMath>
      <w:r>
        <w:t xml:space="preserve">), whereas the untrained fuzzy score retained 60% of that variance with full interpretability. Shapley decomposition, multilevel models, quantile regression, equivalence tests and invariance analysis confirmed the findings; reliability was the dominant driver, and one-third of students were AI-enthusiasts for whom AI approaches the replacement threshold. The results support human–AI collaboration rather than teacher replacement.</w:t>
      </w:r>
    </w:p>
    <w:p>
      <w:pPr>
        <w:pStyle w:val="BodyText"/>
      </w:pPr>
      <w:r>
        <w:rPr>
          <w:bCs/>
          <w:b/>
        </w:rPr>
        <w:t xml:space="preserve">Keywords:</w:t>
      </w:r>
      <w:r>
        <w:t xml:space="preserve"> </w:t>
      </w:r>
      <w:r>
        <w:t xml:space="preserve">Artificial intelligence in education, Teacher replacement, Fuzzy inference system, Monotone fuzzy systems, Artificial neural network, Higher education</w: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Artificial intelligence (AI) has become one of the most consequential technologies in contemporary education. Systematic reviews document a rapid growth of AI applications in higher education, including profiling and prediction, intelligent tutoring, automated assessment and adaptive personalisation</w:t>
      </w:r>
      <w:r>
        <w:t xml:space="preserve"> </w:t>
      </w:r>
      <w:r>
        <w:t xml:space="preserve">(Zawacki-Richter et al. 2019; Crompton and Burke 2023; Bond et al. 2024)</w:t>
      </w:r>
      <w:r>
        <w:t xml:space="preserve">. The public release of large language models (LLMs) such as ChatGPT in late 2022 accelerated this trend dramatically. A single general-purpose system can now explain academic topics, generate learning material, answer student questions, give feedback on writing and solve many structured problems</w:t>
      </w:r>
      <w:r>
        <w:t xml:space="preserve"> </w:t>
      </w:r>
      <w:r>
        <w:t xml:space="preserve">(Kasneci et al. 2023; Dwivedi et al. 2023)</w:t>
      </w:r>
      <w:r>
        <w:t xml:space="preserve">. These capabilities overlap with core duties of university teachers, and they have reopened an old question in a sharper form:</w:t>
      </w:r>
      <w:r>
        <w:t xml:space="preserve"> </w:t>
      </w:r>
      <w:r>
        <w:rPr>
          <w:iCs/>
          <w:i/>
        </w:rPr>
        <w:t xml:space="preserve">to what extent can AI substitute for human teachers?</w:t>
      </w:r>
      <w:r>
        <w:t xml:space="preserve"> </w:t>
      </w:r>
      <w:r>
        <w:t xml:space="preserve">(Selwyn 2019; Popenici and Kerr 2017)</w:t>
      </w:r>
    </w:p>
    <w:p>
      <w:pPr>
        <w:pStyle w:val="BodyText"/>
      </w:pPr>
      <w:r>
        <w:t xml:space="preserve">The question is usually posed, and answered, in binary terms. Advocates point to the scalability, availability and patience of AI tutors and to meta-analytic evidence that intelligent tutoring systems can approach the effectiveness of human tutoring</w:t>
      </w:r>
      <w:r>
        <w:t xml:space="preserve"> </w:t>
      </w:r>
      <w:r>
        <w:t xml:space="preserve">(VanLehn 2011; Kulik and Fletcher 2016)</w:t>
      </w:r>
      <w:r>
        <w:t xml:space="preserve">. Critics point to hallucinated content, threats to academic integrity, privacy risks and the irreducibly social and emotional nature of teaching</w:t>
      </w:r>
      <w:r>
        <w:t xml:space="preserve"> </w:t>
      </w:r>
      <w:r>
        <w:t xml:space="preserve">(Rudolph, Tan, and Tan 2023; Cotton, Cotton, and Shipway 2024; Miao and Holmes 2023)</w:t>
      </w:r>
      <w:r>
        <w:t xml:space="preserve">. Surveys of students and teachers mostly conclude that AI cannot fully replace teachers</w:t>
      </w:r>
      <w:r>
        <w:t xml:space="preserve"> </w:t>
      </w:r>
      <w:r>
        <w:t xml:space="preserve">(Chan and Tsi 2024; Chan and Hu 2023)</w:t>
      </w:r>
      <w:r>
        <w:t xml:space="preserve">. However, they rarely state</w:t>
      </w:r>
      <w:r>
        <w:t xml:space="preserve"> </w:t>
      </w:r>
      <w:r>
        <w:rPr>
          <w:iCs/>
          <w:i/>
        </w:rPr>
        <w:t xml:space="preserve">which parts</w:t>
      </w:r>
      <w:r>
        <w:t xml:space="preserve"> </w:t>
      </w:r>
      <w:r>
        <w:t xml:space="preserve">of the teaching role might be substitutable and</w:t>
      </w:r>
      <w:r>
        <w:t xml:space="preserve"> </w:t>
      </w:r>
      <w:r>
        <w:rPr>
          <w:iCs/>
          <w:i/>
        </w:rPr>
        <w:t xml:space="preserve">how</w:t>
      </w:r>
      <w:r>
        <w:t xml:space="preserve"> </w:t>
      </w:r>
      <w:r>
        <w:t xml:space="preserve">the various perceptions should be weighed against each other.</w:t>
      </w:r>
    </w:p>
    <w:p>
      <w:pPr>
        <w:pStyle w:val="BodyText"/>
      </w:pPr>
      <w:r>
        <w:t xml:space="preserve">A university teacher performs a bundle of distinct activities: explaining concepts, answering questions, giving feedback, assessing, personalising instruction, motivating, managing classroom communication, guiding students academically, developing problem-solving skills and offering emotional and social support. The economics of automation shows that technological substitution happens at the level of</w:t>
      </w:r>
      <w:r>
        <w:t xml:space="preserve"> </w:t>
      </w:r>
      <w:r>
        <w:rPr>
          <w:iCs/>
          <w:i/>
        </w:rPr>
        <w:t xml:space="preserve">tasks</w:t>
      </w:r>
      <w:r>
        <w:t xml:space="preserve">, not whole occupations</w:t>
      </w:r>
      <w:r>
        <w:t xml:space="preserve"> </w:t>
      </w:r>
      <w:r>
        <w:t xml:space="preserve">(Autor, Levy, and Murnane 2003; Frey and Osborne 2017; Eloundou et al. 2024)</w:t>
      </w:r>
      <w:r>
        <w:t xml:space="preserve">. Applying this task-based lens to teaching requires a method that can (i) aggregate several imprecise, partly conflicting judgements, (ii) express the result on an interpretable graded scale rather than as yes/no, and (iii) remain transparent enough for educational decision makers to audit. Soft computing is well suited to these requirements. Fuzzy logic represents linguistic judgements such as</w:t>
      </w:r>
      <w:r>
        <w:t xml:space="preserve"> </w:t>
      </w:r>
      <w:r>
        <w:t xml:space="preserve">“</w:t>
      </w:r>
      <w:r>
        <w:t xml:space="preserve">highly effective but only moderately reliable</w:t>
      </w:r>
      <w:r>
        <w:t xml:space="preserve">”</w:t>
      </w:r>
      <w:r>
        <w:t xml:space="preserve"> </w:t>
      </w:r>
      <w:r>
        <w:t xml:space="preserve">(Zadeh 1965; Mamdani and Assilian 1975)</w:t>
      </w:r>
      <w:r>
        <w:t xml:space="preserve">. Artificial neural networks (ANNs) learn non-linear relationships from data</w:t>
      </w:r>
      <w:r>
        <w:t xml:space="preserve"> </w:t>
      </w:r>
      <w:r>
        <w:t xml:space="preserve">(Rumelhart, Hinton, and Williams 1986; Hornik, Stinchcombe, and White 1989)</w:t>
      </w:r>
      <w:r>
        <w:t xml:space="preserve">. Fuzzy methods have a long history in student evaluation</w:t>
      </w:r>
      <w:r>
        <w:t xml:space="preserve"> </w:t>
      </w:r>
      <w:r>
        <w:t xml:space="preserve">(Biswas 1995; Chen and Lee 1999)</w:t>
      </w:r>
      <w:r>
        <w:t xml:space="preserve">, yet to our knowledge they have not been used to quantify the feasibility of substituting teachers with AI.</w:t>
      </w:r>
    </w:p>
    <w:p>
      <w:pPr>
        <w:pStyle w:val="BodyText"/>
      </w:pPr>
      <w:r>
        <w:t xml:space="preserve">This study develops and empirically tests such a framework. We make six contributions:</w:t>
      </w:r>
    </w:p>
    <w:p>
      <w:pPr>
        <w:numPr>
          <w:ilvl w:val="0"/>
          <w:numId w:val="1001"/>
        </w:numPr>
      </w:pPr>
      <w:r>
        <w:t xml:space="preserve">We propose a</w:t>
      </w:r>
      <w:r>
        <w:t xml:space="preserve"> </w:t>
      </w:r>
      <w:r>
        <w:rPr>
          <w:iCs/>
          <w:i/>
        </w:rPr>
        <w:t xml:space="preserve">hierarchical</w:t>
      </w:r>
      <w:r>
        <w:t xml:space="preserve"> </w:t>
      </w:r>
      <w:r>
        <w:t xml:space="preserve">Mamdani fuzzy inference system (HFIS) that combines eight evaluation factors into a Teacher Replacement Feasibility Score (TRFS, 0–100). It also includes an activity-level FIS that classifies teaching activities as suitable for full AI replacement, partial AI assistance or human involvement.</w:t>
      </w:r>
    </w:p>
    <w:p>
      <w:pPr>
        <w:numPr>
          <w:ilvl w:val="0"/>
          <w:numId w:val="1001"/>
        </w:numPr>
      </w:pPr>
      <w:r>
        <w:t xml:space="preserve">We operationalise the framework on a large, open, multinational dataset</w:t>
      </w:r>
      <w:r>
        <w:t xml:space="preserve"> </w:t>
      </w:r>
      <w:r>
        <w:t xml:space="preserve">(the Global ChatGPT Student Survey; Ravšelj et al. 2025b, 2025a)</w:t>
      </w:r>
      <w:r>
        <w:t xml:space="preserve">. The eight-factor measurement model is validated by confirmatory factor analysis before any soft-computing step.</w:t>
      </w:r>
    </w:p>
    <w:p>
      <w:pPr>
        <w:numPr>
          <w:ilvl w:val="0"/>
          <w:numId w:val="1001"/>
        </w:numPr>
      </w:pPr>
      <w:r>
        <w:t xml:space="preserve">We benchmark an ANN, a hybrid fuzzy–ANN and four standard learners against the fuzzy score under repeated cross-validation with corrected significance tests. We thereby quantify the trade-off between predictive accuracy and interpretability.</w:t>
      </w:r>
    </w:p>
    <w:p>
      <w:pPr>
        <w:numPr>
          <w:ilvl w:val="0"/>
          <w:numId w:val="1001"/>
        </w:numPr>
      </w:pPr>
      <w:r>
        <w:t xml:space="preserve">We report extensive robustness checks: Monte Carlo perturbation of membership functions, inference operators and rule rounding, plus subgroup analyses. These show how much the substantive conclusions depend on the analyst’s fuzzy design choices.</w:t>
      </w:r>
    </w:p>
    <w:p>
      <w:pPr>
        <w:numPr>
          <w:ilvl w:val="0"/>
          <w:numId w:val="1001"/>
        </w:numPr>
      </w:pPr>
      <w:r>
        <w:t xml:space="preserve">We derive formal properties of the framework (decision thresholds, closed-form consequent centroids and rule-base complexity) and</w:t>
      </w:r>
      <w:r>
        <w:t xml:space="preserve"> </w:t>
      </w:r>
      <w:r>
        <w:rPr>
          <w:iCs/>
          <w:i/>
        </w:rPr>
        <w:t xml:space="preserve">prove</w:t>
      </w:r>
      <w:r>
        <w:t xml:space="preserve"> </w:t>
      </w:r>
      <w:r>
        <w:t xml:space="preserve">that a weighted-average variant is bounded, continuous, Lipschitz and monotone in every factor. Exhaustive grid verification shows that the conventional Mamdani system violates monotonicity.</w:t>
      </w:r>
    </w:p>
    <w:p>
      <w:pPr>
        <w:numPr>
          <w:ilvl w:val="0"/>
          <w:numId w:val="1001"/>
        </w:numPr>
      </w:pPr>
      <w:r>
        <w:t xml:space="preserve">We complement the soft-computing results with an exact Shapley decomposition of explained variance, multilevel models of country effects, quantile regression, equivalence testing, measurement-invariance analysis and a typology of students.</w:t>
      </w:r>
    </w:p>
    <w:p>
      <w:pPr>
        <w:pStyle w:val="FirstParagraph"/>
      </w:pPr>
      <w:r>
        <w:t xml:space="preserve">The study addresses five research questions:</w:t>
      </w:r>
      <w:r>
        <w:t xml:space="preserve"> </w:t>
      </w:r>
      <w:r>
        <w:rPr>
          <w:bCs/>
          <w:b/>
        </w:rPr>
        <w:t xml:space="preserve">RQ1</w:t>
      </w:r>
      <w:r>
        <w:t xml:space="preserve">: Which teaching activities can currently be performed effectively by AI in higher education, as perceived by students?</w:t>
      </w:r>
      <w:r>
        <w:t xml:space="preserve"> </w:t>
      </w:r>
      <w:r>
        <w:rPr>
          <w:bCs/>
          <w:b/>
        </w:rPr>
        <w:t xml:space="preserve">RQ2</w:t>
      </w:r>
      <w:r>
        <w:t xml:space="preserve">: Which factors have the greatest influence on the feasibility of AI-based teacher substitution?</w:t>
      </w:r>
      <w:r>
        <w:t xml:space="preserve"> </w:t>
      </w:r>
      <w:r>
        <w:rPr>
          <w:bCs/>
          <w:b/>
        </w:rPr>
        <w:t xml:space="preserve">RQ3</w:t>
      </w:r>
      <w:r>
        <w:t xml:space="preserve">: Can soft computing techniques quantify substitution feasibility in a valid and robust way, and how do fuzzy and neural approaches compare?</w:t>
      </w:r>
      <w:r>
        <w:t xml:space="preserve"> </w:t>
      </w:r>
      <w:r>
        <w:rPr>
          <w:bCs/>
          <w:b/>
        </w:rPr>
        <w:t xml:space="preserve">RQ4</w:t>
      </w:r>
      <w:r>
        <w:t xml:space="preserve">: Which teaching activities fall into the full replacement, partial assistance and human-involvement categories?</w:t>
      </w:r>
      <w:r>
        <w:t xml:space="preserve"> </w:t>
      </w:r>
      <w:r>
        <w:rPr>
          <w:bCs/>
          <w:b/>
        </w:rPr>
        <w:t xml:space="preserve">RQ5</w:t>
      </w:r>
      <w:r>
        <w:t xml:space="preserve">: What are the major limitations of AI relative to human teachers that emerge from the analysis?</w:t>
      </w:r>
    </w:p>
    <w:p>
      <w:pPr>
        <w:pStyle w:val="BodyText"/>
      </w:pPr>
      <w:r>
        <w:t xml:space="preserve">The remainder of the paper is organised as follows. Section 2 reviews related work. Section 3 presents the framework, Section 4 the data and methods, and Section 5 the results. Section 6 discusses implications, Section 7 limitations and future work, and Section 8 concludes.</w:t>
      </w:r>
    </w:p>
    <w:bookmarkEnd w:id="21"/>
    <w:bookmarkStart w:id="26" w:name="related-work"/>
    <w:p>
      <w:pPr>
        <w:pStyle w:val="Heading1"/>
      </w:pPr>
      <w:r>
        <w:rPr>
          <w:rStyle w:val="SectionNumber"/>
        </w:rPr>
        <w:t xml:space="preserve">2</w:t>
      </w:r>
      <w:r>
        <w:tab/>
      </w:r>
      <w:r>
        <w:t xml:space="preserve">Related work</w:t>
      </w:r>
    </w:p>
    <w:bookmarkStart w:id="22" w:name="ai-and-generative-ai-in-higher-education"/>
    <w:p>
      <w:pPr>
        <w:pStyle w:val="Heading2"/>
      </w:pPr>
      <w:r>
        <w:rPr>
          <w:rStyle w:val="SectionNumber"/>
        </w:rPr>
        <w:t xml:space="preserve">2.1</w:t>
      </w:r>
      <w:r>
        <w:tab/>
      </w:r>
      <w:r>
        <w:t xml:space="preserve">AI and generative AI in higher education</w:t>
      </w:r>
    </w:p>
    <w:p>
      <w:pPr>
        <w:pStyle w:val="FirstParagraph"/>
      </w:pPr>
      <w:r>
        <w:t xml:space="preserve">Research on AI in education (AIEd) predates generative AI by decades</w:t>
      </w:r>
      <w:r>
        <w:t xml:space="preserve"> </w:t>
      </w:r>
      <w:r>
        <w:t xml:space="preserve">(Luckin et al. 2016; Holmes, Bialik, and Fadel 2019)</w:t>
      </w:r>
      <w:r>
        <w:t xml:space="preserve">.</w:t>
      </w:r>
      <w:r>
        <w:t xml:space="preserve"> </w:t>
      </w:r>
      <w:r>
        <w:t xml:space="preserve">Zawacki-Richter et al. (2019)</w:t>
      </w:r>
      <w:r>
        <w:t xml:space="preserve"> </w:t>
      </w:r>
      <w:r>
        <w:t xml:space="preserve">reviewed 146 higher education studies (2007–2018). They identified four application areas: profiling and prediction, assessment and evaluation, adaptive systems and personalisation, and intelligent tutoring systems. They also criticised the weak involvement of educators and the lack of critical reflection on risks. Subsequent reviews confirmed rapid growth and similar gaps</w:t>
      </w:r>
      <w:r>
        <w:t xml:space="preserve"> </w:t>
      </w:r>
      <w:r>
        <w:t xml:space="preserve">(Crompton and Burke 2023)</w:t>
      </w:r>
      <w:r>
        <w:t xml:space="preserve">. A meta-review of 66 evidence syntheses called for more attention to ethics, collaboration and methodological rigour</w:t>
      </w:r>
      <w:r>
        <w:t xml:space="preserve"> </w:t>
      </w:r>
      <w:r>
        <w:t xml:space="preserve">(Bond et al. 2024)</w:t>
      </w:r>
      <w:r>
        <w:t xml:space="preserve">. Generative AI broadened the scope of AIEd from narrow, domain-specific tutors to general-purpose conversational agents. These agents offer opportunities for content creation, engagement and personalisation but raise new concerns about accuracy, bias, over-reliance and integrity</w:t>
      </w:r>
      <w:r>
        <w:t xml:space="preserve"> </w:t>
      </w:r>
      <w:r>
        <w:t xml:space="preserve">(Kasneci et al. 2023; Dwivedi et al. 2023; Rudolph, Tan, and Tan 2023; Cotton, Cotton, and Shipway 2024)</w:t>
      </w:r>
      <w:r>
        <w:t xml:space="preserve">. International guidance recommends a human-centred approach in which generative AI augments, rather than replaces, human teachers</w:t>
      </w:r>
      <w:r>
        <w:t xml:space="preserve"> </w:t>
      </w:r>
      <w:r>
        <w:t xml:space="preserve">(Miao and Holmes 2023)</w:t>
      </w:r>
      <w:r>
        <w:t xml:space="preserve">.</w:t>
      </w:r>
    </w:p>
    <w:bookmarkEnd w:id="22"/>
    <w:bookmarkStart w:id="23" w:name="can-ai-replace-teachers"/>
    <w:p>
      <w:pPr>
        <w:pStyle w:val="Heading2"/>
      </w:pPr>
      <w:r>
        <w:rPr>
          <w:rStyle w:val="SectionNumber"/>
        </w:rPr>
        <w:t xml:space="preserve">2.2</w:t>
      </w:r>
      <w:r>
        <w:tab/>
      </w:r>
      <w:r>
        <w:t xml:space="preserve">Can AI replace teachers?</w:t>
      </w:r>
    </w:p>
    <w:p>
      <w:pPr>
        <w:pStyle w:val="FirstParagraph"/>
      </w:pPr>
      <w:r>
        <w:t xml:space="preserve">The replacement debate has been framed both philosophically and empirically.</w:t>
      </w:r>
      <w:r>
        <w:t xml:space="preserve"> </w:t>
      </w:r>
      <w:r>
        <w:t xml:space="preserve">Selwyn (2019)</w:t>
      </w:r>
      <w:r>
        <w:t xml:space="preserve"> </w:t>
      </w:r>
      <w:r>
        <w:t xml:space="preserve">argues that teaching is a relational and moral practice that cannot be reduced to information delivery. Evidence on intelligent tutoring nevertheless shows substantial learning gains in well-defined domains</w:t>
      </w:r>
      <w:r>
        <w:t xml:space="preserve"> </w:t>
      </w:r>
      <w:r>
        <w:t xml:space="preserve">(VanLehn 2011; Kulik and Fletcher 2016)</w:t>
      </w:r>
      <w:r>
        <w:t xml:space="preserve">. Among recent empirical studies,</w:t>
      </w:r>
      <w:r>
        <w:t xml:space="preserve"> </w:t>
      </w:r>
      <w:r>
        <w:t xml:space="preserve">Chan and Tsi (2024)</w:t>
      </w:r>
      <w:r>
        <w:t xml:space="preserve"> </w:t>
      </w:r>
      <w:r>
        <w:t xml:space="preserve">surveyed 399 students and 184 teachers in Hong Kong: most respondents rejected full replacement and emphasised teachers’ critical thinking and socio-emotional qualities.</w:t>
      </w:r>
      <w:r>
        <w:t xml:space="preserve"> </w:t>
      </w:r>
      <w:r>
        <w:t xml:space="preserve">Chan and Hu (2023)</w:t>
      </w:r>
      <w:r>
        <w:t xml:space="preserve"> </w:t>
      </w:r>
      <w:r>
        <w:t xml:space="preserve">found that students value generative AI for personalised support, writing and brainstorming but worry about accuracy, privacy and ethics. The Global ChatGPT Student Survey of</w:t>
      </w:r>
      <w:r>
        <w:t xml:space="preserve"> </w:t>
      </w:r>
      <w:r>
        <w:t xml:space="preserve">Ravšelj et al. (2025b)</w:t>
      </w:r>
      <w:r>
        <w:t xml:space="preserve">, with more than 23,000 students in 109 countries, showed that students found ChatGPT useful for simplifying and summarising information. They regarded it as less reliable for providing information and for supporting classroom learning, although some considered its explanations clearer than those of their teachers. Technology-acceptance research explains</w:t>
      </w:r>
      <w:r>
        <w:t xml:space="preserve"> </w:t>
      </w:r>
      <w:r>
        <w:rPr>
          <w:iCs/>
          <w:i/>
        </w:rPr>
        <w:t xml:space="preserve">adoption</w:t>
      </w:r>
      <w:r>
        <w:t xml:space="preserve"> </w:t>
      </w:r>
      <w:r>
        <w:t xml:space="preserve">(Venkatesh et al. 2003)</w:t>
      </w:r>
      <w:r>
        <w:t xml:space="preserve">, but not whether a given teaching task could be</w:t>
      </w:r>
      <w:r>
        <w:t xml:space="preserve"> </w:t>
      </w:r>
      <w:r>
        <w:rPr>
          <w:iCs/>
          <w:i/>
        </w:rPr>
        <w:t xml:space="preserve">delegated</w:t>
      </w:r>
      <w:r>
        <w:t xml:space="preserve">. The task-based literature on automation addresses that delegation question in labour markets</w:t>
      </w:r>
      <w:r>
        <w:t xml:space="preserve"> </w:t>
      </w:r>
      <w:r>
        <w:t xml:space="preserve">(Autor, Levy, and Murnane 2003; Frey and Osborne 2017; Eloundou et al. 2024)</w:t>
      </w:r>
      <w:r>
        <w:t xml:space="preserve">, but it has not been applied systematically to the activities of university teaching.</w:t>
      </w:r>
    </w:p>
    <w:bookmarkEnd w:id="23"/>
    <w:bookmarkStart w:id="24" w:name="X128740f307076148d19dc46560bac3d1e9a0094"/>
    <w:p>
      <w:pPr>
        <w:pStyle w:val="Heading2"/>
      </w:pPr>
      <w:r>
        <w:rPr>
          <w:rStyle w:val="SectionNumber"/>
        </w:rPr>
        <w:t xml:space="preserve">2.3</w:t>
      </w:r>
      <w:r>
        <w:tab/>
      </w:r>
      <w:r>
        <w:t xml:space="preserve">Soft computing for educational evaluation</w:t>
      </w:r>
    </w:p>
    <w:p>
      <w:pPr>
        <w:pStyle w:val="FirstParagraph"/>
      </w:pPr>
      <w:r>
        <w:t xml:space="preserve">Fuzzy set theory models graded membership in vague categories</w:t>
      </w:r>
      <w:r>
        <w:t xml:space="preserve"> </w:t>
      </w:r>
      <w:r>
        <w:t xml:space="preserve">(Zadeh 1965)</w:t>
      </w:r>
      <w:r>
        <w:t xml:space="preserve">. Mamdani-type inference turns linguistic IF–THEN rules into a crisp decision value</w:t>
      </w:r>
      <w:r>
        <w:t xml:space="preserve"> </w:t>
      </w:r>
      <w:r>
        <w:t xml:space="preserve">(Mamdani and Assilian 1975; Ross 2010)</w:t>
      </w:r>
      <w:r>
        <w:t xml:space="preserve">. Educational applications include fuzzy grading of answer scripts and student evaluation</w:t>
      </w:r>
      <w:r>
        <w:t xml:space="preserve"> </w:t>
      </w:r>
      <w:r>
        <w:t xml:space="preserve">(Biswas 1995; Chen and Lee 1999)</w:t>
      </w:r>
      <w:r>
        <w:t xml:space="preserve">. Hierarchical fuzzy systems decompose a many-input problem into small sub-systems, which avoids the exponential growth of the rule base while preserving approximation capability</w:t>
      </w:r>
      <w:r>
        <w:t xml:space="preserve"> </w:t>
      </w:r>
      <w:r>
        <w:t xml:space="preserve">(Wang 1998)</w:t>
      </w:r>
      <w:r>
        <w:t xml:space="preserve">. ANNs, in turn, are universal approximators</w:t>
      </w:r>
      <w:r>
        <w:t xml:space="preserve"> </w:t>
      </w:r>
      <w:r>
        <w:t xml:space="preserve">(Hornik, Stinchcombe, and White 1989)</w:t>
      </w:r>
      <w:r>
        <w:t xml:space="preserve"> </w:t>
      </w:r>
      <w:r>
        <w:t xml:space="preserve">and are widely used for educational prediction</w:t>
      </w:r>
      <w:r>
        <w:t xml:space="preserve"> </w:t>
      </w:r>
      <w:r>
        <w:t xml:space="preserve">(Romero and Ventura 2020)</w:t>
      </w:r>
      <w:r>
        <w:t xml:space="preserve">. Neuro-fuzzy systems such as ANFIS combine both paradigms</w:t>
      </w:r>
      <w:r>
        <w:t xml:space="preserve"> </w:t>
      </w:r>
      <w:r>
        <w:t xml:space="preserve">(Jang 1993)</w:t>
      </w:r>
      <w:r>
        <w:t xml:space="preserve">.</w:t>
      </w:r>
    </w:p>
    <w:bookmarkEnd w:id="24"/>
    <w:bookmarkStart w:id="25" w:name="research-gap"/>
    <w:p>
      <w:pPr>
        <w:pStyle w:val="Heading2"/>
      </w:pPr>
      <w:r>
        <w:rPr>
          <w:rStyle w:val="SectionNumber"/>
        </w:rPr>
        <w:t xml:space="preserve">2.4</w:t>
      </w:r>
      <w:r>
        <w:tab/>
      </w:r>
      <w:r>
        <w:t xml:space="preserve">Research gap</w:t>
      </w:r>
    </w:p>
    <w:p>
      <w:pPr>
        <w:pStyle w:val="FirstParagraph"/>
      </w:pPr>
      <w:r>
        <w:t xml:space="preserve">Three gaps follow from this review. First, studies of AI substitution of teachers rarely decompose teaching into activities and almost never produce a graded, comparable feasibility measure per activity. Second, the soft-computing literature in education has focused on assessing</w:t>
      </w:r>
      <w:r>
        <w:t xml:space="preserve"> </w:t>
      </w:r>
      <w:r>
        <w:rPr>
          <w:iCs/>
          <w:i/>
        </w:rPr>
        <w:t xml:space="preserve">students</w:t>
      </w:r>
      <w:r>
        <w:t xml:space="preserve">, not on assessing the substitutability of</w:t>
      </w:r>
      <w:r>
        <w:t xml:space="preserve"> </w:t>
      </w:r>
      <w:r>
        <w:rPr>
          <w:iCs/>
          <w:i/>
        </w:rPr>
        <w:t xml:space="preserve">teaching work</w:t>
      </w:r>
      <w:r>
        <w:t xml:space="preserve">. Third, most perception studies use small, single-country samples and do not validate their measurement models or test the robustness of their conclusions. The present study addresses all three.</w:t>
      </w:r>
    </w:p>
    <w:bookmarkEnd w:id="25"/>
    <w:bookmarkEnd w:id="26"/>
    <w:bookmarkStart w:id="36" w:name="proposed-framework"/>
    <w:p>
      <w:pPr>
        <w:pStyle w:val="Heading1"/>
      </w:pPr>
      <w:r>
        <w:rPr>
          <w:rStyle w:val="SectionNumber"/>
        </w:rPr>
        <w:t xml:space="preserve">3</w:t>
      </w:r>
      <w:r>
        <w:tab/>
      </w:r>
      <w:r>
        <w:t xml:space="preserve">Proposed framework</w:t>
      </w:r>
    </w:p>
    <w:p>
      <w:pPr>
        <w:pStyle w:val="FirstParagraph"/>
      </w:pPr>
      <w:r>
        <w:t xml:space="preserve">Fig. 1 summarises the framework. Questionnaire responses are first aggregated into eight evaluation factors (Table 4). Their scores enter a hierarchical fuzzy system with three first-level sub-systems:</w:t>
      </w:r>
      <w:r>
        <w:t xml:space="preserve"> </w:t>
      </w:r>
      <w:r>
        <w:rPr>
          <w:iCs/>
          <w:i/>
        </w:rPr>
        <w:t xml:space="preserve">pedagogical capability</w:t>
      </w:r>
      <w:r>
        <w:t xml:space="preserve"> </w:t>
      </w:r>
      <m:oMath>
        <m:r>
          <m:rPr>
            <m:sty m:val="p"/>
          </m:rPr>
          <m:t>P</m:t>
        </m:r>
        <m:r>
          <m:rPr>
            <m:sty m:val="p"/>
          </m:rPr>
          <m:t>C</m:t>
        </m:r>
        <m:r>
          <m:rPr>
            <m:sty m:val="p"/>
          </m:rPr>
          <m:t>=</m:t>
        </m:r>
        <m:sSub>
          <m:e>
            <m:r>
              <m:t>f</m:t>
            </m:r>
          </m:e>
          <m:sub>
            <m:r>
              <m:t>1</m:t>
            </m:r>
          </m:sub>
        </m:sSub>
        <m:d>
          <m:dPr>
            <m:begChr m:val="("/>
            <m:endChr m:val=")"/>
            <m:sepChr m:val=""/>
            <m:grow/>
          </m:dPr>
          <m:e>
            <m:r>
              <m:rPr>
                <m:sty m:val="p"/>
              </m:rPr>
              <m:t>T</m:t>
            </m:r>
            <m:r>
              <m:rPr>
                <m:sty m:val="p"/>
              </m:rPr>
              <m:t>E</m:t>
            </m:r>
            <m:r>
              <m:rPr>
                <m:sty m:val="p"/>
              </m:rPr>
              <m:t>,</m:t>
            </m:r>
            <m:r>
              <m:rPr>
                <m:sty m:val="p"/>
              </m:rPr>
              <m:t>P</m:t>
            </m:r>
            <m:r>
              <m:rPr>
                <m:sty m:val="p"/>
              </m:rPr>
              <m:t>,</m:t>
            </m:r>
            <m:r>
              <m:rPr>
                <m:sty m:val="p"/>
              </m:rPr>
              <m:t>A</m:t>
            </m:r>
            <m:r>
              <m:rPr>
                <m:sty m:val="p"/>
              </m:rPr>
              <m:t>C</m:t>
            </m:r>
            <m:r>
              <m:rPr>
                <m:sty m:val="p"/>
              </m:rPr>
              <m:t>,</m:t>
            </m:r>
            <m:r>
              <m:rPr>
                <m:sty m:val="p"/>
              </m:rPr>
              <m:t>A</m:t>
            </m:r>
          </m:e>
        </m:d>
      </m:oMath>
      <w:r>
        <w:t xml:space="preserve">,</w:t>
      </w:r>
      <w:r>
        <w:t xml:space="preserve"> </w:t>
      </w:r>
      <w:r>
        <w:rPr>
          <w:iCs/>
          <w:i/>
        </w:rPr>
        <w:t xml:space="preserve">interaction quality</w:t>
      </w:r>
      <w:r>
        <w:t xml:space="preserve"> </w:t>
      </w:r>
      <m:oMath>
        <m:r>
          <m:rPr>
            <m:sty m:val="p"/>
          </m:rPr>
          <m:t>I</m:t>
        </m:r>
        <m:r>
          <m:rPr>
            <m:sty m:val="p"/>
          </m:rPr>
          <m:t>Q</m:t>
        </m:r>
        <m:r>
          <m:rPr>
            <m:sty m:val="p"/>
          </m:rPr>
          <m:t>=</m:t>
        </m:r>
        <m:sSub>
          <m:e>
            <m:r>
              <m:t>f</m:t>
            </m:r>
          </m:e>
          <m:sub>
            <m:r>
              <m:t>2</m:t>
            </m:r>
          </m:sub>
        </m:sSub>
        <m:d>
          <m:dPr>
            <m:begChr m:val="("/>
            <m:endChr m:val=")"/>
            <m:sepChr m:val=""/>
            <m:grow/>
          </m:dPr>
          <m:e>
            <m:r>
              <m:rPr>
                <m:sty m:val="p"/>
              </m:rPr>
              <m:t>S</m:t>
            </m:r>
            <m:r>
              <m:rPr>
                <m:sty m:val="p"/>
              </m:rPr>
              <m:t>E</m:t>
            </m:r>
            <m:r>
              <m:rPr>
                <m:sty m:val="p"/>
              </m:rPr>
              <m:t>,</m:t>
            </m:r>
            <m:r>
              <m:rPr>
                <m:sty m:val="p"/>
              </m:rPr>
              <m:t>C</m:t>
            </m:r>
          </m:e>
        </m:d>
      </m:oMath>
      <w:r>
        <w:t xml:space="preserve"> </w:t>
      </w:r>
      <w:r>
        <w:t xml:space="preserve">and</w:t>
      </w:r>
      <w:r>
        <w:t xml:space="preserve"> </w:t>
      </w:r>
      <w:r>
        <w:rPr>
          <w:iCs/>
          <w:i/>
        </w:rPr>
        <w:t xml:space="preserve">trustworthiness</w:t>
      </w:r>
      <w:r>
        <w:t xml:space="preserve"> </w:t>
      </w:r>
      <m:oMath>
        <m:r>
          <m:rPr>
            <m:sty m:val="p"/>
          </m:rPr>
          <m:t>T</m:t>
        </m:r>
        <m:r>
          <m:rPr>
            <m:sty m:val="p"/>
          </m:rPr>
          <m:t>W</m:t>
        </m:r>
        <m:r>
          <m:rPr>
            <m:sty m:val="p"/>
          </m:rPr>
          <m:t>=</m:t>
        </m:r>
        <m:sSub>
          <m:e>
            <m:r>
              <m:t>f</m:t>
            </m:r>
          </m:e>
          <m:sub>
            <m:r>
              <m:t>3</m:t>
            </m:r>
          </m:sub>
        </m:sSub>
        <m:d>
          <m:dPr>
            <m:begChr m:val="("/>
            <m:endChr m:val=")"/>
            <m:sepChr m:val=""/>
            <m:grow/>
          </m:dPr>
          <m:e>
            <m:r>
              <m:rPr>
                <m:sty m:val="p"/>
              </m:rPr>
              <m:t>R</m:t>
            </m:r>
            <m:r>
              <m:rPr>
                <m:sty m:val="p"/>
              </m:rPr>
              <m:t>,</m:t>
            </m:r>
            <m:r>
              <m:rPr>
                <m:sty m:val="p"/>
              </m:rPr>
              <m:t>E</m:t>
            </m:r>
          </m:e>
        </m:d>
      </m:oMath>
      <w:r>
        <w:t xml:space="preserve">. A second-level system then produces</w:t>
      </w:r>
    </w:p>
    <w:p>
      <w:pPr>
        <w:pStyle w:val="BodyText"/>
      </w:pPr>
      <m:oMathPara>
        <m:oMathParaPr>
          <m:jc m:val="center"/>
        </m:oMathParaPr>
        <m:oMath>
          <m:r>
            <m:rPr>
              <m:sty m:val="p"/>
            </m:rPr>
            <m:t>T</m:t>
          </m:r>
          <m:r>
            <m:rPr>
              <m:sty m:val="p"/>
            </m:rPr>
            <m:t>R</m:t>
          </m:r>
          <m:r>
            <m:rPr>
              <m:sty m:val="p"/>
            </m:rPr>
            <m:t>F</m:t>
          </m:r>
          <m:r>
            <m:rPr>
              <m:sty m:val="p"/>
            </m:rPr>
            <m:t>S</m:t>
          </m:r>
          <m:r>
            <m:rPr>
              <m:sty m:val="p"/>
            </m:rPr>
            <m:t>=</m:t>
          </m:r>
          <m:sSub>
            <m:e>
              <m:r>
                <m:t>f</m:t>
              </m:r>
            </m:e>
            <m:sub>
              <m:r>
                <m:t>4</m:t>
              </m:r>
            </m:sub>
          </m:sSub>
          <m:d>
            <m:dPr>
              <m:begChr m:val="("/>
              <m:endChr m:val=")"/>
              <m:sepChr m:val=""/>
              <m:grow/>
            </m:dPr>
            <m:e>
              <m:r>
                <m:rPr>
                  <m:sty m:val="p"/>
                </m:rPr>
                <m:t>P</m:t>
              </m:r>
              <m:r>
                <m:rPr>
                  <m:sty m:val="p"/>
                </m:rPr>
                <m:t>C</m:t>
              </m:r>
              <m:r>
                <m:rPr>
                  <m:sty m:val="p"/>
                </m:rPr>
                <m:t>,</m:t>
              </m:r>
              <m:r>
                <m:rPr>
                  <m:sty m:val="p"/>
                </m:rPr>
                <m:t>I</m:t>
              </m:r>
              <m:r>
                <m:rPr>
                  <m:sty m:val="p"/>
                </m:rPr>
                <m:t>Q</m:t>
              </m:r>
              <m:r>
                <m:rPr>
                  <m:sty m:val="p"/>
                </m:rPr>
                <m:t>,</m:t>
              </m:r>
              <m:r>
                <m:rPr>
                  <m:sty m:val="p"/>
                </m:rPr>
                <m:t>T</m:t>
              </m:r>
              <m:r>
                <m:rPr>
                  <m:sty m:val="p"/>
                </m:rPr>
                <m:t>W</m:t>
              </m:r>
            </m:e>
          </m:d>
          <m:r>
            <m:rPr>
              <m:sty m:val="p"/>
            </m:rPr>
            <m:t>∈</m:t>
          </m:r>
          <m:d>
            <m:dPr>
              <m:begChr m:val="["/>
              <m:endChr m:val="]"/>
              <m:sepChr m:val=""/>
              <m:grow/>
            </m:dPr>
            <m:e>
              <m:r>
                <m:t>0</m:t>
              </m:r>
              <m:r>
                <m:rPr>
                  <m:sty m:val="p"/>
                </m:rPr>
                <m:t>,</m:t>
              </m:r>
              <m:r>
                <m:t>100</m:t>
              </m:r>
            </m:e>
          </m:d>
          <m:r>
            <m:rPr>
              <m:sty m:val="p"/>
            </m:rPr>
            <m:t>.</m:t>
          </m:r>
          <m:r>
            <m:t>  </m:t>
          </m:r>
          <m:r>
            <m:t>  </m:t>
          </m:r>
          <m:d>
            <m:dPr>
              <m:begChr m:val="("/>
              <m:endChr m:val=")"/>
              <m:sepChr m:val=""/>
              <m:grow/>
            </m:dPr>
            <m:e>
              <m:r>
                <m:t>1</m:t>
              </m:r>
            </m:e>
          </m:d>
        </m:oMath>
      </m:oMathPara>
    </w:p>
    <w:p>
      <w:pPr>
        <w:pStyle w:val="FirstParagraph"/>
      </w:pPr>
      <w:r>
        <w:t xml:space="preserve">This decomposition reduces a flat rule base of</w:t>
      </w:r>
      <w:r>
        <w:t xml:space="preserve"> </w:t>
      </w:r>
      <m:oMath>
        <m:sSup>
          <m:e>
            <m:r>
              <m:t>3</m:t>
            </m:r>
          </m:e>
          <m:sup>
            <m:r>
              <m:t>8</m:t>
            </m:r>
          </m:sup>
        </m:sSup>
        <m:r>
          <m:rPr>
            <m:sty m:val="p"/>
          </m:rPr>
          <m:t>=</m:t>
        </m:r>
        <m:r>
          <m:t>6561</m:t>
        </m:r>
      </m:oMath>
      <w:r>
        <w:t xml:space="preserve"> </w:t>
      </w:r>
      <w:r>
        <w:t xml:space="preserve">rules to</w:t>
      </w:r>
      <w:r>
        <w:t xml:space="preserve"> </w:t>
      </w:r>
      <m:oMath>
        <m:r>
          <m:t>81</m:t>
        </m:r>
        <m:r>
          <m:rPr>
            <m:sty m:val="p"/>
          </m:rPr>
          <m:t>+</m:t>
        </m:r>
        <m:r>
          <m:t>9</m:t>
        </m:r>
        <m:r>
          <m:rPr>
            <m:sty m:val="p"/>
          </m:rPr>
          <m:t>+</m:t>
        </m:r>
        <m:r>
          <m:t>9</m:t>
        </m:r>
        <m:r>
          <m:rPr>
            <m:sty m:val="p"/>
          </m:rPr>
          <m:t>+</m:t>
        </m:r>
        <m:r>
          <m:t>27</m:t>
        </m:r>
        <m:r>
          <m:rPr>
            <m:sty m:val="p"/>
          </m:rPr>
          <m:t>=</m:t>
        </m:r>
        <m:r>
          <m:t>126</m:t>
        </m:r>
      </m:oMath>
      <w:r>
        <w:t xml:space="preserve"> </w:t>
      </w:r>
      <w:r>
        <w:t xml:space="preserve">rules that can be read and audited. In parallel, an activity-level FIS scores each of ten teaching activities from the AI capability perceived for that activity together with reliability and ethical suitability. The resulting scores are mapped onto the three decision categories. Finally, an ANN and benchmark learners are trained on the same eight factors to predict an independent substitution criterion. This lets the fuzzy score be validated against, and compared with, data-driven predictions.</w:t>
      </w:r>
    </w:p>
    <w:p>
      <w:pPr>
        <w:pStyle w:val="CaptionedFigure"/>
      </w:pPr>
      <w:r>
        <w:drawing>
          <wp:inline>
            <wp:extent cx="4807480" cy="3149939"/>
            <wp:effectExtent b="0" l="0" r="0" t="0"/>
            <wp:docPr descr="" title="" id="28" name="Picture"/>
            <a:graphic>
              <a:graphicData uri="http://schemas.openxmlformats.org/drawingml/2006/picture">
                <pic:pic>
                  <pic:nvPicPr>
                    <pic:cNvPr descr="/tmp/claude-0/docx2/fig1_framework.png" id="29" name="Picture"/>
                    <pic:cNvPicPr>
                      <a:picLocks noChangeArrowheads="1" noChangeAspect="1"/>
                    </pic:cNvPicPr>
                  </pic:nvPicPr>
                  <pic:blipFill>
                    <a:blip r:embed="rId27"/>
                    <a:stretch>
                      <a:fillRect/>
                    </a:stretch>
                  </pic:blipFill>
                  <pic:spPr bwMode="auto">
                    <a:xfrm>
                      <a:off x="0" y="0"/>
                      <a:ext cx="4807480" cy="3149939"/>
                    </a:xfrm>
                    <a:prstGeom prst="rect">
                      <a:avLst/>
                    </a:prstGeom>
                    <a:noFill/>
                    <a:ln w="9525">
                      <a:noFill/>
                      <a:headEnd/>
                      <a:tailEnd/>
                    </a:ln>
                  </pic:spPr>
                </pic:pic>
              </a:graphicData>
            </a:graphic>
          </wp:inline>
        </w:drawing>
      </w:r>
    </w:p>
    <w:p>
      <w:pPr>
        <w:pStyle w:val="ImageCaption"/>
      </w:pPr>
      <w:r>
        <w:t xml:space="preserve">Fig. 1. Soft-computing framework for assessing the feasibility of AI substitution of teaching activities. TE: teaching effectiveness; P: personalization; AC: assessment capability; A: adaptability; SE: student engagement; C: communication; R: reliability; E: ethical suitability; TSI: teacher substitution index.</w:t>
      </w:r>
    </w:p>
    <w:bookmarkStart w:id="35" w:name="mathematical-properties-of-the-framework"/>
    <w:p>
      <w:pPr>
        <w:pStyle w:val="Heading2"/>
      </w:pPr>
      <w:r>
        <w:rPr>
          <w:rStyle w:val="SectionNumber"/>
        </w:rPr>
        <w:t xml:space="preserve">3.1</w:t>
      </w:r>
      <w:r>
        <w:tab/>
      </w:r>
      <w:r>
        <w:t xml:space="preserve">Mathematical properties of the framework</w:t>
      </w:r>
    </w:p>
    <w:p>
      <w:pPr>
        <w:pStyle w:val="FirstParagraph"/>
      </w:pPr>
      <w:r>
        <w:t xml:space="preserve">Before applying the framework we establish its formal properties. Let</w:t>
      </w:r>
      <w:r>
        <w:t xml:space="preserve"> </w:t>
      </w:r>
      <m:oMath>
        <m:r>
          <m:rPr>
            <m:sty m:val="p"/>
            <m:scr m:val="script"/>
          </m:rPr>
          <m:t>P</m:t>
        </m:r>
        <m:r>
          <m:rPr>
            <m:sty m:val="p"/>
          </m:rPr>
          <m:t>=</m:t>
        </m:r>
        <m:r>
          <m:rPr>
            <m:sty m:val="p"/>
          </m:rPr>
          <m:t>{</m:t>
        </m:r>
        <m:sSub>
          <m:e>
            <m:r>
              <m:t>μ</m:t>
            </m:r>
          </m:e>
          <m:sub>
            <m:r>
              <m:t>L</m:t>
            </m:r>
          </m:sub>
        </m:sSub>
        <m:r>
          <m:rPr>
            <m:sty m:val="p"/>
          </m:rPr>
          <m:t>,</m:t>
        </m:r>
        <m:sSub>
          <m:e>
            <m:r>
              <m:t>μ</m:t>
            </m:r>
          </m:e>
          <m:sub>
            <m:r>
              <m:t>M</m:t>
            </m:r>
          </m:sub>
        </m:sSub>
        <m:r>
          <m:rPr>
            <m:sty m:val="p"/>
          </m:rPr>
          <m:t>,</m:t>
        </m:r>
        <m:sSub>
          <m:e>
            <m:r>
              <m:t>μ</m:t>
            </m:r>
          </m:e>
          <m:sub>
            <m:r>
              <m:t>H</m:t>
            </m:r>
          </m:sub>
        </m:sSub>
        <m:r>
          <m:rPr>
            <m:sty m:val="p"/>
          </m:rPr>
          <m:t>}</m:t>
        </m:r>
      </m:oMath>
      <w:r>
        <w:t xml:space="preserve"> </w:t>
      </w:r>
      <w:r>
        <w:t xml:space="preserve">denote a three-term partition of a universe</w:t>
      </w:r>
      <w:r>
        <w:t xml:space="preserve"> </w:t>
      </w:r>
      <m:oMath>
        <m:r>
          <m:t>U</m:t>
        </m:r>
      </m:oMath>
      <w:r>
        <w:t xml:space="preserve">.</w:t>
      </w:r>
    </w:p>
    <w:p>
      <w:pPr>
        <w:pStyle w:val="BodyText"/>
      </w:pPr>
      <w:r>
        <w:rPr>
          <w:bCs/>
          <w:b/>
        </w:rPr>
        <w:t xml:space="preserve">Proposition 1 (Decision thresholds).</w:t>
      </w:r>
    </w:p>
    <w:p>
      <w:pPr>
        <w:pStyle w:val="BodyText"/>
      </w:pPr>
      <w:r>
        <w:t xml:space="preserve">On the output universe</w:t>
      </w:r>
      <w:r>
        <w:t xml:space="preserve"> </w:t>
      </w:r>
      <m:oMath>
        <m:d>
          <m:dPr>
            <m:begChr m:val="["/>
            <m:endChr m:val="]"/>
            <m:sepChr m:val=""/>
            <m:grow/>
          </m:dPr>
          <m:e>
            <m:r>
              <m:t>0</m:t>
            </m:r>
            <m:r>
              <m:rPr>
                <m:sty m:val="p"/>
              </m:rPr>
              <m:t>,</m:t>
            </m:r>
            <m:r>
              <m:t>100</m:t>
            </m:r>
          </m:e>
        </m:d>
      </m:oMath>
      <w:r>
        <w:t xml:space="preserve"> </w:t>
      </w:r>
      <w:r>
        <w:t xml:space="preserve">the Low/Medium and Medium/High membership functions intersect at</w:t>
      </w:r>
      <w:r>
        <w:t xml:space="preserve"> </w:t>
      </w:r>
      <m:oMath>
        <m:r>
          <m:t>y</m:t>
        </m:r>
        <m:r>
          <m:rPr>
            <m:sty m:val="p"/>
          </m:rPr>
          <m:t>=</m:t>
        </m:r>
        <m:r>
          <m:t>35</m:t>
        </m:r>
      </m:oMath>
      <w:r>
        <w:t xml:space="preserve"> </w:t>
      </w:r>
      <w:r>
        <w:t xml:space="preserve">and</w:t>
      </w:r>
      <w:r>
        <w:t xml:space="preserve"> </w:t>
      </w:r>
      <m:oMath>
        <m:r>
          <m:t>y</m:t>
        </m:r>
        <m:r>
          <m:rPr>
            <m:sty m:val="p"/>
          </m:rPr>
          <m:t>=</m:t>
        </m:r>
        <m:r>
          <m:t>65</m:t>
        </m:r>
      </m:oMath>
      <w:r>
        <w:t xml:space="preserve">, and on the Likert universe at</w:t>
      </w:r>
      <w:r>
        <w:t xml:space="preserve"> </w:t>
      </w:r>
      <m:oMath>
        <m:r>
          <m:t>x</m:t>
        </m:r>
        <m:r>
          <m:rPr>
            <m:sty m:val="p"/>
          </m:rPr>
          <m:t>=</m:t>
        </m:r>
        <m:r>
          <m:t>2.5</m:t>
        </m:r>
      </m:oMath>
      <w:r>
        <w:t xml:space="preserve"> </w:t>
      </w:r>
      <w:r>
        <w:t xml:space="preserve">and</w:t>
      </w:r>
      <w:r>
        <w:t xml:space="preserve"> </w:t>
      </w:r>
      <m:oMath>
        <m:r>
          <m:t>x</m:t>
        </m:r>
        <m:r>
          <m:rPr>
            <m:sty m:val="p"/>
          </m:rPr>
          <m:t>=</m:t>
        </m:r>
        <m:r>
          <m:t>3.5</m:t>
        </m:r>
      </m:oMath>
      <w:r>
        <w:t xml:space="preserve">. These crossover points are the unique values at which a score is equally a member of two adjacent linguistic classes.</w:t>
      </w:r>
    </w:p>
    <w:p>
      <w:pPr>
        <w:pStyle w:val="BodyText"/>
      </w:pPr>
      <w:r>
        <w:rPr>
          <w:iCs/>
          <w:i/>
        </w:rPr>
        <w:t xml:space="preserve">Proof.</w:t>
      </w:r>
      <w:r>
        <w:t xml:space="preserve"> </w:t>
      </w:r>
      <w:r>
        <w:t xml:space="preserve">On</w:t>
      </w:r>
      <w:r>
        <w:t xml:space="preserve"> </w:t>
      </w:r>
      <m:oMath>
        <m:d>
          <m:dPr>
            <m:begChr m:val="["/>
            <m:endChr m:val="]"/>
            <m:sepChr m:val=""/>
            <m:grow/>
          </m:dPr>
          <m:e>
            <m:r>
              <m:t>20</m:t>
            </m:r>
            <m:r>
              <m:rPr>
                <m:sty m:val="p"/>
              </m:rPr>
              <m:t>,</m:t>
            </m:r>
            <m:r>
              <m:t>50</m:t>
            </m:r>
          </m:e>
        </m:d>
      </m:oMath>
      <w:r>
        <w:t xml:space="preserve">,</w:t>
      </w:r>
      <w:r>
        <w:t xml:space="preserve"> </w:t>
      </w:r>
      <m:oMath>
        <m:sSub>
          <m:e>
            <m:r>
              <m:t>μ</m:t>
            </m:r>
          </m:e>
          <m:sub>
            <m:r>
              <m:t>L</m:t>
            </m:r>
          </m:sub>
        </m:sSub>
        <m:d>
          <m:dPr>
            <m:begChr m:val="("/>
            <m:endChr m:val=")"/>
            <m:sepChr m:val=""/>
            <m:grow/>
          </m:dPr>
          <m:e>
            <m:r>
              <m:t>y</m:t>
            </m:r>
          </m:e>
        </m:d>
        <m:r>
          <m:rPr>
            <m:sty m:val="p"/>
          </m:rPr>
          <m:t>=</m:t>
        </m:r>
        <m:d>
          <m:dPr>
            <m:begChr m:val="("/>
            <m:endChr m:val=")"/>
            <m:sepChr m:val=""/>
            <m:grow/>
          </m:dPr>
          <m:e>
            <m:r>
              <m:t>50</m:t>
            </m:r>
            <m:r>
              <m:rPr>
                <m:sty m:val="p"/>
              </m:rPr>
              <m:t>−</m:t>
            </m:r>
            <m:r>
              <m:t>y</m:t>
            </m:r>
          </m:e>
        </m:d>
        <m:r>
          <m:rPr>
            <m:sty m:val="p"/>
          </m:rPr>
          <m:t>/</m:t>
        </m:r>
        <m:r>
          <m:t>30</m:t>
        </m:r>
      </m:oMath>
      <w:r>
        <w:t xml:space="preserve"> </w:t>
      </w:r>
      <w:r>
        <w:t xml:space="preserve">and</w:t>
      </w:r>
      <w:r>
        <w:t xml:space="preserve"> </w:t>
      </w:r>
      <m:oMath>
        <m:sSub>
          <m:e>
            <m:r>
              <m:t>μ</m:t>
            </m:r>
          </m:e>
          <m:sub>
            <m:r>
              <m:t>M</m:t>
            </m:r>
          </m:sub>
        </m:sSub>
        <m:d>
          <m:dPr>
            <m:begChr m:val="("/>
            <m:endChr m:val=")"/>
            <m:sepChr m:val=""/>
            <m:grow/>
          </m:dPr>
          <m:e>
            <m:r>
              <m:t>y</m:t>
            </m:r>
          </m:e>
        </m:d>
        <m:r>
          <m:rPr>
            <m:sty m:val="p"/>
          </m:rPr>
          <m:t>=</m:t>
        </m:r>
        <m:d>
          <m:dPr>
            <m:begChr m:val="("/>
            <m:endChr m:val=")"/>
            <m:sepChr m:val=""/>
            <m:grow/>
          </m:dPr>
          <m:e>
            <m:r>
              <m:t>y</m:t>
            </m:r>
            <m:r>
              <m:rPr>
                <m:sty m:val="p"/>
              </m:rPr>
              <m:t>−</m:t>
            </m:r>
            <m:r>
              <m:t>20</m:t>
            </m:r>
          </m:e>
        </m:d>
        <m:r>
          <m:rPr>
            <m:sty m:val="p"/>
          </m:rPr>
          <m:t>/</m:t>
        </m:r>
        <m:r>
          <m:t>30</m:t>
        </m:r>
      </m:oMath>
      <w:r>
        <w:t xml:space="preserve">; equating gives</w:t>
      </w:r>
      <w:r>
        <w:t xml:space="preserve"> </w:t>
      </w:r>
      <m:oMath>
        <m:sSup>
          <m:e>
            <m:r>
              <m:t>y</m:t>
            </m:r>
          </m:e>
          <m:sup>
            <m:r>
              <m:rPr>
                <m:sty m:val="p"/>
              </m:rPr>
              <m:t>*</m:t>
            </m:r>
          </m:sup>
        </m:sSup>
        <m:r>
          <m:rPr>
            <m:sty m:val="p"/>
          </m:rPr>
          <m:t>=</m:t>
        </m:r>
        <m:r>
          <m:t>35</m:t>
        </m:r>
      </m:oMath>
      <w:r>
        <w:t xml:space="preserve">. On</w:t>
      </w:r>
      <w:r>
        <w:t xml:space="preserve"> </w:t>
      </w:r>
      <m:oMath>
        <m:d>
          <m:dPr>
            <m:begChr m:val="["/>
            <m:endChr m:val="]"/>
            <m:sepChr m:val=""/>
            <m:grow/>
          </m:dPr>
          <m:e>
            <m:r>
              <m:t>50</m:t>
            </m:r>
            <m:r>
              <m:rPr>
                <m:sty m:val="p"/>
              </m:rPr>
              <m:t>,</m:t>
            </m:r>
            <m:r>
              <m:t>80</m:t>
            </m:r>
          </m:e>
        </m:d>
      </m:oMath>
      <w:r>
        <w:t xml:space="preserve">,</w:t>
      </w:r>
      <w:r>
        <w:t xml:space="preserve"> </w:t>
      </w:r>
      <m:oMath>
        <m:sSub>
          <m:e>
            <m:r>
              <m:t>μ</m:t>
            </m:r>
          </m:e>
          <m:sub>
            <m:r>
              <m:t>M</m:t>
            </m:r>
          </m:sub>
        </m:sSub>
        <m:d>
          <m:dPr>
            <m:begChr m:val="("/>
            <m:endChr m:val=")"/>
            <m:sepChr m:val=""/>
            <m:grow/>
          </m:dPr>
          <m:e>
            <m:r>
              <m:t>y</m:t>
            </m:r>
          </m:e>
        </m:d>
        <m:r>
          <m:rPr>
            <m:sty m:val="p"/>
          </m:rPr>
          <m:t>=</m:t>
        </m:r>
        <m:d>
          <m:dPr>
            <m:begChr m:val="("/>
            <m:endChr m:val=")"/>
            <m:sepChr m:val=""/>
            <m:grow/>
          </m:dPr>
          <m:e>
            <m:r>
              <m:t>80</m:t>
            </m:r>
            <m:r>
              <m:rPr>
                <m:sty m:val="p"/>
              </m:rPr>
              <m:t>−</m:t>
            </m:r>
            <m:r>
              <m:t>y</m:t>
            </m:r>
          </m:e>
        </m:d>
        <m:r>
          <m:rPr>
            <m:sty m:val="p"/>
          </m:rPr>
          <m:t>/</m:t>
        </m:r>
        <m:r>
          <m:t>30</m:t>
        </m:r>
        <m:r>
          <m:rPr>
            <m:sty m:val="p"/>
          </m:rPr>
          <m:t>=</m:t>
        </m:r>
        <m:sSub>
          <m:e>
            <m:r>
              <m:t>μ</m:t>
            </m:r>
          </m:e>
          <m:sub>
            <m:r>
              <m:t>H</m:t>
            </m:r>
          </m:sub>
        </m:sSub>
        <m:d>
          <m:dPr>
            <m:begChr m:val="("/>
            <m:endChr m:val=")"/>
            <m:sepChr m:val=""/>
            <m:grow/>
          </m:dPr>
          <m:e>
            <m:r>
              <m:t>y</m:t>
            </m:r>
          </m:e>
        </m:d>
        <m:r>
          <m:rPr>
            <m:sty m:val="p"/>
          </m:rPr>
          <m:t>=</m:t>
        </m:r>
        <m:d>
          <m:dPr>
            <m:begChr m:val="("/>
            <m:endChr m:val=")"/>
            <m:sepChr m:val=""/>
            <m:grow/>
          </m:dPr>
          <m:e>
            <m:r>
              <m:t>y</m:t>
            </m:r>
            <m:r>
              <m:rPr>
                <m:sty m:val="p"/>
              </m:rPr>
              <m:t>−</m:t>
            </m:r>
            <m:r>
              <m:t>50</m:t>
            </m:r>
          </m:e>
        </m:d>
        <m:r>
          <m:rPr>
            <m:sty m:val="p"/>
          </m:rPr>
          <m:t>/</m:t>
        </m:r>
        <m:r>
          <m:t>30</m:t>
        </m:r>
      </m:oMath>
      <w:r>
        <w:t xml:space="preserve"> </w:t>
      </w:r>
      <w:r>
        <w:t xml:space="preserve">gives</w:t>
      </w:r>
      <w:r>
        <w:t xml:space="preserve"> </w:t>
      </w:r>
      <m:oMath>
        <m:sSup>
          <m:e>
            <m:r>
              <m:t>y</m:t>
            </m:r>
          </m:e>
          <m:sup>
            <m:r>
              <m:rPr>
                <m:sty m:val="p"/>
              </m:rPr>
              <m:t>*</m:t>
            </m:r>
          </m:sup>
        </m:sSup>
        <m:r>
          <m:rPr>
            <m:sty m:val="p"/>
          </m:rPr>
          <m:t>=</m:t>
        </m:r>
        <m:r>
          <m:t>65</m:t>
        </m:r>
      </m:oMath>
      <w:r>
        <w:t xml:space="preserve">. Outside these intervals at most one of each pair is positive. The Likert case is identical with knots</w:t>
      </w:r>
      <w:r>
        <w:t xml:space="preserve"> </w:t>
      </w:r>
      <m:oMath>
        <m:d>
          <m:dPr>
            <m:begChr m:val="("/>
            <m:endChr m:val=")"/>
            <m:sepChr m:val=""/>
            <m:grow/>
          </m:dPr>
          <m:e>
            <m:r>
              <m:t>2</m:t>
            </m:r>
            <m:r>
              <m:rPr>
                <m:sty m:val="p"/>
              </m:rPr>
              <m:t>,</m:t>
            </m:r>
            <m:r>
              <m:t>3</m:t>
            </m:r>
            <m:r>
              <m:rPr>
                <m:sty m:val="p"/>
              </m:rPr>
              <m:t>,</m:t>
            </m:r>
            <m:r>
              <m:t>4</m:t>
            </m:r>
          </m:e>
        </m:d>
      </m:oMath>
      <w:r>
        <w:t xml:space="preserve">.</w:t>
      </w:r>
      <w:r>
        <w:t xml:space="preserve"> </w:t>
      </w:r>
      <m:oMath>
        <m:r>
          <m:rPr>
            <m:sty m:val="p"/>
          </m:rPr>
          <m:t>▫</m:t>
        </m:r>
      </m:oMath>
    </w:p>
    <w:p>
      <w:pPr>
        <w:pStyle w:val="BodyText"/>
      </w:pPr>
      <w:r>
        <w:rPr>
          <w:bCs/>
          <w:b/>
        </w:rPr>
        <w:t xml:space="preserve">Proposition 2 (Rule-base complexity).</w:t>
      </w:r>
    </w:p>
    <w:p>
      <w:pPr>
        <w:pStyle w:val="BodyText"/>
      </w:pPr>
      <w:r>
        <w:t xml:space="preserve">A flat three-term rule base over</w:t>
      </w:r>
      <w:r>
        <w:t xml:space="preserve"> </w:t>
      </w:r>
      <m:oMath>
        <m:r>
          <m:t>n</m:t>
        </m:r>
      </m:oMath>
      <w:r>
        <w:t xml:space="preserve"> </w:t>
      </w:r>
      <w:r>
        <w:t xml:space="preserve">inputs requires</w:t>
      </w:r>
      <w:r>
        <w:t xml:space="preserve"> </w:t>
      </w:r>
      <m:oMath>
        <m:sSup>
          <m:e>
            <m:r>
              <m:t>3</m:t>
            </m:r>
          </m:e>
          <m:sup>
            <m:r>
              <m:t>n</m:t>
            </m:r>
          </m:sup>
        </m:sSup>
      </m:oMath>
      <w:r>
        <w:t xml:space="preserve"> </w:t>
      </w:r>
      <w:r>
        <w:t xml:space="preserve">rules. A two-level hierarchy that partitions the inputs into groups of sizes</w:t>
      </w:r>
      <w:r>
        <w:t xml:space="preserve"> </w:t>
      </w:r>
      <m:oMath>
        <m:sSub>
          <m:e>
            <m:r>
              <m:t>n</m:t>
            </m:r>
          </m:e>
          <m:sub>
            <m:r>
              <m:t>1</m:t>
            </m:r>
          </m:sub>
        </m:sSub>
        <m:r>
          <m:rPr>
            <m:sty m:val="p"/>
          </m:rPr>
          <m:t>,</m:t>
        </m:r>
        <m:r>
          <m:rPr>
            <m:sty m:val="p"/>
          </m:rPr>
          <m:t>…</m:t>
        </m:r>
        <m:r>
          <m:rPr>
            <m:sty m:val="p"/>
          </m:rPr>
          <m:t>,</m:t>
        </m:r>
        <m:sSub>
          <m:e>
            <m:r>
              <m:t>n</m:t>
            </m:r>
          </m:e>
          <m:sub>
            <m:r>
              <m:t>m</m:t>
            </m:r>
          </m:sub>
        </m:sSub>
      </m:oMath>
      <w:r>
        <w:t xml:space="preserve"> </w:t>
      </w:r>
      <w:r>
        <w:t xml:space="preserve">and aggregates the</w:t>
      </w:r>
      <w:r>
        <w:t xml:space="preserve"> </w:t>
      </w:r>
      <m:oMath>
        <m:r>
          <m:t>m</m:t>
        </m:r>
      </m:oMath>
      <w:r>
        <w:t xml:space="preserve"> </w:t>
      </w:r>
      <w:r>
        <w:t xml:space="preserve">group outputs requires</w:t>
      </w:r>
      <w:r>
        <w:t xml:space="preserve"> </w:t>
      </w:r>
      <m:oMath>
        <m:nary>
          <m:naryPr>
            <m:chr m:val="∑"/>
            <m:limLoc m:val="undOvr"/>
            <m:subHide m:val="off"/>
            <m:supHide m:val="off"/>
          </m:naryPr>
          <m:sub>
            <m:r>
              <m:t>i</m:t>
            </m:r>
            <m:r>
              <m:rPr>
                <m:sty m:val="p"/>
              </m:rPr>
              <m:t>=</m:t>
            </m:r>
            <m:r>
              <m:t>1</m:t>
            </m:r>
          </m:sub>
          <m:sup>
            <m:r>
              <m:t>m</m:t>
            </m:r>
          </m:sup>
          <m:e>
            <m:sSup>
              <m:e>
                <m:r>
                  <m:t>3</m:t>
                </m:r>
              </m:e>
              <m:sup>
                <m:sSub>
                  <m:e>
                    <m:r>
                      <m:t>n</m:t>
                    </m:r>
                  </m:e>
                  <m:sub>
                    <m:r>
                      <m:t>i</m:t>
                    </m:r>
                  </m:sub>
                </m:sSub>
              </m:sup>
            </m:sSup>
          </m:e>
        </m:nary>
        <m:r>
          <m:rPr>
            <m:sty m:val="p"/>
          </m:rPr>
          <m:t>+</m:t>
        </m:r>
        <m:sSup>
          <m:e>
            <m:r>
              <m:t>3</m:t>
            </m:r>
          </m:e>
          <m:sup>
            <m:r>
              <m:t>m</m:t>
            </m:r>
          </m:sup>
        </m:sSup>
      </m:oMath>
      <w:r>
        <w:t xml:space="preserve"> </w:t>
      </w:r>
      <w:r>
        <w:t xml:space="preserve">rules. For the present design (</w:t>
      </w:r>
      <m:oMath>
        <m:r>
          <m:t>n</m:t>
        </m:r>
        <m:r>
          <m:rPr>
            <m:sty m:val="p"/>
          </m:rPr>
          <m:t>=</m:t>
        </m:r>
        <m:r>
          <m:t>8</m:t>
        </m:r>
      </m:oMath>
      <w:r>
        <w:t xml:space="preserve">;</w:t>
      </w:r>
      <w:r>
        <w:t xml:space="preserve"> </w:t>
      </w:r>
      <m:oMath>
        <m:sSub>
          <m:e>
            <m:r>
              <m:t>n</m:t>
            </m:r>
          </m:e>
          <m:sub>
            <m:r>
              <m:t>i</m:t>
            </m:r>
          </m:sub>
        </m:sSub>
        <m:r>
          <m:rPr>
            <m:sty m:val="p"/>
          </m:rPr>
          <m:t>=</m:t>
        </m:r>
        <m:r>
          <m:t>4</m:t>
        </m:r>
        <m:r>
          <m:rPr>
            <m:sty m:val="p"/>
          </m:rPr>
          <m:t>,</m:t>
        </m:r>
        <m:r>
          <m:t>2</m:t>
        </m:r>
        <m:r>
          <m:rPr>
            <m:sty m:val="p"/>
          </m:rPr>
          <m:t>,</m:t>
        </m:r>
        <m:r>
          <m:t>2</m:t>
        </m:r>
      </m:oMath>
      <w:r>
        <w:t xml:space="preserve">;</w:t>
      </w:r>
      <w:r>
        <w:t xml:space="preserve"> </w:t>
      </w:r>
      <m:oMath>
        <m:r>
          <m:t>m</m:t>
        </m:r>
        <m:r>
          <m:rPr>
            <m:sty m:val="p"/>
          </m:rPr>
          <m:t>=</m:t>
        </m:r>
        <m:r>
          <m:t>3</m:t>
        </m:r>
      </m:oMath>
      <w:r>
        <w:t xml:space="preserve">) this is</w:t>
      </w:r>
      <w:r>
        <w:t xml:space="preserve"> </w:t>
      </w:r>
      <m:oMath>
        <m:sSup>
          <m:e>
            <m:r>
              <m:t>3</m:t>
            </m:r>
          </m:e>
          <m:sup>
            <m:r>
              <m:t>4</m:t>
            </m:r>
          </m:sup>
        </m:sSup>
        <m:r>
          <m:rPr>
            <m:sty m:val="p"/>
          </m:rPr>
          <m:t>+</m:t>
        </m:r>
        <m:sSup>
          <m:e>
            <m:r>
              <m:t>3</m:t>
            </m:r>
          </m:e>
          <m:sup>
            <m:r>
              <m:t>2</m:t>
            </m:r>
          </m:sup>
        </m:sSup>
        <m:r>
          <m:rPr>
            <m:sty m:val="p"/>
          </m:rPr>
          <m:t>+</m:t>
        </m:r>
        <m:sSup>
          <m:e>
            <m:r>
              <m:t>3</m:t>
            </m:r>
          </m:e>
          <m:sup>
            <m:r>
              <m:t>2</m:t>
            </m:r>
          </m:sup>
        </m:sSup>
        <m:r>
          <m:rPr>
            <m:sty m:val="p"/>
          </m:rPr>
          <m:t>+</m:t>
        </m:r>
        <m:sSup>
          <m:e>
            <m:r>
              <m:t>3</m:t>
            </m:r>
          </m:e>
          <m:sup>
            <m:r>
              <m:t>3</m:t>
            </m:r>
          </m:sup>
        </m:sSup>
        <m:r>
          <m:rPr>
            <m:sty m:val="p"/>
          </m:rPr>
          <m:t>=</m:t>
        </m:r>
        <m:r>
          <m:t>126</m:t>
        </m:r>
      </m:oMath>
      <w:r>
        <w:t xml:space="preserve"> </w:t>
      </w:r>
      <w:r>
        <w:t xml:space="preserve">instead of</w:t>
      </w:r>
      <w:r>
        <w:t xml:space="preserve"> </w:t>
      </w:r>
      <m:oMath>
        <m:sSup>
          <m:e>
            <m:r>
              <m:t>3</m:t>
            </m:r>
          </m:e>
          <m:sup>
            <m:r>
              <m:t>8</m:t>
            </m:r>
          </m:sup>
        </m:sSup>
        <m:r>
          <m:rPr>
            <m:sty m:val="p"/>
          </m:rPr>
          <m:t>=</m:t>
        </m:r>
        <m:r>
          <m:t>6</m:t>
        </m:r>
        <m:r>
          <m:rPr>
            <m:sty m:val="p"/>
          </m:rPr>
          <m:t>,</m:t>
        </m:r>
        <m:r>
          <m:t>561</m:t>
        </m:r>
      </m:oMath>
      <w:r>
        <w:t xml:space="preserve">, a reduction of 98.1%.</w:t>
      </w:r>
    </w:p>
    <w:p>
      <w:pPr>
        <w:pStyle w:val="BodyText"/>
      </w:pPr>
      <w:r>
        <w:rPr>
          <w:iCs/>
          <w:i/>
        </w:rPr>
        <w:t xml:space="preserve">Proof.</w:t>
      </w:r>
      <w:r>
        <w:t xml:space="preserve"> </w:t>
      </w:r>
      <w:r>
        <w:t xml:space="preserve">Each complete sub-system with</w:t>
      </w:r>
      <w:r>
        <w:t xml:space="preserve"> </w:t>
      </w:r>
      <m:oMath>
        <m:r>
          <m:t>k</m:t>
        </m:r>
      </m:oMath>
      <w:r>
        <w:t xml:space="preserve"> </w:t>
      </w:r>
      <w:r>
        <w:t xml:space="preserve">three-term inputs enumerates</w:t>
      </w:r>
      <w:r>
        <w:t xml:space="preserve"> </w:t>
      </w:r>
      <m:oMath>
        <m:sSup>
          <m:e>
            <m:r>
              <m:t>3</m:t>
            </m:r>
          </m:e>
          <m:sup>
            <m:r>
              <m:t>k</m:t>
            </m:r>
          </m:sup>
        </m:sSup>
      </m:oMath>
      <w:r>
        <w:t xml:space="preserve"> </w:t>
      </w:r>
      <w:r>
        <w:t xml:space="preserve">antecedent combinations; the total is the sum over the</w:t>
      </w:r>
      <w:r>
        <w:t xml:space="preserve"> </w:t>
      </w:r>
      <m:oMath>
        <m:r>
          <m:t>m</m:t>
        </m:r>
        <m:r>
          <m:rPr>
            <m:sty m:val="p"/>
          </m:rPr>
          <m:t>+</m:t>
        </m:r>
        <m:r>
          <m:t>1</m:t>
        </m:r>
      </m:oMath>
      <w:r>
        <w:t xml:space="preserve"> </w:t>
      </w:r>
      <w:r>
        <w:t xml:space="preserve">sub-systems.</w:t>
      </w:r>
      <w:r>
        <w:t xml:space="preserve"> </w:t>
      </w:r>
      <m:oMath>
        <m:r>
          <m:rPr>
            <m:sty m:val="p"/>
          </m:rPr>
          <m:t>▫</m:t>
        </m:r>
      </m:oMath>
    </w:p>
    <w:bookmarkStart w:id="30" w:name="consequent-centroids"/>
    <w:p>
      <w:pPr>
        <w:pStyle w:val="Heading3"/>
      </w:pPr>
      <w:r>
        <w:t xml:space="preserve">Consequent centroids</w:t>
      </w:r>
    </w:p>
    <w:p>
      <w:pPr>
        <w:pStyle w:val="FirstParagraph"/>
      </w:pPr>
      <w:r>
        <w:t xml:space="preserve">For a trapezoid</w:t>
      </w:r>
      <w:r>
        <w:t xml:space="preserve"> </w:t>
      </w:r>
      <m:oMath>
        <m:r>
          <m:rPr>
            <m:sty m:val="p"/>
          </m:rPr>
          <m:t>t</m:t>
        </m:r>
        <m:r>
          <m:rPr>
            <m:sty m:val="p"/>
          </m:rPr>
          <m:t>r</m:t>
        </m:r>
        <m:r>
          <m:rPr>
            <m:sty m:val="p"/>
          </m:rPr>
          <m:t>a</m:t>
        </m:r>
        <m:r>
          <m:rPr>
            <m:sty m:val="p"/>
          </m:rPr>
          <m:t>p</m:t>
        </m:r>
        <m:d>
          <m:dPr>
            <m:begChr m:val="("/>
            <m:endChr m:val=")"/>
            <m:sepChr m:val=""/>
            <m:grow/>
          </m:dPr>
          <m:e>
            <m:r>
              <m:t>a</m:t>
            </m:r>
            <m:r>
              <m:rPr>
                <m:sty m:val="p"/>
              </m:rPr>
              <m:t>,</m:t>
            </m:r>
            <m:r>
              <m:t>b</m:t>
            </m:r>
            <m:r>
              <m:rPr>
                <m:sty m:val="p"/>
              </m:rPr>
              <m:t>,</m:t>
            </m:r>
            <m:r>
              <m:t>c</m:t>
            </m:r>
            <m:r>
              <m:rPr>
                <m:sty m:val="p"/>
              </m:rPr>
              <m:t>,</m:t>
            </m:r>
            <m:r>
              <m:t>d</m:t>
            </m:r>
          </m:e>
        </m:d>
      </m:oMath>
      <w:r>
        <w:t xml:space="preserve"> </w:t>
      </w:r>
      <w:r>
        <w:t xml:space="preserve">the centroid has the closed form</w:t>
      </w:r>
    </w:p>
    <w:p>
      <w:pPr>
        <w:pStyle w:val="BodyText"/>
      </w:pPr>
      <m:oMathPara>
        <m:oMathParaPr>
          <m:jc m:val="center"/>
        </m:oMathParaPr>
        <m:oMath>
          <m:acc>
            <m:accPr>
              <m:chr m:val="‾"/>
            </m:accPr>
            <m:e>
              <m:r>
                <m:t>y</m:t>
              </m:r>
            </m:e>
          </m:acc>
          <m:d>
            <m:dPr>
              <m:begChr m:val="("/>
              <m:endChr m:val=")"/>
              <m:sepChr m:val=""/>
              <m:grow/>
            </m:dPr>
            <m:e>
              <m:r>
                <m:t>a</m:t>
              </m:r>
              <m:r>
                <m:rPr>
                  <m:sty m:val="p"/>
                </m:rPr>
                <m:t>,</m:t>
              </m:r>
              <m:r>
                <m:t>b</m:t>
              </m:r>
              <m:r>
                <m:rPr>
                  <m:sty m:val="p"/>
                </m:rPr>
                <m:t>,</m:t>
              </m:r>
              <m:r>
                <m:t>c</m:t>
              </m:r>
              <m:r>
                <m:rPr>
                  <m:sty m:val="p"/>
                </m:rPr>
                <m:t>,</m:t>
              </m:r>
              <m:r>
                <m:t>d</m:t>
              </m:r>
            </m:e>
          </m:d>
          <m:r>
            <m:rPr>
              <m:sty m:val="p"/>
            </m:rPr>
            <m:t>=</m:t>
          </m:r>
          <m:f>
            <m:fPr>
              <m:type m:val="bar"/>
            </m:fPr>
            <m:num>
              <m:d>
                <m:dPr>
                  <m:begChr m:val="("/>
                  <m:endChr m:val=")"/>
                  <m:sepChr m:val=""/>
                  <m:grow/>
                </m:dPr>
                <m:e>
                  <m:sSup>
                    <m:e>
                      <m:r>
                        <m:t>c</m:t>
                      </m:r>
                    </m:e>
                    <m:sup>
                      <m:r>
                        <m:t>2</m:t>
                      </m:r>
                    </m:sup>
                  </m:sSup>
                  <m:r>
                    <m:rPr>
                      <m:sty m:val="p"/>
                    </m:rPr>
                    <m:t>+</m:t>
                  </m:r>
                  <m:r>
                    <m:t>c</m:t>
                  </m:r>
                  <m:r>
                    <m:t>d</m:t>
                  </m:r>
                  <m:r>
                    <m:rPr>
                      <m:sty m:val="p"/>
                    </m:rPr>
                    <m:t>+</m:t>
                  </m:r>
                  <m:sSup>
                    <m:e>
                      <m:r>
                        <m:t>d</m:t>
                      </m:r>
                    </m:e>
                    <m:sup>
                      <m:r>
                        <m:t>2</m:t>
                      </m:r>
                    </m:sup>
                  </m:sSup>
                </m:e>
              </m:d>
              <m:r>
                <m:rPr>
                  <m:sty m:val="p"/>
                </m:rPr>
                <m:t>−</m:t>
              </m:r>
              <m:d>
                <m:dPr>
                  <m:begChr m:val="("/>
                  <m:endChr m:val=")"/>
                  <m:sepChr m:val=""/>
                  <m:grow/>
                </m:dPr>
                <m:e>
                  <m:sSup>
                    <m:e>
                      <m:r>
                        <m:t>a</m:t>
                      </m:r>
                    </m:e>
                    <m:sup>
                      <m:r>
                        <m:t>2</m:t>
                      </m:r>
                    </m:sup>
                  </m:sSup>
                  <m:r>
                    <m:rPr>
                      <m:sty m:val="p"/>
                    </m:rPr>
                    <m:t>+</m:t>
                  </m:r>
                  <m:r>
                    <m:t>a</m:t>
                  </m:r>
                  <m:r>
                    <m:t>b</m:t>
                  </m:r>
                  <m:r>
                    <m:rPr>
                      <m:sty m:val="p"/>
                    </m:rPr>
                    <m:t>+</m:t>
                  </m:r>
                  <m:sSup>
                    <m:e>
                      <m:r>
                        <m:t>b</m:t>
                      </m:r>
                    </m:e>
                    <m:sup>
                      <m:r>
                        <m:t>2</m:t>
                      </m:r>
                    </m:sup>
                  </m:sSup>
                </m:e>
              </m:d>
            </m:num>
            <m:den>
              <m:r>
                <m:t>3</m:t>
              </m:r>
              <m:r>
                <m:t> </m:t>
              </m:r>
              <m:d>
                <m:dPr>
                  <m:begChr m:val="["/>
                  <m:endChr m:val="]"/>
                  <m:sepChr m:val=""/>
                  <m:grow/>
                </m:dPr>
                <m:e>
                  <m:d>
                    <m:dPr>
                      <m:begChr m:val="("/>
                      <m:endChr m:val=")"/>
                      <m:sepChr m:val=""/>
                      <m:grow/>
                    </m:dPr>
                    <m:e>
                      <m:r>
                        <m:t>c</m:t>
                      </m:r>
                      <m:r>
                        <m:rPr>
                          <m:sty m:val="p"/>
                        </m:rPr>
                        <m:t>+</m:t>
                      </m:r>
                      <m:r>
                        <m:t>d</m:t>
                      </m:r>
                    </m:e>
                  </m:d>
                  <m:r>
                    <m:rPr>
                      <m:sty m:val="p"/>
                    </m:rPr>
                    <m:t>−</m:t>
                  </m:r>
                  <m:d>
                    <m:dPr>
                      <m:begChr m:val="("/>
                      <m:endChr m:val=")"/>
                      <m:sepChr m:val=""/>
                      <m:grow/>
                    </m:dPr>
                    <m:e>
                      <m:r>
                        <m:t>a</m:t>
                      </m:r>
                      <m:r>
                        <m:rPr>
                          <m:sty m:val="p"/>
                        </m:rPr>
                        <m:t>+</m:t>
                      </m:r>
                      <m:r>
                        <m:t>b</m:t>
                      </m:r>
                    </m:e>
                  </m:d>
                </m:e>
              </m:d>
            </m:den>
          </m:f>
          <m:r>
            <m:rPr>
              <m:sty m:val="p"/>
            </m:rPr>
            <m:t>,</m:t>
          </m:r>
          <m:r>
            <m:t>  </m:t>
          </m:r>
          <m:r>
            <m:t>  </m:t>
          </m:r>
          <m:d>
            <m:dPr>
              <m:begChr m:val="("/>
              <m:endChr m:val=")"/>
              <m:sepChr m:val=""/>
              <m:grow/>
            </m:dPr>
            <m:e>
              <m:r>
                <m:t>2</m:t>
              </m:r>
            </m:e>
          </m:d>
        </m:oMath>
      </m:oMathPara>
    </w:p>
    <w:p>
      <w:pPr>
        <w:pStyle w:val="FirstParagraph"/>
      </w:pPr>
      <w:r>
        <w:t xml:space="preserve">obtained by integrating</w:t>
      </w:r>
      <w:r>
        <w:t xml:space="preserve"> </w:t>
      </w:r>
      <m:oMath>
        <m:r>
          <m:t>y</m:t>
        </m:r>
        <m:r>
          <m:t> </m:t>
        </m:r>
        <m:r>
          <m:t>μ</m:t>
        </m:r>
        <m:d>
          <m:dPr>
            <m:begChr m:val="("/>
            <m:endChr m:val=")"/>
            <m:sepChr m:val=""/>
            <m:grow/>
          </m:dPr>
          <m:e>
            <m:r>
              <m:t>y</m:t>
            </m:r>
          </m:e>
        </m:d>
      </m:oMath>
      <w:r>
        <w:t xml:space="preserve"> </w:t>
      </w:r>
      <w:r>
        <w:t xml:space="preserve">over the two linear flanks and the plateau. For the output terms this gives</w:t>
      </w:r>
      <w:r>
        <w:t xml:space="preserve"> </w:t>
      </w:r>
      <m:oMath>
        <m:sSub>
          <m:e>
            <m:r>
              <m:t>c</m:t>
            </m:r>
          </m:e>
          <m:sub>
            <m:r>
              <m:t>L</m:t>
            </m:r>
          </m:sub>
        </m:sSub>
        <m:r>
          <m:rPr>
            <m:sty m:val="p"/>
          </m:rPr>
          <m:t>=</m:t>
        </m:r>
        <m:acc>
          <m:accPr>
            <m:chr m:val="‾"/>
          </m:accPr>
          <m:e>
            <m:r>
              <m:t>y</m:t>
            </m:r>
          </m:e>
        </m:acc>
        <m:d>
          <m:dPr>
            <m:begChr m:val="("/>
            <m:endChr m:val=")"/>
            <m:sepChr m:val=""/>
            <m:grow/>
          </m:dPr>
          <m:e>
            <m:r>
              <m:t>0</m:t>
            </m:r>
            <m:r>
              <m:rPr>
                <m:sty m:val="p"/>
              </m:rPr>
              <m:t>,</m:t>
            </m:r>
            <m:r>
              <m:t>0</m:t>
            </m:r>
            <m:r>
              <m:rPr>
                <m:sty m:val="p"/>
              </m:rPr>
              <m:t>,</m:t>
            </m:r>
            <m:r>
              <m:t>20</m:t>
            </m:r>
            <m:r>
              <m:rPr>
                <m:sty m:val="p"/>
              </m:rPr>
              <m:t>,</m:t>
            </m:r>
            <m:r>
              <m:t>50</m:t>
            </m:r>
          </m:e>
        </m:d>
        <m:r>
          <m:rPr>
            <m:sty m:val="p"/>
          </m:rPr>
          <m:t>=</m:t>
        </m:r>
        <m:r>
          <m:t>3900</m:t>
        </m:r>
        <m:r>
          <m:rPr>
            <m:sty m:val="p"/>
          </m:rPr>
          <m:t>/</m:t>
        </m:r>
        <m:r>
          <m:t>210</m:t>
        </m:r>
        <m:r>
          <m:rPr>
            <m:sty m:val="p"/>
          </m:rPr>
          <m:t>=</m:t>
        </m:r>
        <m:r>
          <m:t>18.57</m:t>
        </m:r>
      </m:oMath>
      <w:r>
        <w:t xml:space="preserve">,</w:t>
      </w:r>
      <w:r>
        <w:t xml:space="preserve"> </w:t>
      </w:r>
      <m:oMath>
        <m:sSub>
          <m:e>
            <m:r>
              <m:t>c</m:t>
            </m:r>
          </m:e>
          <m:sub>
            <m:r>
              <m:t>M</m:t>
            </m:r>
          </m:sub>
        </m:sSub>
        <m:r>
          <m:rPr>
            <m:sty m:val="p"/>
          </m:rPr>
          <m:t>=</m:t>
        </m:r>
        <m:r>
          <m:t>50</m:t>
        </m:r>
      </m:oMath>
      <w:r>
        <w:t xml:space="preserve"> </w:t>
      </w:r>
      <w:r>
        <w:t xml:space="preserve">and, by symmetry,</w:t>
      </w:r>
      <w:r>
        <w:t xml:space="preserve"> </w:t>
      </w:r>
      <m:oMath>
        <m:sSub>
          <m:e>
            <m:r>
              <m:t>c</m:t>
            </m:r>
          </m:e>
          <m:sub>
            <m:r>
              <m:t>H</m:t>
            </m:r>
          </m:sub>
        </m:sSub>
        <m:r>
          <m:rPr>
            <m:sty m:val="p"/>
          </m:rPr>
          <m:t>=</m:t>
        </m:r>
        <m:r>
          <m:t>100</m:t>
        </m:r>
        <m:r>
          <m:rPr>
            <m:sty m:val="p"/>
          </m:rPr>
          <m:t>−</m:t>
        </m:r>
        <m:sSub>
          <m:e>
            <m:r>
              <m:t>c</m:t>
            </m:r>
          </m:e>
          <m:sub>
            <m:r>
              <m:t>L</m:t>
            </m:r>
          </m:sub>
        </m:sSub>
        <m:r>
          <m:rPr>
            <m:sty m:val="p"/>
          </m:rPr>
          <m:t>=</m:t>
        </m:r>
        <m:r>
          <m:t>81.43</m:t>
        </m:r>
      </m:oMath>
      <w:r>
        <w:t xml:space="preserve">. Numerical integration on a</w:t>
      </w:r>
      <w:r>
        <w:t xml:space="preserve"> </w:t>
      </w:r>
      <m:oMath>
        <m:r>
          <m:t>2</m:t>
        </m:r>
        <m:r>
          <m:rPr>
            <m:sty m:val="p"/>
          </m:rPr>
          <m:t>×</m:t>
        </m:r>
        <m:sSup>
          <m:e>
            <m:r>
              <m:t>10</m:t>
            </m:r>
          </m:e>
          <m:sup>
            <m:r>
              <m:t>5</m:t>
            </m:r>
          </m:sup>
        </m:sSup>
      </m:oMath>
      <w:r>
        <w:t xml:space="preserve">-point grid reproduces</w:t>
      </w:r>
      <w:r>
        <w:t xml:space="preserve"> </w:t>
      </w:r>
      <m:oMath>
        <m:sSub>
          <m:e>
            <m:r>
              <m:t>c</m:t>
            </m:r>
          </m:e>
          <m:sub>
            <m:r>
              <m:t>L</m:t>
            </m:r>
          </m:sub>
        </m:sSub>
      </m:oMath>
      <w:r>
        <w:t xml:space="preserve"> </w:t>
      </w:r>
      <w:r>
        <w:t xml:space="preserve">to three decimals (18.571).</w:t>
      </w:r>
    </w:p>
    <w:bookmarkEnd w:id="30"/>
    <w:bookmarkStart w:id="34" w:name="a-provably-monotone-inference-variant"/>
    <w:p>
      <w:pPr>
        <w:pStyle w:val="Heading3"/>
      </w:pPr>
      <w:r>
        <w:t xml:space="preserve">A provably monotone inference variant</w:t>
      </w:r>
    </w:p>
    <w:p>
      <w:pPr>
        <w:pStyle w:val="FirstParagraph"/>
      </w:pPr>
      <w:r>
        <w:t xml:space="preserve">Policy use of a feasibility score requires that improving any input factor can never</w:t>
      </w:r>
      <w:r>
        <w:t xml:space="preserve"> </w:t>
      </w:r>
      <w:r>
        <w:rPr>
          <w:iCs/>
          <w:i/>
        </w:rPr>
        <w:t xml:space="preserve">lower</w:t>
      </w:r>
      <w:r>
        <w:t xml:space="preserve"> </w:t>
      </w:r>
      <w:r>
        <w:t xml:space="preserve">the score. Mamdani min–max inference with centroid defuzzification does not guarantee this property. We therefore also define a weighted-average (WA) variant on the same partitions and rule tables, with product t-norm and consequent centroids</w:t>
      </w:r>
      <w:r>
        <w:t xml:space="preserve"> </w:t>
      </w:r>
      <m:oMath>
        <m:sSub>
          <m:e>
            <m:r>
              <m:t>c</m:t>
            </m:r>
          </m:e>
          <m:sub>
            <m:r>
              <m:rPr>
                <m:sty m:val="p"/>
              </m:rPr>
              <m:t>ℓ</m:t>
            </m:r>
          </m:sub>
        </m:sSub>
      </m:oMath>
      <w:r>
        <w:t xml:space="preserve">:</w:t>
      </w:r>
    </w:p>
    <w:p>
      <w:pPr>
        <w:pStyle w:val="BodyText"/>
      </w:pPr>
      <m:oMathPara>
        <m:oMathParaPr>
          <m:jc m:val="center"/>
        </m:oMathParaPr>
        <m:oMath>
          <m:r>
            <m:t>f</m:t>
          </m:r>
          <m:d>
            <m:dPr>
              <m:begChr m:val="("/>
              <m:endChr m:val=")"/>
              <m:sepChr m:val=""/>
              <m:grow/>
            </m:dPr>
            <m:e>
              <m:r>
                <m:rPr>
                  <m:sty m:val="b"/>
                </m:rPr>
                <m:t>x</m:t>
              </m:r>
            </m:e>
          </m:d>
          <m:r>
            <m:rPr>
              <m:sty m:val="p"/>
            </m:rPr>
            <m:t>=</m:t>
          </m:r>
          <m:f>
            <m:fPr>
              <m:type m:val="bar"/>
            </m:fPr>
            <m:num>
              <m:nary>
                <m:naryPr>
                  <m:chr m:val="∑"/>
                  <m:limLoc m:val="undOvr"/>
                  <m:subHide m:val="off"/>
                  <m:supHide m:val="on"/>
                </m:naryPr>
                <m:sub>
                  <m:r>
                    <m:rPr>
                      <m:sty m:val="b"/>
                    </m:rPr>
                    <m:t>ℓ</m:t>
                  </m:r>
                  <m:r>
                    <m:rPr>
                      <m:sty m:val="p"/>
                    </m:rPr>
                    <m:t>∈</m:t>
                  </m:r>
                  <m:r>
                    <m:rPr>
                      <m:sty m:val="p"/>
                    </m:rPr>
                    <m:t>{</m:t>
                  </m:r>
                  <m:r>
                    <m:t>L</m:t>
                  </m:r>
                  <m:r>
                    <m:rPr>
                      <m:sty m:val="p"/>
                    </m:rPr>
                    <m:t>,</m:t>
                  </m:r>
                  <m:r>
                    <m:t>M</m:t>
                  </m:r>
                  <m:r>
                    <m:rPr>
                      <m:sty m:val="p"/>
                    </m:rPr>
                    <m:t>,</m:t>
                  </m:r>
                  <m:r>
                    <m:t>H</m:t>
                  </m:r>
                  <m:sSup>
                    <m:e>
                      <m:r>
                        <m:rPr>
                          <m:sty m:val="p"/>
                        </m:rPr>
                        <m:t>}</m:t>
                      </m:r>
                    </m:e>
                    <m:sup>
                      <m:r>
                        <m:t>k</m:t>
                      </m:r>
                    </m:sup>
                  </m:sSup>
                </m:sub>
                <m:sup>
                  <m:r>
                    <m:t>​</m:t>
                  </m:r>
                </m:sup>
                <m:e>
                  <m:d>
                    <m:dPr>
                      <m:begChr m:val="("/>
                      <m:endChr m:val=")"/>
                      <m:sepChr m:val=""/>
                      <m:grow/>
                    </m:dPr>
                    <m:e>
                      <m:nary>
                        <m:naryPr>
                          <m:chr m:val="∏"/>
                          <m:limLoc m:val="undOvr"/>
                          <m:subHide m:val="off"/>
                          <m:supHide m:val="off"/>
                        </m:naryPr>
                        <m:sub>
                          <m:r>
                            <m:t>j</m:t>
                          </m:r>
                          <m:r>
                            <m:rPr>
                              <m:sty m:val="p"/>
                            </m:rPr>
                            <m:t>=</m:t>
                          </m:r>
                          <m:r>
                            <m:t>1</m:t>
                          </m:r>
                        </m:sub>
                        <m:sup>
                          <m:r>
                            <m:t>k</m:t>
                          </m:r>
                        </m:sup>
                        <m:e>
                          <m:sSub>
                            <m:e>
                              <m:r>
                                <m:t>μ</m:t>
                              </m:r>
                            </m:e>
                            <m:sub>
                              <m:sSub>
                                <m:e>
                                  <m:r>
                                    <m:rPr>
                                      <m:sty m:val="p"/>
                                    </m:rPr>
                                    <m:t>ℓ</m:t>
                                  </m:r>
                                </m:e>
                                <m:sub>
                                  <m:r>
                                    <m:t>j</m:t>
                                  </m:r>
                                </m:sub>
                              </m:sSub>
                            </m:sub>
                          </m:sSub>
                        </m:e>
                      </m:nary>
                      <m:d>
                        <m:dPr>
                          <m:begChr m:val="("/>
                          <m:endChr m:val=")"/>
                          <m:sepChr m:val=""/>
                          <m:grow/>
                        </m:dPr>
                        <m:e>
                          <m:sSub>
                            <m:e>
                              <m:r>
                                <m:t>x</m:t>
                              </m:r>
                            </m:e>
                            <m:sub>
                              <m:r>
                                <m:t>j</m:t>
                              </m:r>
                            </m:sub>
                          </m:sSub>
                        </m:e>
                      </m:d>
                    </m:e>
                  </m:d>
                </m:e>
              </m:nary>
              <m:r>
                <m:t> </m:t>
              </m:r>
              <m:sSub>
                <m:e>
                  <m:r>
                    <m:t>c</m:t>
                  </m:r>
                </m:e>
                <m:sub>
                  <m:r>
                    <m:t>r</m:t>
                  </m:r>
                  <m:d>
                    <m:dPr>
                      <m:begChr m:val="("/>
                      <m:endChr m:val=")"/>
                      <m:sepChr m:val=""/>
                      <m:grow/>
                    </m:dPr>
                    <m:e>
                      <m:r>
                        <m:rPr>
                          <m:sty m:val="b"/>
                        </m:rPr>
                        <m:t>ℓ</m:t>
                      </m:r>
                    </m:e>
                  </m:d>
                </m:sub>
              </m:sSub>
            </m:num>
            <m:den>
              <m:nary>
                <m:naryPr>
                  <m:chr m:val="∑"/>
                  <m:limLoc m:val="undOvr"/>
                  <m:subHide m:val="off"/>
                  <m:supHide m:val="on"/>
                </m:naryPr>
                <m:sub>
                  <m:r>
                    <m:rPr>
                      <m:sty m:val="b"/>
                    </m:rPr>
                    <m:t>ℓ</m:t>
                  </m:r>
                </m:sub>
                <m:sup>
                  <m:r>
                    <m:t>​</m:t>
                  </m:r>
                </m:sup>
                <m:e>
                  <m:nary>
                    <m:naryPr>
                      <m:chr m:val="∏"/>
                      <m:limLoc m:val="undOvr"/>
                      <m:subHide m:val="off"/>
                      <m:supHide m:val="off"/>
                    </m:naryPr>
                    <m:sub>
                      <m:r>
                        <m:t>j</m:t>
                      </m:r>
                      <m:r>
                        <m:rPr>
                          <m:sty m:val="p"/>
                        </m:rPr>
                        <m:t>=</m:t>
                      </m:r>
                      <m:r>
                        <m:t>1</m:t>
                      </m:r>
                    </m:sub>
                    <m:sup>
                      <m:r>
                        <m:t>k</m:t>
                      </m:r>
                    </m:sup>
                    <m:e>
                      <m:sSub>
                        <m:e>
                          <m:r>
                            <m:t>μ</m:t>
                          </m:r>
                        </m:e>
                        <m:sub>
                          <m:sSub>
                            <m:e>
                              <m:r>
                                <m:rPr>
                                  <m:sty m:val="p"/>
                                </m:rPr>
                                <m:t>ℓ</m:t>
                              </m:r>
                            </m:e>
                            <m:sub>
                              <m:r>
                                <m:t>j</m:t>
                              </m:r>
                            </m:sub>
                          </m:sSub>
                        </m:sub>
                      </m:sSub>
                    </m:e>
                  </m:nary>
                </m:e>
              </m:nary>
              <m:d>
                <m:dPr>
                  <m:begChr m:val="("/>
                  <m:endChr m:val=")"/>
                  <m:sepChr m:val=""/>
                  <m:grow/>
                </m:dPr>
                <m:e>
                  <m:sSub>
                    <m:e>
                      <m:r>
                        <m:t>x</m:t>
                      </m:r>
                    </m:e>
                    <m:sub>
                      <m:r>
                        <m:t>j</m:t>
                      </m:r>
                    </m:sub>
                  </m:sSub>
                </m:e>
              </m:d>
            </m:den>
          </m:f>
          <m:r>
            <m:rPr>
              <m:sty m:val="p"/>
            </m:rPr>
            <m:t>,</m:t>
          </m:r>
          <m:r>
            <m:t>  </m:t>
          </m:r>
          <m:r>
            <m:t>  </m:t>
          </m:r>
          <m:d>
            <m:dPr>
              <m:begChr m:val="("/>
              <m:endChr m:val=")"/>
              <m:sepChr m:val=""/>
              <m:grow/>
            </m:dPr>
            <m:e>
              <m:r>
                <m:t>3</m:t>
              </m:r>
            </m:e>
          </m:d>
        </m:oMath>
      </m:oMathPara>
    </w:p>
    <w:p>
      <w:pPr>
        <w:pStyle w:val="FirstParagraph"/>
      </w:pPr>
      <w:r>
        <w:t xml:space="preserve">where</w:t>
      </w:r>
      <w:r>
        <w:t xml:space="preserve"> </w:t>
      </w:r>
      <m:oMath>
        <m:r>
          <m:t>r</m:t>
        </m:r>
        <m:d>
          <m:dPr>
            <m:begChr m:val="("/>
            <m:endChr m:val=")"/>
            <m:sepChr m:val=""/>
            <m:grow/>
          </m:dPr>
          <m:e>
            <m:r>
              <m:rPr>
                <m:sty m:val="b"/>
              </m:rPr>
              <m:t>ℓ</m:t>
            </m:r>
          </m:e>
        </m:d>
      </m:oMath>
      <w:r>
        <w:t xml:space="preserve"> </w:t>
      </w:r>
      <w:r>
        <w:t xml:space="preserve">is the consequent of rule</w:t>
      </w:r>
      <w:r>
        <w:t xml:space="preserve"> </w:t>
      </w:r>
      <m:oMath>
        <m:r>
          <m:rPr>
            <m:sty m:val="b"/>
          </m:rPr>
          <m:t>ℓ</m:t>
        </m:r>
      </m:oMath>
      <w:r>
        <w:t xml:space="preserve">.</w:t>
      </w:r>
    </w:p>
    <w:p>
      <w:pPr>
        <w:pStyle w:val="BodyText"/>
      </w:pPr>
      <w:r>
        <w:rPr>
          <w:bCs/>
          <w:b/>
        </w:rPr>
        <w:t xml:space="preserve">Lemma 1.</w:t>
      </w:r>
    </w:p>
    <w:p>
      <w:pPr>
        <w:pStyle w:val="BodyText"/>
      </w:pPr>
      <w:r>
        <w:t xml:space="preserve">Both partitions are Ruspini partitions, i.e. </w:t>
      </w:r>
      <m:oMath>
        <m:nary>
          <m:naryPr>
            <m:chr m:val="∑"/>
            <m:limLoc m:val="undOvr"/>
            <m:subHide m:val="off"/>
            <m:supHide m:val="on"/>
          </m:naryPr>
          <m:sub>
            <m:r>
              <m:rPr>
                <m:sty m:val="p"/>
              </m:rPr>
              <m:t>ℓ</m:t>
            </m:r>
          </m:sub>
          <m:sup>
            <m:r>
              <m:t>​</m:t>
            </m:r>
          </m:sup>
          <m:e>
            <m:sSub>
              <m:e>
                <m:r>
                  <m:t>μ</m:t>
                </m:r>
              </m:e>
              <m:sub>
                <m:r>
                  <m:rPr>
                    <m:sty m:val="p"/>
                  </m:rPr>
                  <m:t>ℓ</m:t>
                </m:r>
              </m:sub>
            </m:sSub>
          </m:e>
        </m:nary>
        <m:d>
          <m:dPr>
            <m:begChr m:val="("/>
            <m:endChr m:val=")"/>
            <m:sepChr m:val=""/>
            <m:grow/>
          </m:dPr>
          <m:e>
            <m:r>
              <m:t>x</m:t>
            </m:r>
          </m:e>
        </m:d>
        <m:r>
          <m:rPr>
            <m:sty m:val="p"/>
          </m:rPr>
          <m:t>=</m:t>
        </m:r>
        <m:r>
          <m:t>1</m:t>
        </m:r>
      </m:oMath>
      <w:r>
        <w:t xml:space="preserve"> </w:t>
      </w:r>
      <w:r>
        <w:t xml:space="preserve">for all</w:t>
      </w:r>
      <w:r>
        <w:t xml:space="preserve"> </w:t>
      </w:r>
      <m:oMath>
        <m:r>
          <m:t>x</m:t>
        </m:r>
        <m:r>
          <m:rPr>
            <m:sty m:val="p"/>
          </m:rPr>
          <m:t>∈</m:t>
        </m:r>
        <m:r>
          <m:t>U</m:t>
        </m:r>
      </m:oMath>
      <w:r>
        <w:t xml:space="preserve">. Consequently the denominator of Eq. (3) equals one, and</w:t>
      </w:r>
      <w:r>
        <w:t xml:space="preserve"> </w:t>
      </w:r>
      <m:oMath>
        <m:r>
          <m:t>f</m:t>
        </m:r>
      </m:oMath>
      <w:r>
        <w:t xml:space="preserve"> </w:t>
      </w:r>
      <w:r>
        <w:t xml:space="preserve">is the multilinear interpolation of the rule table on the knot grid.</w:t>
      </w:r>
    </w:p>
    <w:p>
      <w:pPr>
        <w:pStyle w:val="BodyText"/>
      </w:pPr>
      <w:r>
        <w:rPr>
          <w:iCs/>
          <w:i/>
        </w:rPr>
        <w:t xml:space="preserve">Proof.</w:t>
      </w:r>
      <w:r>
        <w:t xml:space="preserve"> </w:t>
      </w:r>
      <w:r>
        <w:t xml:space="preserve">On</w:t>
      </w:r>
      <w:r>
        <w:t xml:space="preserve"> </w:t>
      </w:r>
      <m:oMath>
        <m:d>
          <m:dPr>
            <m:begChr m:val="["/>
            <m:endChr m:val="]"/>
            <m:sepChr m:val=""/>
            <m:grow/>
          </m:dPr>
          <m:e>
            <m:r>
              <m:t>2</m:t>
            </m:r>
            <m:r>
              <m:rPr>
                <m:sty m:val="p"/>
              </m:rPr>
              <m:t>,</m:t>
            </m:r>
            <m:r>
              <m:t>3</m:t>
            </m:r>
          </m:e>
        </m:d>
      </m:oMath>
      <w:r>
        <w:t xml:space="preserve"> </w:t>
      </w:r>
      <w:r>
        <w:t xml:space="preserve">only</w:t>
      </w:r>
      <w:r>
        <w:t xml:space="preserve"> </w:t>
      </w:r>
      <m:oMath>
        <m:sSub>
          <m:e>
            <m:r>
              <m:t>μ</m:t>
            </m:r>
          </m:e>
          <m:sub>
            <m:r>
              <m:t>L</m:t>
            </m:r>
          </m:sub>
        </m:sSub>
        <m:r>
          <m:rPr>
            <m:sty m:val="p"/>
          </m:rPr>
          <m:t>=</m:t>
        </m:r>
        <m:r>
          <m:t>3</m:t>
        </m:r>
        <m:r>
          <m:rPr>
            <m:sty m:val="p"/>
          </m:rPr>
          <m:t>−</m:t>
        </m:r>
        <m:r>
          <m:t>x</m:t>
        </m:r>
      </m:oMath>
      <w:r>
        <w:t xml:space="preserve"> </w:t>
      </w:r>
      <w:r>
        <w:t xml:space="preserve">and</w:t>
      </w:r>
      <w:r>
        <w:t xml:space="preserve"> </w:t>
      </w:r>
      <m:oMath>
        <m:sSub>
          <m:e>
            <m:r>
              <m:t>μ</m:t>
            </m:r>
          </m:e>
          <m:sub>
            <m:r>
              <m:t>M</m:t>
            </m:r>
          </m:sub>
        </m:sSub>
        <m:r>
          <m:rPr>
            <m:sty m:val="p"/>
          </m:rPr>
          <m:t>=</m:t>
        </m:r>
        <m:r>
          <m:t>x</m:t>
        </m:r>
        <m:r>
          <m:rPr>
            <m:sty m:val="p"/>
          </m:rPr>
          <m:t>−</m:t>
        </m:r>
        <m:r>
          <m:t>2</m:t>
        </m:r>
      </m:oMath>
      <w:r>
        <w:t xml:space="preserve"> </w:t>
      </w:r>
      <w:r>
        <w:t xml:space="preserve">are positive and they sum to one; on</w:t>
      </w:r>
      <w:r>
        <w:t xml:space="preserve"> </w:t>
      </w:r>
      <m:oMath>
        <m:d>
          <m:dPr>
            <m:begChr m:val="["/>
            <m:endChr m:val="]"/>
            <m:sepChr m:val=""/>
            <m:grow/>
          </m:dPr>
          <m:e>
            <m:r>
              <m:t>3</m:t>
            </m:r>
            <m:r>
              <m:rPr>
                <m:sty m:val="p"/>
              </m:rPr>
              <m:t>,</m:t>
            </m:r>
            <m:r>
              <m:t>4</m:t>
            </m:r>
          </m:e>
        </m:d>
      </m:oMath>
      <w:r>
        <w:t xml:space="preserve">,</w:t>
      </w:r>
      <w:r>
        <w:t xml:space="preserve"> </w:t>
      </w:r>
      <m:oMath>
        <m:sSub>
          <m:e>
            <m:r>
              <m:t>μ</m:t>
            </m:r>
          </m:e>
          <m:sub>
            <m:r>
              <m:t>M</m:t>
            </m:r>
          </m:sub>
        </m:sSub>
        <m:r>
          <m:rPr>
            <m:sty m:val="p"/>
          </m:rPr>
          <m:t>+</m:t>
        </m:r>
        <m:sSub>
          <m:e>
            <m:r>
              <m:t>μ</m:t>
            </m:r>
          </m:e>
          <m:sub>
            <m:r>
              <m:t>H</m:t>
            </m:r>
          </m:sub>
        </m:sSub>
        <m:r>
          <m:rPr>
            <m:sty m:val="p"/>
          </m:rPr>
          <m:t>=</m:t>
        </m:r>
        <m:d>
          <m:dPr>
            <m:begChr m:val="("/>
            <m:endChr m:val=")"/>
            <m:sepChr m:val=""/>
            <m:grow/>
          </m:dPr>
          <m:e>
            <m:r>
              <m:t>4</m:t>
            </m:r>
            <m:r>
              <m:rPr>
                <m:sty m:val="p"/>
              </m:rPr>
              <m:t>−</m:t>
            </m:r>
            <m:r>
              <m:t>x</m:t>
            </m:r>
          </m:e>
        </m:d>
        <m:r>
          <m:rPr>
            <m:sty m:val="p"/>
          </m:rPr>
          <m:t>+</m:t>
        </m:r>
        <m:d>
          <m:dPr>
            <m:begChr m:val="("/>
            <m:endChr m:val=")"/>
            <m:sepChr m:val=""/>
            <m:grow/>
          </m:dPr>
          <m:e>
            <m:r>
              <m:t>x</m:t>
            </m:r>
            <m:r>
              <m:rPr>
                <m:sty m:val="p"/>
              </m:rPr>
              <m:t>−</m:t>
            </m:r>
            <m:r>
              <m:t>3</m:t>
            </m:r>
          </m:e>
        </m:d>
        <m:r>
          <m:rPr>
            <m:sty m:val="p"/>
          </m:rPr>
          <m:t>=</m:t>
        </m:r>
        <m:r>
          <m:t>1</m:t>
        </m:r>
      </m:oMath>
      <w:r>
        <w:t xml:space="preserve">; on</w:t>
      </w:r>
      <w:r>
        <w:t xml:space="preserve"> </w:t>
      </w:r>
      <m:oMath>
        <m:d>
          <m:dPr>
            <m:begChr m:val="["/>
            <m:endChr m:val="]"/>
            <m:sepChr m:val=""/>
            <m:grow/>
          </m:dPr>
          <m:e>
            <m:r>
              <m:t>1</m:t>
            </m:r>
            <m:r>
              <m:rPr>
                <m:sty m:val="p"/>
              </m:rPr>
              <m:t>,</m:t>
            </m:r>
            <m:r>
              <m:t>2</m:t>
            </m:r>
          </m:e>
        </m:d>
      </m:oMath>
      <w:r>
        <w:t xml:space="preserve"> </w:t>
      </w:r>
      <w:r>
        <w:t xml:space="preserve">and</w:t>
      </w:r>
      <w:r>
        <w:t xml:space="preserve"> </w:t>
      </w:r>
      <m:oMath>
        <m:d>
          <m:dPr>
            <m:begChr m:val="["/>
            <m:endChr m:val="]"/>
            <m:sepChr m:val=""/>
            <m:grow/>
          </m:dPr>
          <m:e>
            <m:r>
              <m:t>4</m:t>
            </m:r>
            <m:r>
              <m:rPr>
                <m:sty m:val="p"/>
              </m:rPr>
              <m:t>,</m:t>
            </m:r>
            <m:r>
              <m:t>5</m:t>
            </m:r>
          </m:e>
        </m:d>
      </m:oMath>
      <w:r>
        <w:t xml:space="preserve"> </w:t>
      </w:r>
      <w:r>
        <w:t xml:space="preserve">a single shoulder equals one. The output partition is analogous with slopes</w:t>
      </w:r>
      <w:r>
        <w:t xml:space="preserve"> </w:t>
      </w:r>
      <m:oMath>
        <m:r>
          <m:t>1</m:t>
        </m:r>
        <m:r>
          <m:rPr>
            <m:sty m:val="p"/>
          </m:rPr>
          <m:t>/</m:t>
        </m:r>
        <m:r>
          <m:t>30</m:t>
        </m:r>
      </m:oMath>
      <w:r>
        <w:t xml:space="preserve">. The denominator factorises as</w:t>
      </w:r>
      <w:r>
        <w:t xml:space="preserve"> </w:t>
      </w:r>
      <m:oMath>
        <m:nary>
          <m:naryPr>
            <m:chr m:val="∏"/>
            <m:limLoc m:val="undOvr"/>
            <m:subHide m:val="off"/>
            <m:supHide m:val="on"/>
          </m:naryPr>
          <m:sub>
            <m:r>
              <m:t>j</m:t>
            </m:r>
          </m:sub>
          <m:sup>
            <m:r>
              <m:t>​</m:t>
            </m:r>
          </m:sup>
          <m:e>
            <m:nary>
              <m:naryPr>
                <m:chr m:val="∑"/>
                <m:limLoc m:val="undOvr"/>
                <m:subHide m:val="off"/>
                <m:supHide m:val="on"/>
              </m:naryPr>
              <m:sub>
                <m:r>
                  <m:rPr>
                    <m:sty m:val="p"/>
                  </m:rPr>
                  <m:t>ℓ</m:t>
                </m:r>
              </m:sub>
              <m:sup>
                <m:r>
                  <m:t>​</m:t>
                </m:r>
              </m:sup>
              <m:e>
                <m:sSub>
                  <m:e>
                    <m:r>
                      <m:t>μ</m:t>
                    </m:r>
                  </m:e>
                  <m:sub>
                    <m:r>
                      <m:rPr>
                        <m:sty m:val="p"/>
                      </m:rPr>
                      <m:t>ℓ</m:t>
                    </m:r>
                  </m:sub>
                </m:sSub>
              </m:e>
            </m:nary>
          </m:e>
        </m:nary>
        <m:d>
          <m:dPr>
            <m:begChr m:val="("/>
            <m:endChr m:val=")"/>
            <m:sepChr m:val=""/>
            <m:grow/>
          </m:dPr>
          <m:e>
            <m:sSub>
              <m:e>
                <m:r>
                  <m:t>x</m:t>
                </m:r>
              </m:e>
              <m:sub>
                <m:r>
                  <m:t>j</m:t>
                </m:r>
              </m:sub>
            </m:sSub>
          </m:e>
        </m:d>
        <m:r>
          <m:rPr>
            <m:sty m:val="p"/>
          </m:rPr>
          <m:t>=</m:t>
        </m:r>
        <m:r>
          <m:t>1</m:t>
        </m:r>
      </m:oMath>
      <w:r>
        <w:t xml:space="preserve">.</w:t>
      </w:r>
      <w:r>
        <w:t xml:space="preserve"> </w:t>
      </w:r>
      <m:oMath>
        <m:r>
          <m:rPr>
            <m:sty m:val="p"/>
          </m:rPr>
          <m:t>▫</m:t>
        </m:r>
      </m:oMath>
    </w:p>
    <w:p>
      <w:pPr>
        <w:pStyle w:val="BodyText"/>
      </w:pPr>
      <w:r>
        <w:rPr>
          <w:bCs/>
          <w:b/>
        </w:rPr>
        <w:t xml:space="preserve">Lemma 2.</w:t>
      </w:r>
    </w:p>
    <w:p>
      <w:pPr>
        <w:pStyle w:val="BodyText"/>
      </w:pPr>
      <w:r>
        <w:t xml:space="preserve">All five rule tables of the framework are monotone: the consequent level is non-decreasing in every antecedent level.</w:t>
      </w:r>
    </w:p>
    <w:p>
      <w:pPr>
        <w:pStyle w:val="BodyText"/>
      </w:pPr>
      <w:r>
        <w:rPr>
          <w:iCs/>
          <w:i/>
        </w:rPr>
        <w:t xml:space="preserve">Proof.</w:t>
      </w:r>
      <w:r>
        <w:t xml:space="preserve"> </w:t>
      </w:r>
      <w:r>
        <w:t xml:space="preserve">For the rounded-mean rules the consequent is</w:t>
      </w:r>
      <w:r>
        <w:t xml:space="preserve"> </w:t>
      </w:r>
      <m:oMath>
        <m:r>
          <m:rPr>
            <m:sty m:val="p"/>
          </m:rPr>
          <m:t>⌈</m:t>
        </m:r>
        <m:sSup>
          <m:e>
            <m:r>
              <m:rPr>
                <m:sty m:val="b"/>
              </m:rPr>
              <m:t>w</m:t>
            </m:r>
          </m:e>
          <m:sup>
            <m:r>
              <m:rPr>
                <m:sty m:val="p"/>
              </m:rPr>
              <m:t>⊤</m:t>
            </m:r>
          </m:sup>
        </m:sSup>
        <m:r>
          <m:rPr>
            <m:sty m:val="b"/>
          </m:rPr>
          <m:t>ℓ</m:t>
        </m:r>
        <m:r>
          <m:rPr>
            <m:sty m:val="p"/>
          </m:rPr>
          <m:t>/</m:t>
        </m:r>
        <m:sSup>
          <m:e>
            <m:r>
              <m:rPr>
                <m:sty m:val="b"/>
              </m:rPr>
              <m:t>1</m:t>
            </m:r>
          </m:e>
          <m:sup>
            <m:r>
              <m:rPr>
                <m:sty m:val="p"/>
              </m:rPr>
              <m:t>⊤</m:t>
            </m:r>
          </m:sup>
        </m:sSup>
        <m:r>
          <m:rPr>
            <m:sty m:val="b"/>
          </m:rPr>
          <m:t>w</m:t>
        </m:r>
        <m:r>
          <m:rPr>
            <m:sty m:val="p"/>
          </m:rPr>
          <m:t>−</m:t>
        </m:r>
        <m:f>
          <m:fPr>
            <m:type m:val="lin"/>
          </m:fPr>
          <m:num>
            <m:r>
              <m:t>1</m:t>
            </m:r>
          </m:num>
          <m:den>
            <m:r>
              <m:t>2</m:t>
            </m:r>
          </m:den>
        </m:f>
        <m:r>
          <m:rPr>
            <m:sty m:val="p"/>
          </m:rPr>
          <m:t>⌉</m:t>
        </m:r>
      </m:oMath>
      <w:r>
        <w:t xml:space="preserve"> </w:t>
      </w:r>
      <w:r>
        <w:t xml:space="preserve">with</w:t>
      </w:r>
      <w:r>
        <w:t xml:space="preserve"> </w:t>
      </w:r>
      <m:oMath>
        <m:r>
          <m:rPr>
            <m:sty m:val="b"/>
          </m:rPr>
          <m:t>w</m:t>
        </m:r>
        <m:r>
          <m:rPr>
            <m:sty m:val="p"/>
          </m:rPr>
          <m:t>&gt;</m:t>
        </m:r>
        <m:r>
          <m:t>0</m:t>
        </m:r>
      </m:oMath>
      <w:r>
        <w:t xml:space="preserve">, a composition of a non-decreasing linear form and the non-decreasing ceiling function. For the veto rules (FIS</w:t>
      </w:r>
      <m:oMath>
        <m:sSub>
          <m:e>
            <m:r>
              <m:t>​</m:t>
            </m:r>
          </m:e>
          <m:sub>
            <m:r>
              <m:t>3</m:t>
            </m:r>
          </m:sub>
        </m:sSub>
      </m:oMath>
      <w:r>
        <w:t xml:space="preserve">, FIS</w:t>
      </w:r>
      <m:oMath>
        <m:sSub>
          <m:e>
            <m:r>
              <m:t>​</m:t>
            </m:r>
          </m:e>
          <m:sub>
            <m:r>
              <m:t>4</m:t>
            </m:r>
          </m:sub>
        </m:sSub>
      </m:oMath>
      <w:r>
        <w:t xml:space="preserve"> </w:t>
      </w:r>
      <w:r>
        <w:t xml:space="preserve">and the activity FIS) the consequent is Low on the veto set and the rounded mean elsewhere; raising a vetoing input from Low either keeps the consequent at Low or moves it to a non-negative level, so monotonicity is preserved. Exhaustive enumeration of the 153 rules confirms this (Table 1).</w:t>
      </w:r>
      <w:r>
        <w:t xml:space="preserve"> </w:t>
      </w:r>
      <m:oMath>
        <m:r>
          <m:rPr>
            <m:sty m:val="p"/>
          </m:rPr>
          <m:t>▫</m:t>
        </m:r>
      </m:oMath>
    </w:p>
    <w:p>
      <w:pPr>
        <w:pStyle w:val="BodyText"/>
      </w:pPr>
      <w:r>
        <w:rPr>
          <w:bCs/>
          <w:b/>
        </w:rPr>
        <w:t xml:space="preserve">Proposition 3 (Boundedness, continuity, monotonicity and Lipschitz continuity of the WA framework).</w:t>
      </w:r>
    </w:p>
    <w:p>
      <w:pPr>
        <w:pStyle w:val="BodyText"/>
      </w:pPr>
      <w:r>
        <w:t xml:space="preserve">Let each sub-system be evaluated by Eq. (3). Then (i) every sub-system output lies in</w:t>
      </w:r>
      <w:r>
        <w:t xml:space="preserve"> </w:t>
      </w:r>
      <m:oMath>
        <m:d>
          <m:dPr>
            <m:begChr m:val="["/>
            <m:endChr m:val="]"/>
            <m:sepChr m:val=""/>
            <m:grow/>
          </m:dPr>
          <m:e>
            <m:sSub>
              <m:e>
                <m:r>
                  <m:t>c</m:t>
                </m:r>
              </m:e>
              <m:sub>
                <m:r>
                  <m:t>L</m:t>
                </m:r>
              </m:sub>
            </m:sSub>
            <m:r>
              <m:rPr>
                <m:sty m:val="p"/>
              </m:rPr>
              <m:t>,</m:t>
            </m:r>
            <m:sSub>
              <m:e>
                <m:r>
                  <m:t>c</m:t>
                </m:r>
              </m:e>
              <m:sub>
                <m:r>
                  <m:t>H</m:t>
                </m:r>
              </m:sub>
            </m:sSub>
          </m:e>
        </m:d>
        <m:r>
          <m:rPr>
            <m:sty m:val="p"/>
          </m:rPr>
          <m:t>=</m:t>
        </m:r>
        <m:d>
          <m:dPr>
            <m:begChr m:val="["/>
            <m:endChr m:val="]"/>
            <m:sepChr m:val=""/>
            <m:grow/>
          </m:dPr>
          <m:e>
            <m:r>
              <m:t>18.57</m:t>
            </m:r>
            <m:r>
              <m:rPr>
                <m:sty m:val="p"/>
              </m:rPr>
              <m:t>,</m:t>
            </m:r>
            <m:r>
              <m:t>81.43</m:t>
            </m:r>
          </m:e>
        </m:d>
      </m:oMath>
      <w:r>
        <w:t xml:space="preserve">; (ii) every output is continuous; (iii) every output is non-decreasing in each of its inputs; (iv) the hierarchical TRFS is non-decreasing in each of the eight factors; and (v) on the Likert scale</w:t>
      </w:r>
      <w:r>
        <w:t xml:space="preserve"> </w:t>
      </w:r>
      <m:oMath>
        <m:d>
          <m:dPr>
            <m:begChr m:val="|"/>
            <m:endChr m:val="|"/>
            <m:sepChr m:val=""/>
            <m:grow/>
          </m:dPr>
          <m:e>
            <m:r>
              <m:rPr>
                <m:sty m:val="p"/>
              </m:rPr>
              <m:t>∂</m:t>
            </m:r>
            <m:r>
              <m:t>f</m:t>
            </m:r>
            <m:r>
              <m:rPr>
                <m:sty m:val="p"/>
              </m:rPr>
              <m:t>/</m:t>
            </m:r>
            <m:r>
              <m:rPr>
                <m:sty m:val="p"/>
              </m:rPr>
              <m:t>∂</m:t>
            </m:r>
            <m:sSub>
              <m:e>
                <m:r>
                  <m:t>x</m:t>
                </m:r>
              </m:e>
              <m:sub>
                <m:r>
                  <m:t>j</m:t>
                </m:r>
              </m:sub>
            </m:sSub>
          </m:e>
        </m:d>
        <m:r>
          <m:rPr>
            <m:sty m:val="p"/>
          </m:rPr>
          <m:t>≤</m:t>
        </m:r>
        <m:sSub>
          <m:e>
            <m:r>
              <m:t>c</m:t>
            </m:r>
          </m:e>
          <m:sub>
            <m:r>
              <m:t>H</m:t>
            </m:r>
          </m:sub>
        </m:sSub>
        <m:r>
          <m:rPr>
            <m:sty m:val="p"/>
          </m:rPr>
          <m:t>−</m:t>
        </m:r>
        <m:sSub>
          <m:e>
            <m:r>
              <m:t>c</m:t>
            </m:r>
          </m:e>
          <m:sub>
            <m:r>
              <m:t>L</m:t>
            </m:r>
          </m:sub>
        </m:sSub>
      </m:oMath>
      <w:r>
        <w:t xml:space="preserve"> </w:t>
      </w:r>
      <w:r>
        <w:t xml:space="preserve">wherever the derivative exists.</w:t>
      </w:r>
    </w:p>
    <w:p>
      <w:pPr>
        <w:pStyle w:val="BodyText"/>
      </w:pPr>
      <w:r>
        <w:rPr>
          <w:iCs/>
          <w:i/>
        </w:rPr>
        <w:t xml:space="preserve">Proof.</w:t>
      </w:r>
      <w:r>
        <w:t xml:space="preserve"> </w:t>
      </w:r>
      <w:r>
        <w:t xml:space="preserve">(i) By Lemma 1,</w:t>
      </w:r>
      <w:r>
        <w:t xml:space="preserve"> </w:t>
      </w:r>
      <m:oMath>
        <m:r>
          <m:t>f</m:t>
        </m:r>
      </m:oMath>
      <w:r>
        <w:t xml:space="preserve"> </w:t>
      </w:r>
      <w:r>
        <w:t xml:space="preserve">is a convex combination of values in</w:t>
      </w:r>
      <w:r>
        <w:t xml:space="preserve"> </w:t>
      </w:r>
      <m:oMath>
        <m:r>
          <m:rPr>
            <m:sty m:val="p"/>
          </m:rPr>
          <m:t>{</m:t>
        </m:r>
        <m:sSub>
          <m:e>
            <m:r>
              <m:t>c</m:t>
            </m:r>
          </m:e>
          <m:sub>
            <m:r>
              <m:t>L</m:t>
            </m:r>
          </m:sub>
        </m:sSub>
        <m:r>
          <m:rPr>
            <m:sty m:val="p"/>
          </m:rPr>
          <m:t>,</m:t>
        </m:r>
        <m:sSub>
          <m:e>
            <m:r>
              <m:t>c</m:t>
            </m:r>
          </m:e>
          <m:sub>
            <m:r>
              <m:t>M</m:t>
            </m:r>
          </m:sub>
        </m:sSub>
        <m:r>
          <m:rPr>
            <m:sty m:val="p"/>
          </m:rPr>
          <m:t>,</m:t>
        </m:r>
        <m:sSub>
          <m:e>
            <m:r>
              <m:t>c</m:t>
            </m:r>
          </m:e>
          <m:sub>
            <m:r>
              <m:t>H</m:t>
            </m:r>
          </m:sub>
        </m:sSub>
        <m:r>
          <m:rPr>
            <m:sty m:val="p"/>
          </m:rPr>
          <m:t>}</m:t>
        </m:r>
      </m:oMath>
      <w:r>
        <w:t xml:space="preserve">. (ii)</w:t>
      </w:r>
      <w:r>
        <w:t xml:space="preserve"> </w:t>
      </w:r>
      <m:oMath>
        <m:r>
          <m:t>f</m:t>
        </m:r>
      </m:oMath>
      <w:r>
        <w:t xml:space="preserve"> </w:t>
      </w:r>
      <w:r>
        <w:t xml:space="preserve">is a finite sum of products of continuous functions. (iii) Fix all inputs except</w:t>
      </w:r>
      <w:r>
        <w:t xml:space="preserve"> </w:t>
      </w:r>
      <m:oMath>
        <m:sSub>
          <m:e>
            <m:r>
              <m:t>x</m:t>
            </m:r>
          </m:e>
          <m:sub>
            <m:r>
              <m:t>j</m:t>
            </m:r>
          </m:sub>
        </m:sSub>
      </m:oMath>
      <w:r>
        <w:t xml:space="preserve"> </w:t>
      </w:r>
      <w:r>
        <w:t xml:space="preserve">and write</w:t>
      </w:r>
      <w:r>
        <w:t xml:space="preserve"> </w:t>
      </w:r>
      <m:oMath>
        <m:r>
          <m:t>f</m:t>
        </m:r>
        <m:r>
          <m:rPr>
            <m:sty m:val="p"/>
          </m:rPr>
          <m:t>=</m:t>
        </m:r>
        <m:nary>
          <m:naryPr>
            <m:chr m:val="∑"/>
            <m:limLoc m:val="undOvr"/>
            <m:subHide m:val="off"/>
            <m:supHide m:val="on"/>
          </m:naryPr>
          <m:sub>
            <m:r>
              <m:rPr>
                <m:sty m:val="p"/>
              </m:rPr>
              <m:t>ℓ</m:t>
            </m:r>
          </m:sub>
          <m:sup>
            <m:r>
              <m:t>​</m:t>
            </m:r>
          </m:sup>
          <m:e>
            <m:sSub>
              <m:e>
                <m:r>
                  <m:t>μ</m:t>
                </m:r>
              </m:e>
              <m:sub>
                <m:r>
                  <m:rPr>
                    <m:sty m:val="p"/>
                  </m:rPr>
                  <m:t>ℓ</m:t>
                </m:r>
              </m:sub>
            </m:sSub>
          </m:e>
        </m:nary>
        <m:d>
          <m:dPr>
            <m:begChr m:val="("/>
            <m:endChr m:val=")"/>
            <m:sepChr m:val=""/>
            <m:grow/>
          </m:dPr>
          <m:e>
            <m:sSub>
              <m:e>
                <m:r>
                  <m:t>x</m:t>
                </m:r>
              </m:e>
              <m:sub>
                <m:r>
                  <m:t>j</m:t>
                </m:r>
              </m:sub>
            </m:sSub>
          </m:e>
        </m:d>
        <m:r>
          <m:t> </m:t>
        </m:r>
        <m:r>
          <m:t>g</m:t>
        </m:r>
        <m:d>
          <m:dPr>
            <m:begChr m:val="("/>
            <m:endChr m:val=")"/>
            <m:sepChr m:val=""/>
            <m:grow/>
          </m:dPr>
          <m:e>
            <m:r>
              <m:rPr>
                <m:sty m:val="p"/>
              </m:rPr>
              <m:t>ℓ</m:t>
            </m:r>
          </m:e>
        </m:d>
      </m:oMath>
      <w:r>
        <w:t xml:space="preserve"> </w:t>
      </w:r>
      <w:r>
        <w:t xml:space="preserve">with</w:t>
      </w:r>
      <w:r>
        <w:t xml:space="preserve"> </w:t>
      </w:r>
      <m:oMath>
        <m:r>
          <m:t>g</m:t>
        </m:r>
        <m:d>
          <m:dPr>
            <m:begChr m:val="("/>
            <m:endChr m:val=")"/>
            <m:sepChr m:val=""/>
            <m:grow/>
          </m:dPr>
          <m:e>
            <m:r>
              <m:rPr>
                <m:sty m:val="p"/>
              </m:rPr>
              <m:t>ℓ</m:t>
            </m:r>
          </m:e>
        </m:d>
        <m:r>
          <m:rPr>
            <m:sty m:val="p"/>
          </m:rPr>
          <m:t>=</m:t>
        </m:r>
        <m:nary>
          <m:naryPr>
            <m:chr m:val="∑"/>
            <m:limLoc m:val="undOvr"/>
            <m:subHide m:val="off"/>
            <m:supHide m:val="on"/>
          </m:naryPr>
          <m:sub>
            <m:sSub>
              <m:e>
                <m:r>
                  <m:rPr>
                    <m:sty m:val="b"/>
                  </m:rPr>
                  <m:t>ℓ</m:t>
                </m:r>
              </m:e>
              <m:sub>
                <m:r>
                  <m:rPr>
                    <m:sty m:val="p"/>
                  </m:rPr>
                  <m:t>−</m:t>
                </m:r>
                <m:r>
                  <m:t>j</m:t>
                </m:r>
              </m:sub>
            </m:sSub>
          </m:sub>
          <m:sup>
            <m:r>
              <m:t>​</m:t>
            </m:r>
          </m:sup>
          <m:e>
            <m:nary>
              <m:naryPr>
                <m:chr m:val="∏"/>
                <m:limLoc m:val="undOvr"/>
                <m:subHide m:val="off"/>
                <m:supHide m:val="on"/>
              </m:naryPr>
              <m:sub>
                <m:r>
                  <m:t>i</m:t>
                </m:r>
                <m:r>
                  <m:rPr>
                    <m:sty m:val="p"/>
                  </m:rPr>
                  <m:t>≠</m:t>
                </m:r>
                <m:r>
                  <m:t>j</m:t>
                </m:r>
              </m:sub>
              <m:sup>
                <m:r>
                  <m:t>​</m:t>
                </m:r>
              </m:sup>
              <m:e>
                <m:sSub>
                  <m:e>
                    <m:r>
                      <m:t>μ</m:t>
                    </m:r>
                  </m:e>
                  <m:sub>
                    <m:sSub>
                      <m:e>
                        <m:r>
                          <m:rPr>
                            <m:sty m:val="p"/>
                          </m:rPr>
                          <m:t>ℓ</m:t>
                        </m:r>
                      </m:e>
                      <m:sub>
                        <m:r>
                          <m:t>i</m:t>
                        </m:r>
                      </m:sub>
                    </m:sSub>
                  </m:sub>
                </m:sSub>
              </m:e>
            </m:nary>
          </m:e>
        </m:nary>
        <m:d>
          <m:dPr>
            <m:begChr m:val="("/>
            <m:endChr m:val=")"/>
            <m:sepChr m:val=""/>
            <m:grow/>
          </m:dPr>
          <m:e>
            <m:sSub>
              <m:e>
                <m:r>
                  <m:t>x</m:t>
                </m:r>
              </m:e>
              <m:sub>
                <m:r>
                  <m:t>i</m:t>
                </m:r>
              </m:sub>
            </m:sSub>
          </m:e>
        </m:d>
        <m:r>
          <m:t> </m:t>
        </m:r>
        <m:sSub>
          <m:e>
            <m:r>
              <m:t>c</m:t>
            </m:r>
          </m:e>
          <m:sub>
            <m:r>
              <m:t>r</m:t>
            </m:r>
            <m:d>
              <m:dPr>
                <m:begChr m:val="("/>
                <m:endChr m:val=")"/>
                <m:sepChr m:val=""/>
                <m:grow/>
              </m:dPr>
              <m:e>
                <m:r>
                  <m:rPr>
                    <m:sty m:val="p"/>
                  </m:rPr>
                  <m:t>ℓ</m:t>
                </m:r>
                <m:r>
                  <m:rPr>
                    <m:sty m:val="p"/>
                  </m:rPr>
                  <m:t>,</m:t>
                </m:r>
                <m:sSub>
                  <m:e>
                    <m:r>
                      <m:rPr>
                        <m:sty m:val="b"/>
                      </m:rPr>
                      <m:t>ℓ</m:t>
                    </m:r>
                  </m:e>
                  <m:sub>
                    <m:r>
                      <m:rPr>
                        <m:sty m:val="p"/>
                      </m:rPr>
                      <m:t>−</m:t>
                    </m:r>
                    <m:r>
                      <m:t>j</m:t>
                    </m:r>
                  </m:sub>
                </m:sSub>
              </m:e>
            </m:d>
          </m:sub>
        </m:sSub>
      </m:oMath>
      <w:r>
        <w:t xml:space="preserve">. By Lemma 2 and</w:t>
      </w:r>
      <w:r>
        <w:t xml:space="preserve"> </w:t>
      </w:r>
      <m:oMath>
        <m:sSub>
          <m:e>
            <m:r>
              <m:t>c</m:t>
            </m:r>
          </m:e>
          <m:sub>
            <m:r>
              <m:t>L</m:t>
            </m:r>
          </m:sub>
        </m:sSub>
        <m:r>
          <m:rPr>
            <m:sty m:val="p"/>
          </m:rPr>
          <m:t>&lt;</m:t>
        </m:r>
        <m:sSub>
          <m:e>
            <m:r>
              <m:t>c</m:t>
            </m:r>
          </m:e>
          <m:sub>
            <m:r>
              <m:t>M</m:t>
            </m:r>
          </m:sub>
        </m:sSub>
        <m:r>
          <m:rPr>
            <m:sty m:val="p"/>
          </m:rPr>
          <m:t>&lt;</m:t>
        </m:r>
        <m:sSub>
          <m:e>
            <m:r>
              <m:t>c</m:t>
            </m:r>
          </m:e>
          <m:sub>
            <m:r>
              <m:t>H</m:t>
            </m:r>
          </m:sub>
        </m:sSub>
      </m:oMath>
      <w:r>
        <w:t xml:space="preserve">,</w:t>
      </w:r>
      <w:r>
        <w:t xml:space="preserve"> </w:t>
      </w:r>
      <m:oMath>
        <m:r>
          <m:t>g</m:t>
        </m:r>
      </m:oMath>
      <w:r>
        <w:t xml:space="preserve"> </w:t>
      </w:r>
      <w:r>
        <w:t xml:space="preserve">is a non-negative combination of non-decreasing sequences and is therefore non-decreasing in</w:t>
      </w:r>
      <w:r>
        <w:t xml:space="preserve"> </w:t>
      </w:r>
      <m:oMath>
        <m:r>
          <m:rPr>
            <m:sty m:val="p"/>
          </m:rPr>
          <m:t>ℓ</m:t>
        </m:r>
      </m:oMath>
      <w:r>
        <w:t xml:space="preserve">. On</w:t>
      </w:r>
      <w:r>
        <w:t xml:space="preserve"> </w:t>
      </w:r>
      <m:oMath>
        <m:d>
          <m:dPr>
            <m:begChr m:val="["/>
            <m:endChr m:val="]"/>
            <m:sepChr m:val=""/>
            <m:grow/>
          </m:dPr>
          <m:e>
            <m:r>
              <m:t>2</m:t>
            </m:r>
            <m:r>
              <m:rPr>
                <m:sty m:val="p"/>
              </m:rPr>
              <m:t>,</m:t>
            </m:r>
            <m:r>
              <m:t>3</m:t>
            </m:r>
          </m:e>
        </m:d>
      </m:oMath>
      <w:r>
        <w:t xml:space="preserve">,</w:t>
      </w:r>
      <w:r>
        <w:t xml:space="preserve"> </w:t>
      </w:r>
      <m:oMath>
        <m:r>
          <m:t>f</m:t>
        </m:r>
        <m:r>
          <m:rPr>
            <m:sty m:val="p"/>
          </m:rPr>
          <m:t>=</m:t>
        </m:r>
        <m:d>
          <m:dPr>
            <m:begChr m:val="("/>
            <m:endChr m:val=")"/>
            <m:sepChr m:val=""/>
            <m:grow/>
          </m:dPr>
          <m:e>
            <m:r>
              <m:t>3</m:t>
            </m:r>
            <m:r>
              <m:rPr>
                <m:sty m:val="p"/>
              </m:rPr>
              <m:t>−</m:t>
            </m:r>
            <m:sSub>
              <m:e>
                <m:r>
                  <m:t>x</m:t>
                </m:r>
              </m:e>
              <m:sub>
                <m:r>
                  <m:t>j</m:t>
                </m:r>
              </m:sub>
            </m:sSub>
          </m:e>
        </m:d>
        <m:r>
          <m:t>g</m:t>
        </m:r>
        <m:d>
          <m:dPr>
            <m:begChr m:val="("/>
            <m:endChr m:val=")"/>
            <m:sepChr m:val=""/>
            <m:grow/>
          </m:dPr>
          <m:e>
            <m:r>
              <m:t>L</m:t>
            </m:r>
          </m:e>
        </m:d>
        <m:r>
          <m:rPr>
            <m:sty m:val="p"/>
          </m:rPr>
          <m:t>+</m:t>
        </m:r>
        <m:d>
          <m:dPr>
            <m:begChr m:val="("/>
            <m:endChr m:val=")"/>
            <m:sepChr m:val=""/>
            <m:grow/>
          </m:dPr>
          <m:e>
            <m:sSub>
              <m:e>
                <m:r>
                  <m:t>x</m:t>
                </m:r>
              </m:e>
              <m:sub>
                <m:r>
                  <m:t>j</m:t>
                </m:r>
              </m:sub>
            </m:sSub>
            <m:r>
              <m:rPr>
                <m:sty m:val="p"/>
              </m:rPr>
              <m:t>−</m:t>
            </m:r>
            <m:r>
              <m:t>2</m:t>
            </m:r>
          </m:e>
        </m:d>
        <m:r>
          <m:t>g</m:t>
        </m:r>
        <m:d>
          <m:dPr>
            <m:begChr m:val="("/>
            <m:endChr m:val=")"/>
            <m:sepChr m:val=""/>
            <m:grow/>
          </m:dPr>
          <m:e>
            <m:r>
              <m:t>M</m:t>
            </m:r>
          </m:e>
        </m:d>
      </m:oMath>
      <w:r>
        <w:t xml:space="preserve">, so</w:t>
      </w:r>
      <w:r>
        <w:t xml:space="preserve"> </w:t>
      </w:r>
      <m:oMath>
        <m:r>
          <m:rPr>
            <m:sty m:val="p"/>
          </m:rPr>
          <m:t>∂</m:t>
        </m:r>
        <m:r>
          <m:t>f</m:t>
        </m:r>
        <m:r>
          <m:rPr>
            <m:sty m:val="p"/>
          </m:rPr>
          <m:t>/</m:t>
        </m:r>
        <m:r>
          <m:rPr>
            <m:sty m:val="p"/>
          </m:rPr>
          <m:t>∂</m:t>
        </m:r>
        <m:sSub>
          <m:e>
            <m:r>
              <m:t>x</m:t>
            </m:r>
          </m:e>
          <m:sub>
            <m:r>
              <m:t>j</m:t>
            </m:r>
          </m:sub>
        </m:sSub>
        <m:r>
          <m:rPr>
            <m:sty m:val="p"/>
          </m:rPr>
          <m:t>=</m:t>
        </m:r>
        <m:r>
          <m:t>g</m:t>
        </m:r>
        <m:d>
          <m:dPr>
            <m:begChr m:val="("/>
            <m:endChr m:val=")"/>
            <m:sepChr m:val=""/>
            <m:grow/>
          </m:dPr>
          <m:e>
            <m:r>
              <m:t>M</m:t>
            </m:r>
          </m:e>
        </m:d>
        <m:r>
          <m:rPr>
            <m:sty m:val="p"/>
          </m:rPr>
          <m:t>−</m:t>
        </m:r>
        <m:r>
          <m:t>g</m:t>
        </m:r>
        <m:d>
          <m:dPr>
            <m:begChr m:val="("/>
            <m:endChr m:val=")"/>
            <m:sepChr m:val=""/>
            <m:grow/>
          </m:dPr>
          <m:e>
            <m:r>
              <m:t>L</m:t>
            </m:r>
          </m:e>
        </m:d>
        <m:r>
          <m:rPr>
            <m:sty m:val="p"/>
          </m:rPr>
          <m:t>≥</m:t>
        </m:r>
        <m:r>
          <m:t>0</m:t>
        </m:r>
      </m:oMath>
      <w:r>
        <w:t xml:space="preserve">; on</w:t>
      </w:r>
      <w:r>
        <w:t xml:space="preserve"> </w:t>
      </w:r>
      <m:oMath>
        <m:d>
          <m:dPr>
            <m:begChr m:val="["/>
            <m:endChr m:val="]"/>
            <m:sepChr m:val=""/>
            <m:grow/>
          </m:dPr>
          <m:e>
            <m:r>
              <m:t>3</m:t>
            </m:r>
            <m:r>
              <m:rPr>
                <m:sty m:val="p"/>
              </m:rPr>
              <m:t>,</m:t>
            </m:r>
            <m:r>
              <m:t>4</m:t>
            </m:r>
          </m:e>
        </m:d>
      </m:oMath>
      <w:r>
        <w:t xml:space="preserve">,</w:t>
      </w:r>
      <w:r>
        <w:t xml:space="preserve"> </w:t>
      </w:r>
      <m:oMath>
        <m:r>
          <m:rPr>
            <m:sty m:val="p"/>
          </m:rPr>
          <m:t>∂</m:t>
        </m:r>
        <m:r>
          <m:t>f</m:t>
        </m:r>
        <m:r>
          <m:rPr>
            <m:sty m:val="p"/>
          </m:rPr>
          <m:t>/</m:t>
        </m:r>
        <m:r>
          <m:rPr>
            <m:sty m:val="p"/>
          </m:rPr>
          <m:t>∂</m:t>
        </m:r>
        <m:sSub>
          <m:e>
            <m:r>
              <m:t>x</m:t>
            </m:r>
          </m:e>
          <m:sub>
            <m:r>
              <m:t>j</m:t>
            </m:r>
          </m:sub>
        </m:sSub>
        <m:r>
          <m:rPr>
            <m:sty m:val="p"/>
          </m:rPr>
          <m:t>=</m:t>
        </m:r>
        <m:r>
          <m:t>g</m:t>
        </m:r>
        <m:d>
          <m:dPr>
            <m:begChr m:val="("/>
            <m:endChr m:val=")"/>
            <m:sepChr m:val=""/>
            <m:grow/>
          </m:dPr>
          <m:e>
            <m:r>
              <m:t>H</m:t>
            </m:r>
          </m:e>
        </m:d>
        <m:r>
          <m:rPr>
            <m:sty m:val="p"/>
          </m:rPr>
          <m:t>−</m:t>
        </m:r>
        <m:r>
          <m:t>g</m:t>
        </m:r>
        <m:d>
          <m:dPr>
            <m:begChr m:val="("/>
            <m:endChr m:val=")"/>
            <m:sepChr m:val=""/>
            <m:grow/>
          </m:dPr>
          <m:e>
            <m:r>
              <m:t>M</m:t>
            </m:r>
          </m:e>
        </m:d>
        <m:r>
          <m:rPr>
            <m:sty m:val="p"/>
          </m:rPr>
          <m:t>≥</m:t>
        </m:r>
        <m:r>
          <m:t>0</m:t>
        </m:r>
      </m:oMath>
      <w:r>
        <w:t xml:space="preserve">; on</w:t>
      </w:r>
      <w:r>
        <w:t xml:space="preserve"> </w:t>
      </w:r>
      <m:oMath>
        <m:d>
          <m:dPr>
            <m:begChr m:val="["/>
            <m:endChr m:val="]"/>
            <m:sepChr m:val=""/>
            <m:grow/>
          </m:dPr>
          <m:e>
            <m:r>
              <m:t>1</m:t>
            </m:r>
            <m:r>
              <m:rPr>
                <m:sty m:val="p"/>
              </m:rPr>
              <m:t>,</m:t>
            </m:r>
            <m:r>
              <m:t>2</m:t>
            </m:r>
          </m:e>
        </m:d>
      </m:oMath>
      <w:r>
        <w:t xml:space="preserve"> </w:t>
      </w:r>
      <w:r>
        <w:t xml:space="preserve">and</w:t>
      </w:r>
      <w:r>
        <w:t xml:space="preserve"> </w:t>
      </w:r>
      <m:oMath>
        <m:d>
          <m:dPr>
            <m:begChr m:val="["/>
            <m:endChr m:val="]"/>
            <m:sepChr m:val=""/>
            <m:grow/>
          </m:dPr>
          <m:e>
            <m:r>
              <m:t>4</m:t>
            </m:r>
            <m:r>
              <m:rPr>
                <m:sty m:val="p"/>
              </m:rPr>
              <m:t>,</m:t>
            </m:r>
            <m:r>
              <m:t>5</m:t>
            </m:r>
          </m:e>
        </m:d>
      </m:oMath>
      <w:r>
        <w:t xml:space="preserve">,</w:t>
      </w:r>
      <w:r>
        <w:t xml:space="preserve"> </w:t>
      </w:r>
      <m:oMath>
        <m:r>
          <m:t>f</m:t>
        </m:r>
      </m:oMath>
      <w:r>
        <w:t xml:space="preserve"> </w:t>
      </w:r>
      <w:r>
        <w:t xml:space="preserve">is constant in</w:t>
      </w:r>
      <w:r>
        <w:t xml:space="preserve"> </w:t>
      </w:r>
      <m:oMath>
        <m:sSub>
          <m:e>
            <m:r>
              <m:t>x</m:t>
            </m:r>
          </m:e>
          <m:sub>
            <m:r>
              <m:t>j</m:t>
            </m:r>
          </m:sub>
        </m:sSub>
      </m:oMath>
      <w:r>
        <w:t xml:space="preserve">. Being continuous and piecewise non-decreasing,</w:t>
      </w:r>
      <w:r>
        <w:t xml:space="preserve"> </w:t>
      </w:r>
      <m:oMath>
        <m:r>
          <m:t>f</m:t>
        </m:r>
      </m:oMath>
      <w:r>
        <w:t xml:space="preserve"> </w:t>
      </w:r>
      <w:r>
        <w:t xml:space="preserve">is non-decreasing. (iv) The TRFS is the composition</w:t>
      </w:r>
      <w:r>
        <w:t xml:space="preserve"> </w:t>
      </w:r>
      <m:oMath>
        <m:sSub>
          <m:e>
            <m:r>
              <m:t>f</m:t>
            </m:r>
          </m:e>
          <m:sub>
            <m:r>
              <m:t>4</m:t>
            </m:r>
          </m:sub>
        </m:sSub>
        <m:d>
          <m:dPr>
            <m:begChr m:val="("/>
            <m:endChr m:val=")"/>
            <m:sepChr m:val=""/>
            <m:grow/>
          </m:dPr>
          <m:e>
            <m:sSub>
              <m:e>
                <m:r>
                  <m:t>f</m:t>
                </m:r>
              </m:e>
              <m:sub>
                <m:r>
                  <m:t>1</m:t>
                </m:r>
              </m:sub>
            </m:sSub>
            <m:r>
              <m:rPr>
                <m:sty m:val="p"/>
              </m:rPr>
              <m:t>,</m:t>
            </m:r>
            <m:sSub>
              <m:e>
                <m:r>
                  <m:t>f</m:t>
                </m:r>
              </m:e>
              <m:sub>
                <m:r>
                  <m:t>2</m:t>
                </m:r>
              </m:sub>
            </m:sSub>
            <m:r>
              <m:rPr>
                <m:sty m:val="p"/>
              </m:rPr>
              <m:t>,</m:t>
            </m:r>
            <m:sSub>
              <m:e>
                <m:r>
                  <m:t>f</m:t>
                </m:r>
              </m:e>
              <m:sub>
                <m:r>
                  <m:t>3</m:t>
                </m:r>
              </m:sub>
            </m:sSub>
          </m:e>
        </m:d>
      </m:oMath>
      <w:r>
        <w:t xml:space="preserve"> </w:t>
      </w:r>
      <w:r>
        <w:t xml:space="preserve">of non-decreasing functions whose intermediate values lie in the domain</w:t>
      </w:r>
      <w:r>
        <w:t xml:space="preserve"> </w:t>
      </w:r>
      <m:oMath>
        <m:d>
          <m:dPr>
            <m:begChr m:val="["/>
            <m:endChr m:val="]"/>
            <m:sepChr m:val=""/>
            <m:grow/>
          </m:dPr>
          <m:e>
            <m:r>
              <m:t>0</m:t>
            </m:r>
            <m:r>
              <m:rPr>
                <m:sty m:val="p"/>
              </m:rPr>
              <m:t>,</m:t>
            </m:r>
            <m:r>
              <m:t>100</m:t>
            </m:r>
          </m:e>
        </m:d>
      </m:oMath>
      <w:r>
        <w:t xml:space="preserve"> </w:t>
      </w:r>
      <w:r>
        <w:t xml:space="preserve">of</w:t>
      </w:r>
      <w:r>
        <w:t xml:space="preserve"> </w:t>
      </w:r>
      <m:oMath>
        <m:sSub>
          <m:e>
            <m:r>
              <m:t>f</m:t>
            </m:r>
          </m:e>
          <m:sub>
            <m:r>
              <m:t>4</m:t>
            </m:r>
          </m:sub>
        </m:sSub>
      </m:oMath>
      <w:r>
        <w:t xml:space="preserve"> </w:t>
      </w:r>
      <w:r>
        <w:t xml:space="preserve">by (i); compositions of non-decreasing functions are non-decreasing. (v)</w:t>
      </w:r>
      <w:r>
        <w:t xml:space="preserve"> </w:t>
      </w:r>
      <m:oMath>
        <m:d>
          <m:dPr>
            <m:begChr m:val="|"/>
            <m:endChr m:val="|"/>
            <m:sepChr m:val=""/>
            <m:grow/>
          </m:dPr>
          <m:e>
            <m:r>
              <m:t>g</m:t>
            </m:r>
            <m:d>
              <m:dPr>
                <m:begChr m:val="("/>
                <m:endChr m:val=")"/>
                <m:sepChr m:val=""/>
                <m:grow/>
              </m:dPr>
              <m:e>
                <m:r>
                  <m:rPr>
                    <m:sty m:val="p"/>
                  </m:rPr>
                  <m:t>ℓ</m:t>
                </m:r>
                <m:r>
                  <m:rPr>
                    <m:sty m:val="p"/>
                  </m:rPr>
                  <m:t>+</m:t>
                </m:r>
                <m:r>
                  <m:t>1</m:t>
                </m:r>
              </m:e>
            </m:d>
            <m:r>
              <m:rPr>
                <m:sty m:val="p"/>
              </m:rPr>
              <m:t>−</m:t>
            </m:r>
            <m:r>
              <m:t>g</m:t>
            </m:r>
            <m:d>
              <m:dPr>
                <m:begChr m:val="("/>
                <m:endChr m:val=")"/>
                <m:sepChr m:val=""/>
                <m:grow/>
              </m:dPr>
              <m:e>
                <m:r>
                  <m:rPr>
                    <m:sty m:val="p"/>
                  </m:rPr>
                  <m:t>ℓ</m:t>
                </m:r>
              </m:e>
            </m:d>
          </m:e>
        </m:d>
        <m:r>
          <m:rPr>
            <m:sty m:val="p"/>
          </m:rPr>
          <m:t>≤</m:t>
        </m:r>
        <m:sSub>
          <m:e>
            <m:r>
              <m:t>c</m:t>
            </m:r>
          </m:e>
          <m:sub>
            <m:r>
              <m:t>H</m:t>
            </m:r>
          </m:sub>
        </m:sSub>
        <m:r>
          <m:rPr>
            <m:sty m:val="p"/>
          </m:rPr>
          <m:t>−</m:t>
        </m:r>
        <m:sSub>
          <m:e>
            <m:r>
              <m:t>c</m:t>
            </m:r>
          </m:e>
          <m:sub>
            <m:r>
              <m:t>L</m:t>
            </m:r>
          </m:sub>
        </m:sSub>
      </m:oMath>
      <w:r>
        <w:t xml:space="preserve"> </w:t>
      </w:r>
      <w:r>
        <w:t xml:space="preserve">because</w:t>
      </w:r>
      <w:r>
        <w:t xml:space="preserve"> </w:t>
      </w:r>
      <m:oMath>
        <m:r>
          <m:t>g</m:t>
        </m:r>
      </m:oMath>
      <w:r>
        <w:t xml:space="preserve"> </w:t>
      </w:r>
      <w:r>
        <w:t xml:space="preserve">is a convex combination of values in</w:t>
      </w:r>
      <w:r>
        <w:t xml:space="preserve"> </w:t>
      </w:r>
      <m:oMath>
        <m:d>
          <m:dPr>
            <m:begChr m:val="["/>
            <m:endChr m:val="]"/>
            <m:sepChr m:val=""/>
            <m:grow/>
          </m:dPr>
          <m:e>
            <m:sSub>
              <m:e>
                <m:r>
                  <m:t>c</m:t>
                </m:r>
              </m:e>
              <m:sub>
                <m:r>
                  <m:t>L</m:t>
                </m:r>
              </m:sub>
            </m:sSub>
            <m:r>
              <m:rPr>
                <m:sty m:val="p"/>
              </m:rPr>
              <m:t>,</m:t>
            </m:r>
            <m:sSub>
              <m:e>
                <m:r>
                  <m:t>c</m:t>
                </m:r>
              </m:e>
              <m:sub>
                <m:r>
                  <m:t>H</m:t>
                </m:r>
              </m:sub>
            </m:sSub>
          </m:e>
        </m:d>
      </m:oMath>
      <w:r>
        <w:t xml:space="preserve">.</w:t>
      </w:r>
      <w:r>
        <w:t xml:space="preserve"> </w:t>
      </w:r>
      <m:oMath>
        <m:r>
          <m:rPr>
            <m:sty m:val="p"/>
          </m:rPr>
          <m:t>▫</m:t>
        </m:r>
      </m:oMath>
    </w:p>
    <w:p>
      <w:pPr>
        <w:pStyle w:val="BodyText"/>
      </w:pPr>
      <w:r>
        <w:rPr>
          <w:bCs/>
          <w:b/>
        </w:rPr>
        <w:t xml:space="preserve">Remark 1.</w:t>
      </w:r>
    </w:p>
    <w:p>
      <w:pPr>
        <w:pStyle w:val="BodyText"/>
      </w:pPr>
      <w:r>
        <w:t xml:space="preserve">The Mamdani system shares property (i) only approximately: its range is</w:t>
      </w:r>
      <w:r>
        <w:t xml:space="preserve"> </w:t>
      </w:r>
      <m:oMath>
        <m:d>
          <m:dPr>
            <m:begChr m:val="["/>
            <m:endChr m:val="]"/>
            <m:sepChr m:val=""/>
            <m:grow/>
          </m:dPr>
          <m:e>
            <m:r>
              <m:t>18.44</m:t>
            </m:r>
            <m:r>
              <m:rPr>
                <m:sty m:val="p"/>
              </m:rPr>
              <m:t>,</m:t>
            </m:r>
            <m:r>
              <m:t>81.56</m:t>
            </m:r>
          </m:e>
        </m:d>
      </m:oMath>
      <w:r>
        <w:t xml:space="preserve"> </w:t>
      </w:r>
      <w:r>
        <w:t xml:space="preserve">on the 201-point grid, essentially</w:t>
      </w:r>
      <w:r>
        <w:t xml:space="preserve"> </w:t>
      </w:r>
      <m:oMath>
        <m:d>
          <m:dPr>
            <m:begChr m:val="["/>
            <m:endChr m:val="]"/>
            <m:sepChr m:val=""/>
            <m:grow/>
          </m:dPr>
          <m:e>
            <m:sSub>
              <m:e>
                <m:r>
                  <m:t>c</m:t>
                </m:r>
              </m:e>
              <m:sub>
                <m:r>
                  <m:t>L</m:t>
                </m:r>
              </m:sub>
            </m:sSub>
            <m:r>
              <m:rPr>
                <m:sty m:val="p"/>
              </m:rPr>
              <m:t>,</m:t>
            </m:r>
            <m:sSub>
              <m:e>
                <m:r>
                  <m:t>c</m:t>
                </m:r>
              </m:e>
              <m:sub>
                <m:r>
                  <m:t>H</m:t>
                </m:r>
              </m:sub>
            </m:sSub>
          </m:e>
        </m:d>
      </m:oMath>
      <w:r>
        <w:t xml:space="preserve">. It violates (iii). An exhaustive grid search (Table 1) found local decreases of up to 2.70 TRFS points in up to 9.4% of grid steps, caused by the non-additive max aggregation and the centroid operator. Fig. 2 visualises these ripples. We retain Mamdani inference as the primary specification, because it matches the original proposal and is the standard in educational fuzzy evaluation, and report the provably monotone WA variant as a robustness check and as the recommended choice for operational decision support.</w:t>
      </w:r>
    </w:p>
    <w:p>
      <w:pPr>
        <w:pStyle w:val="CaptionedFigure"/>
      </w:pPr>
      <w:r>
        <w:drawing>
          <wp:inline>
            <wp:extent cx="5334000" cy="2282222"/>
            <wp:effectExtent b="0" l="0" r="0" t="0"/>
            <wp:docPr descr="" title="" id="32" name="Picture"/>
            <a:graphic>
              <a:graphicData uri="http://schemas.openxmlformats.org/drawingml/2006/picture">
                <pic:pic>
                  <pic:nvPicPr>
                    <pic:cNvPr descr="/home/user/Data-Visualization/ai-teacher-feasibility/results/figures/fig16_surfaces_3d.png" id="33" name="Picture"/>
                    <pic:cNvPicPr>
                      <a:picLocks noChangeArrowheads="1" noChangeAspect="1"/>
                    </pic:cNvPicPr>
                  </pic:nvPicPr>
                  <pic:blipFill>
                    <a:blip r:embed="rId31"/>
                    <a:stretch>
                      <a:fillRect/>
                    </a:stretch>
                  </pic:blipFill>
                  <pic:spPr bwMode="auto">
                    <a:xfrm>
                      <a:off x="0" y="0"/>
                      <a:ext cx="5334000" cy="2282222"/>
                    </a:xfrm>
                    <a:prstGeom prst="rect">
                      <a:avLst/>
                    </a:prstGeom>
                    <a:noFill/>
                    <a:ln w="9525">
                      <a:noFill/>
                      <a:headEnd/>
                      <a:tailEnd/>
                    </a:ln>
                  </pic:spPr>
                </pic:pic>
              </a:graphicData>
            </a:graphic>
          </wp:inline>
        </w:drawing>
      </w:r>
    </w:p>
    <w:p>
      <w:pPr>
        <w:pStyle w:val="ImageCaption"/>
      </w:pPr>
      <w:r>
        <w:t xml:space="preserve">Fig. 2. Three-dimensional control surfaces of the activity FIS (ethical suitability fixed at 3): (a) Mamdani min–max inference with centroid defuzzification, showing local non-monotone ripples; (b) the weighted-average variant of Proposition 3, which is smooth and monotone by construction. Orange contours mark the 35 and 65 decision thresholds.</w:t>
      </w:r>
    </w:p>
    <w:p>
      <w:pPr>
        <w:pStyle w:val="TableCaption"/>
      </w:pPr>
      <w:r>
        <w:t xml:space="preserve">Table 1. Exhaustive grid verification of the mathematical properties.</w:t>
      </w:r>
      <w:r>
        <w:t xml:space="preserve"> </w:t>
      </w:r>
      <w:r>
        <w:t xml:space="preserve">“</w:t>
      </w:r>
      <w:r>
        <w:t xml:space="preserve">Worst decrease</w:t>
      </w:r>
      <w:r>
        <w:t xml:space="preserve">”</w:t>
      </w:r>
      <w:r>
        <w:t xml:space="preserve"> </w:t>
      </w:r>
      <w:r>
        <w:t xml:space="preserve">is the largest drop of the output between two adjacent grid points when one input increases;</w:t>
      </w:r>
      <w:r>
        <w:t xml:space="preserve"> </w:t>
      </w:r>
      <w:r>
        <w:t xml:space="preserve">“</w:t>
      </w:r>
      <w:r>
        <w:t xml:space="preserve">% decreasing</w:t>
      </w:r>
      <w:r>
        <w:t xml:space="preserve">”</w:t>
      </w:r>
      <w:r>
        <w:t xml:space="preserve"> </w:t>
      </w:r>
      <w:r>
        <w:t xml:space="preserve">is the share of such steps. The weighted-average (WA) variant attains exactly</w:t>
      </w:r>
      <w:r>
        <w:t xml:space="preserve"> </w:t>
      </w:r>
      <m:oMath>
        <m:d>
          <m:dPr>
            <m:begChr m:val="["/>
            <m:endChr m:val="]"/>
            <m:sepChr m:val=""/>
            <m:grow/>
          </m:dPr>
          <m:e>
            <m:sSub>
              <m:e>
                <m:r>
                  <m:t>c</m:t>
                </m:r>
              </m:e>
              <m:sub>
                <m:r>
                  <m:t>L</m:t>
                </m:r>
              </m:sub>
            </m:sSub>
            <m:r>
              <m:rPr>
                <m:sty m:val="p"/>
              </m:rPr>
              <m:t>,</m:t>
            </m:r>
            <m:sSub>
              <m:e>
                <m:r>
                  <m:t>c</m:t>
                </m:r>
              </m:e>
              <m:sub>
                <m:r>
                  <m:t>H</m:t>
                </m:r>
              </m:sub>
            </m:sSub>
          </m:e>
        </m:d>
      </m:oMath>
      <w:r>
        <w:t xml:space="preserve"> </w:t>
      </w:r>
      <w:r>
        <w:t xml:space="preserve">and never decreases (differences are at floating-point precision), as guaranteed by Proposition 3.</w:t>
      </w:r>
    </w:p>
    <w:tbl>
      <w:tblPr>
        <w:tblStyle w:val="Table"/>
        <w:tblLook w:firstRow="0" w:lastRow="0" w:firstColumn="0" w:lastColumn="0" w:noHBand="0" w:noVBand="0" w:val="0000"/>
        <w:jc w:val="start"/>
        <w:tblCaption w:val="Table 1. Exhaustive grid verification of the mathematical properties. “Worst decrease” is the largest drop of the output between two adjacent grid points when one input increases; “% decreasing” is the share of such steps. The weighted-average (WA) variant attains exactly [c_L,c_H] and never decreases (differences are at floating-point precision), as guaranteed by Proposition 3."/>
        <w:tblW w:w="5000" w:type="pct"/>
        <w:tblLayout w:type="autofit"/>
        <w:tblBorders>
          <w:top w:val="single" w:sz="12" w:space="0" w:color="000000"/>
          <w:bottom w:val="single" w:sz="12" w:space="0" w:color="000000"/>
        </w:tblBorders>
      </w:tblPr>
      <w:tblGrid>
        <w:gridCol/>
        <w:gridCol/>
        <w:gridCol/>
        <w:gridCol/>
        <w:gridCol/>
        <w:gridCol/>
        <w:gridCol/>
        <w:gridCol/>
        <w:gridCol/>
      </w:tblGrid>
      <w:tr>
        <w:tc>
          <w:tcPr>
            <w:tcBorders>
              <w:bottom w:val="single" w:sz="6" w:space="0" w:color="000000"/>
            </w:tcBorders>
          </w:tcPr>
          <w:p>
            <w:pPr>
              <w:pStyle w:val="Compact"/>
              <w:spacing w:after="0" w:before="0" w:line="240" w:lineRule="auto"/>
            </w:pPr>
          </w:p>
        </w:tc>
        <w:tc>
          <w:tcPr>
            <w:tcBorders>
              <w:bottom w:val="single" w:sz="6" w:space="0" w:color="000000"/>
            </w:tcBorders>
          </w:tcPr>
          <w:p>
            <w:pPr>
              <w:pStyle w:val="Compact"/>
              <w:spacing w:after="0" w:before="0" w:line="240" w:lineRule="auto"/>
            </w:pPr>
          </w:p>
        </w:tc>
        <w:tc>
          <w:tcPr>
            <w:tcBorders>
              <w:bottom w:val="single" w:sz="6" w:space="0" w:color="000000"/>
            </w:tcBorders>
          </w:tcPr>
          <w:p>
            <w:pPr>
              <w:pStyle w:val="Compact"/>
              <w:spacing w:after="0" w:before="0" w:line="240" w:lineRule="auto"/>
              <w:jc w:val="center"/>
            </w:pPr>
            <w:r>
              <w:rPr>
                <w:b/>
                <w:sz w:val="16"/>
              </w:rPr>
              <w:t xml:space="preserve">Monotone</w:t>
            </w:r>
          </w:p>
        </w:tc>
        <w:tc>
          <w:tcPr>
            <w:tcBorders>
              <w:bottom w:val="single" w:sz="6" w:space="0" w:color="000000"/>
            </w:tcBorders>
          </w:tcPr>
          <w:p>
            <w:pPr>
              <w:pStyle w:val="Compact"/>
              <w:spacing w:after="0" w:before="0" w:line="240" w:lineRule="auto"/>
              <w:jc w:val="center"/>
            </w:pPr>
            <w:r>
              <w:rPr>
                <w:b/>
                <w:sz w:val="16"/>
              </w:rPr>
              <w:t xml:space="preserve">Grid</w:t>
            </w:r>
          </w:p>
        </w:tc>
        <w:tc>
          <w:tcPr>
            <w:gridSpan w:val="3"/>
            <w:tcBorders>
              <w:bottom w:val="single" w:sz="6" w:space="0" w:color="000000"/>
            </w:tcBorders>
            <w:tcBorders>
              <w:bottom w:val="single" w:sz="6" w:space="0" w:color="000000"/>
            </w:tcBorders>
            <w:tcBorders>
              <w:bottom w:val="single" w:sz="6" w:space="0" w:color="000000"/>
            </w:tcBorders>
          </w:tcPr>
          <w:p>
            <w:pPr>
              <w:pStyle w:val="Compact"/>
              <w:spacing w:after="0" w:before="0" w:line="240" w:lineRule="auto"/>
              <w:jc w:val="center"/>
            </w:pPr>
            <w:r>
              <w:rPr>
                <w:b/>
                <w:sz w:val="16"/>
              </w:rPr>
              <w:t xml:space="preserve">Mamdani (min–max, centroid)</w:t>
            </w:r>
          </w:p>
        </w:tc>
        <w:tc>
          <w:tcPr>
            <w:gridSpan w:val="2"/>
            <w:tcBorders>
              <w:bottom w:val="single" w:sz="6" w:space="0" w:color="000000"/>
            </w:tcBorders>
            <w:tcBorders>
              <w:bottom w:val="single" w:sz="6" w:space="0" w:color="000000"/>
            </w:tcBorders>
          </w:tcPr>
          <w:p>
            <w:pPr>
              <w:pStyle w:val="Compact"/>
              <w:spacing w:after="0" w:before="0" w:line="240" w:lineRule="auto"/>
              <w:jc w:val="center"/>
            </w:pPr>
            <w:r>
              <w:rPr>
                <w:b/>
                <w:sz w:val="16"/>
              </w:rPr>
              <w:t xml:space="preserve">Weighted average (product)</w:t>
            </w:r>
          </w:p>
        </w:tc>
      </w:tr>
      <w:tr>
        <w:tc>
          <w:tcPr/>
          <w:p>
            <w:pPr>
              <w:pStyle w:val="Compact"/>
              <w:spacing w:after="0" w:before="0" w:line="240" w:lineRule="auto"/>
              <w:jc w:val="left"/>
            </w:pPr>
            <w:r>
              <w:rPr>
                <w:sz w:val="16"/>
              </w:rPr>
              <w:t xml:space="preserve">System</w:t>
            </w:r>
          </w:p>
        </w:tc>
        <w:tc>
          <w:tcPr/>
          <w:p>
            <w:pPr>
              <w:pStyle w:val="Compact"/>
              <w:spacing w:after="0" w:before="0" w:line="240" w:lineRule="auto"/>
              <w:jc w:val="center"/>
            </w:pPr>
            <w:r>
              <w:rPr>
                <w:sz w:val="16"/>
              </w:rPr>
              <w:t xml:space="preserve">Rules</w:t>
            </w:r>
          </w:p>
        </w:tc>
        <w:tc>
          <w:tcPr/>
          <w:p>
            <w:pPr>
              <w:pStyle w:val="Compact"/>
              <w:spacing w:after="0" w:before="0" w:line="240" w:lineRule="auto"/>
              <w:jc w:val="center"/>
            </w:pPr>
            <w:r>
              <w:rPr>
                <w:sz w:val="16"/>
              </w:rPr>
              <w:t xml:space="preserve">rule table</w:t>
            </w:r>
          </w:p>
        </w:tc>
        <w:tc>
          <w:tcPr/>
          <w:p>
            <w:pPr>
              <w:pStyle w:val="Compact"/>
              <w:spacing w:after="0" w:before="0" w:line="240" w:lineRule="auto"/>
              <w:jc w:val="center"/>
            </w:pPr>
            <w:r>
              <w:rPr>
                <w:sz w:val="16"/>
              </w:rPr>
              <w:t xml:space="preserve">points</w:t>
            </w:r>
          </w:p>
        </w:tc>
        <w:tc>
          <w:tcPr/>
          <w:p>
            <w:pPr>
              <w:pStyle w:val="Compact"/>
              <w:spacing w:after="0" w:before="0" w:line="240" w:lineRule="auto"/>
              <w:jc w:val="center"/>
            </w:pPr>
            <w:r>
              <w:rPr>
                <w:sz w:val="16"/>
              </w:rPr>
              <w:t xml:space="preserve">Range</w:t>
            </w:r>
          </w:p>
        </w:tc>
        <w:tc>
          <w:tcPr/>
          <w:p>
            <w:pPr>
              <w:pStyle w:val="Compact"/>
              <w:spacing w:after="0" w:before="0" w:line="240" w:lineRule="auto"/>
              <w:jc w:val="center"/>
            </w:pPr>
            <w:r>
              <w:rPr>
                <w:sz w:val="16"/>
              </w:rPr>
              <w:t xml:space="preserve">Worst decrease</w:t>
            </w:r>
          </w:p>
        </w:tc>
        <w:tc>
          <w:tcPr/>
          <w:p>
            <w:pPr>
              <w:pStyle w:val="Compact"/>
              <w:spacing w:after="0" w:before="0" w:line="240" w:lineRule="auto"/>
              <w:jc w:val="center"/>
            </w:pPr>
            <w:r>
              <w:rPr>
                <w:sz w:val="16"/>
              </w:rPr>
              <w:t xml:space="preserve">% decreasing</w:t>
            </w:r>
          </w:p>
        </w:tc>
        <w:tc>
          <w:tcPr/>
          <w:p>
            <w:pPr>
              <w:pStyle w:val="Compact"/>
              <w:spacing w:after="0" w:before="0" w:line="240" w:lineRule="auto"/>
              <w:jc w:val="center"/>
            </w:pPr>
            <w:r>
              <w:rPr>
                <w:sz w:val="16"/>
              </w:rPr>
              <w:t xml:space="preserve">Range</w:t>
            </w:r>
          </w:p>
        </w:tc>
        <w:tc>
          <w:tcPr/>
          <w:p>
            <w:pPr>
              <w:pStyle w:val="Compact"/>
              <w:spacing w:after="0" w:before="0" w:line="240" w:lineRule="auto"/>
              <w:jc w:val="center"/>
            </w:pPr>
            <w:r>
              <w:rPr>
                <w:sz w:val="16"/>
              </w:rPr>
              <w:t xml:space="preserve">Worst decrease</w:t>
            </w:r>
          </w:p>
        </w:tc>
      </w:tr>
      <w:tr>
        <w:tc>
          <w:tcPr/>
          <w:p>
            <w:pPr>
              <w:pStyle w:val="Compact"/>
              <w:spacing w:after="0" w:before="0" w:line="240" w:lineRule="auto"/>
              <w:jc w:val="left"/>
            </w:pPr>
            <w:r>
              <w:rPr>
                <w:sz w:val="16"/>
              </w:rPr>
              <w:t xml:space="preserve">FIS</w:t>
            </w:r>
            <m:oMath>
              <m:sSub>
                <m:e>
                  <m:r>
                    <m:t>​</m:t>
                  </m:r>
                </m:e>
                <m:sub>
                  <m:r>
                    <m:t>1</m:t>
                  </m:r>
                </m:sub>
              </m:sSub>
            </m:oMath>
            <w:r>
              <w:rPr>
                <w:sz w:val="16"/>
              </w:rPr>
              <w:t xml:space="preserve"> </w:t>
            </w:r>
            <w:r>
              <w:rPr>
                <w:sz w:val="16"/>
              </w:rPr>
              <w:t xml:space="preserve">PC(TE,P,AC,A)</w:t>
            </w:r>
          </w:p>
        </w:tc>
        <w:tc>
          <w:tcPr/>
          <w:p>
            <w:pPr>
              <w:pStyle w:val="Compact"/>
              <w:spacing w:after="0" w:before="0" w:line="240" w:lineRule="auto"/>
              <w:jc w:val="center"/>
            </w:pPr>
            <w:r>
              <w:rPr>
                <w:sz w:val="16"/>
              </w:rPr>
              <w:t xml:space="preserve">81</w:t>
            </w:r>
          </w:p>
        </w:tc>
        <w:tc>
          <w:tcPr/>
          <w:p>
            <w:pPr>
              <w:pStyle w:val="Compact"/>
              <w:spacing w:after="0" w:before="0" w:line="240" w:lineRule="auto"/>
              <w:jc w:val="center"/>
            </w:pPr>
            <w:r>
              <w:rPr>
                <w:sz w:val="16"/>
              </w:rPr>
              <w:t xml:space="preserve">yes</w:t>
            </w:r>
          </w:p>
        </w:tc>
        <w:tc>
          <w:tcPr/>
          <w:p>
            <w:pPr>
              <w:pStyle w:val="Compact"/>
              <w:spacing w:after="0" w:before="0" w:line="240" w:lineRule="auto"/>
              <w:jc w:val="center"/>
            </w:pPr>
            <w:r>
              <w:rPr>
                <w:sz w:val="16"/>
              </w:rPr>
              <w:t xml:space="preserve">28,561</w:t>
            </w:r>
          </w:p>
        </w:tc>
        <w:tc>
          <w:tcPr/>
          <w:p>
            <w:pPr>
              <w:pStyle w:val="Compact"/>
              <w:spacing w:after="0" w:before="0" w:line="240" w:lineRule="auto"/>
              <w:jc w:val="center"/>
            </w:pPr>
            <w:r>
              <w:rPr>
                <w:sz w:val="16"/>
              </w:rPr>
              <w:t xml:space="preserve">[18.44, 81.56]</w:t>
            </w:r>
          </w:p>
        </w:tc>
        <w:tc>
          <w:tcPr/>
          <w:p>
            <w:pPr>
              <w:pStyle w:val="Compact"/>
              <w:spacing w:after="0" w:before="0" w:line="240" w:lineRule="auto"/>
              <w:jc w:val="center"/>
            </w:pPr>
            <w:r>
              <w:rPr>
                <w:sz w:val="16"/>
              </w:rPr>
              <w:t xml:space="preserve">1.85</w:t>
            </w:r>
          </w:p>
        </w:tc>
        <w:tc>
          <w:tcPr/>
          <w:p>
            <w:pPr>
              <w:pStyle w:val="Compact"/>
              <w:spacing w:after="0" w:before="0" w:line="240" w:lineRule="auto"/>
              <w:jc w:val="center"/>
            </w:pPr>
            <w:r>
              <w:rPr>
                <w:sz w:val="16"/>
              </w:rPr>
              <w:t xml:space="preserve">0.9</w:t>
            </w:r>
          </w:p>
        </w:tc>
        <w:tc>
          <w:tcPr/>
          <w:p>
            <w:pPr>
              <w:pStyle w:val="Compact"/>
              <w:spacing w:after="0" w:before="0" w:line="240" w:lineRule="auto"/>
              <w:jc w:val="center"/>
            </w:pPr>
            <w:r>
              <w:rPr>
                <w:sz w:val="16"/>
              </w:rPr>
              <w:t xml:space="preserve">[18.57, 81.43]</w:t>
            </w:r>
          </w:p>
        </w:tc>
        <w:tc>
          <w:tcPr/>
          <w:p>
            <w:pPr>
              <w:pStyle w:val="Compact"/>
              <w:spacing w:after="0" w:before="0" w:line="240" w:lineRule="auto"/>
              <w:jc w:val="center"/>
            </w:pPr>
            <m:oMath>
              <m:r>
                <m:rPr>
                  <m:sty m:val="p"/>
                </m:rPr>
                <m:t>&lt;</m:t>
              </m:r>
              <m:sSup>
                <m:e>
                  <m:r>
                    <m:t>10</m:t>
                  </m:r>
                </m:e>
                <m:sup>
                  <m:r>
                    <m:rPr>
                      <m:sty m:val="p"/>
                    </m:rPr>
                    <m:t>−</m:t>
                  </m:r>
                  <m:r>
                    <m:t>13</m:t>
                  </m:r>
                </m:sup>
              </m:sSup>
            </m:oMath>
          </w:p>
        </w:tc>
      </w:tr>
      <w:tr>
        <w:tc>
          <w:tcPr/>
          <w:p>
            <w:pPr>
              <w:pStyle w:val="Compact"/>
              <w:spacing w:after="0" w:before="0" w:line="240" w:lineRule="auto"/>
              <w:jc w:val="left"/>
            </w:pPr>
            <w:r>
              <w:rPr>
                <w:sz w:val="16"/>
              </w:rPr>
              <w:t xml:space="preserve">FIS</w:t>
            </w:r>
            <m:oMath>
              <m:sSub>
                <m:e>
                  <m:r>
                    <m:t>​</m:t>
                  </m:r>
                </m:e>
                <m:sub>
                  <m:r>
                    <m:t>2</m:t>
                  </m:r>
                </m:sub>
              </m:sSub>
            </m:oMath>
            <w:r>
              <w:rPr>
                <w:sz w:val="16"/>
              </w:rPr>
              <w:t xml:space="preserve"> </w:t>
            </w:r>
            <w:r>
              <w:rPr>
                <w:sz w:val="16"/>
              </w:rPr>
              <w:t xml:space="preserve">IQ(SE,C)</w:t>
            </w:r>
          </w:p>
        </w:tc>
        <w:tc>
          <w:tcPr/>
          <w:p>
            <w:pPr>
              <w:pStyle w:val="Compact"/>
              <w:spacing w:after="0" w:before="0" w:line="240" w:lineRule="auto"/>
              <w:jc w:val="center"/>
            </w:pPr>
            <w:r>
              <w:rPr>
                <w:sz w:val="16"/>
              </w:rPr>
              <w:t xml:space="preserve">9</w:t>
            </w:r>
          </w:p>
        </w:tc>
        <w:tc>
          <w:tcPr/>
          <w:p>
            <w:pPr>
              <w:pStyle w:val="Compact"/>
              <w:spacing w:after="0" w:before="0" w:line="240" w:lineRule="auto"/>
              <w:jc w:val="center"/>
            </w:pPr>
            <w:r>
              <w:rPr>
                <w:sz w:val="16"/>
              </w:rPr>
              <w:t xml:space="preserve">yes</w:t>
            </w:r>
          </w:p>
        </w:tc>
        <w:tc>
          <w:tcPr/>
          <w:p>
            <w:pPr>
              <w:pStyle w:val="Compact"/>
              <w:spacing w:after="0" w:before="0" w:line="240" w:lineRule="auto"/>
              <w:jc w:val="center"/>
            </w:pPr>
            <w:r>
              <w:rPr>
                <w:sz w:val="16"/>
              </w:rPr>
              <w:t xml:space="preserve">1,681</w:t>
            </w:r>
          </w:p>
        </w:tc>
        <w:tc>
          <w:tcPr/>
          <w:p>
            <w:pPr>
              <w:pStyle w:val="Compact"/>
              <w:spacing w:after="0" w:before="0" w:line="240" w:lineRule="auto"/>
              <w:jc w:val="center"/>
            </w:pPr>
            <w:r>
              <w:rPr>
                <w:sz w:val="16"/>
              </w:rPr>
              <w:t xml:space="preserve">[18.44, 81.56]</w:t>
            </w:r>
          </w:p>
        </w:tc>
        <w:tc>
          <w:tcPr/>
          <w:p>
            <w:pPr>
              <w:pStyle w:val="Compact"/>
              <w:spacing w:after="0" w:before="0" w:line="240" w:lineRule="auto"/>
              <w:jc w:val="center"/>
            </w:pPr>
            <w:r>
              <w:rPr>
                <w:sz w:val="16"/>
              </w:rPr>
              <w:t xml:space="preserve">1.68</w:t>
            </w:r>
          </w:p>
        </w:tc>
        <w:tc>
          <w:tcPr/>
          <w:p>
            <w:pPr>
              <w:pStyle w:val="Compact"/>
              <w:spacing w:after="0" w:before="0" w:line="240" w:lineRule="auto"/>
              <w:jc w:val="center"/>
            </w:pPr>
            <w:r>
              <w:rPr>
                <w:sz w:val="16"/>
              </w:rPr>
              <w:t xml:space="preserve">5.8</w:t>
            </w:r>
          </w:p>
        </w:tc>
        <w:tc>
          <w:tcPr/>
          <w:p>
            <w:pPr>
              <w:pStyle w:val="Compact"/>
              <w:spacing w:after="0" w:before="0" w:line="240" w:lineRule="auto"/>
              <w:jc w:val="center"/>
            </w:pPr>
            <w:r>
              <w:rPr>
                <w:sz w:val="16"/>
              </w:rPr>
              <w:t xml:space="preserve">[18.57, 81.43]</w:t>
            </w:r>
          </w:p>
        </w:tc>
        <w:tc>
          <w:tcPr/>
          <w:p>
            <w:pPr>
              <w:pStyle w:val="Compact"/>
              <w:spacing w:after="0" w:before="0" w:line="240" w:lineRule="auto"/>
              <w:jc w:val="center"/>
            </w:pPr>
            <m:oMath>
              <m:r>
                <m:rPr>
                  <m:sty m:val="p"/>
                </m:rPr>
                <m:t>&lt;</m:t>
              </m:r>
              <m:sSup>
                <m:e>
                  <m:r>
                    <m:t>10</m:t>
                  </m:r>
                </m:e>
                <m:sup>
                  <m:r>
                    <m:rPr>
                      <m:sty m:val="p"/>
                    </m:rPr>
                    <m:t>−</m:t>
                  </m:r>
                  <m:r>
                    <m:t>13</m:t>
                  </m:r>
                </m:sup>
              </m:sSup>
            </m:oMath>
          </w:p>
        </w:tc>
      </w:tr>
      <w:tr>
        <w:tc>
          <w:tcPr/>
          <w:p>
            <w:pPr>
              <w:pStyle w:val="Compact"/>
              <w:spacing w:after="0" w:before="0" w:line="240" w:lineRule="auto"/>
              <w:jc w:val="left"/>
            </w:pPr>
            <w:r>
              <w:rPr>
                <w:sz w:val="16"/>
              </w:rPr>
              <w:t xml:space="preserve">FIS</w:t>
            </w:r>
            <m:oMath>
              <m:sSub>
                <m:e>
                  <m:r>
                    <m:t>​</m:t>
                  </m:r>
                </m:e>
                <m:sub>
                  <m:r>
                    <m:t>3</m:t>
                  </m:r>
                </m:sub>
              </m:sSub>
            </m:oMath>
            <w:r>
              <w:rPr>
                <w:sz w:val="16"/>
              </w:rPr>
              <w:t xml:space="preserve"> </w:t>
            </w:r>
            <w:r>
              <w:rPr>
                <w:sz w:val="16"/>
              </w:rPr>
              <w:t xml:space="preserve">TW(R,E)</w:t>
            </w:r>
          </w:p>
        </w:tc>
        <w:tc>
          <w:tcPr/>
          <w:p>
            <w:pPr>
              <w:pStyle w:val="Compact"/>
              <w:spacing w:after="0" w:before="0" w:line="240" w:lineRule="auto"/>
              <w:jc w:val="center"/>
            </w:pPr>
            <w:r>
              <w:rPr>
                <w:sz w:val="16"/>
              </w:rPr>
              <w:t xml:space="preserve">9</w:t>
            </w:r>
          </w:p>
        </w:tc>
        <w:tc>
          <w:tcPr/>
          <w:p>
            <w:pPr>
              <w:pStyle w:val="Compact"/>
              <w:spacing w:after="0" w:before="0" w:line="240" w:lineRule="auto"/>
              <w:jc w:val="center"/>
            </w:pPr>
            <w:r>
              <w:rPr>
                <w:sz w:val="16"/>
              </w:rPr>
              <w:t xml:space="preserve">yes</w:t>
            </w:r>
          </w:p>
        </w:tc>
        <w:tc>
          <w:tcPr/>
          <w:p>
            <w:pPr>
              <w:pStyle w:val="Compact"/>
              <w:spacing w:after="0" w:before="0" w:line="240" w:lineRule="auto"/>
              <w:jc w:val="center"/>
            </w:pPr>
            <w:r>
              <w:rPr>
                <w:sz w:val="16"/>
              </w:rPr>
              <w:t xml:space="preserve">1,681</w:t>
            </w:r>
          </w:p>
        </w:tc>
        <w:tc>
          <w:tcPr/>
          <w:p>
            <w:pPr>
              <w:pStyle w:val="Compact"/>
              <w:spacing w:after="0" w:before="0" w:line="240" w:lineRule="auto"/>
              <w:jc w:val="center"/>
            </w:pPr>
            <w:r>
              <w:rPr>
                <w:sz w:val="16"/>
              </w:rPr>
              <w:t xml:space="preserve">[18.44, 81.56]</w:t>
            </w:r>
          </w:p>
        </w:tc>
        <w:tc>
          <w:tcPr/>
          <w:p>
            <w:pPr>
              <w:pStyle w:val="Compact"/>
              <w:spacing w:after="0" w:before="0" w:line="240" w:lineRule="auto"/>
              <w:jc w:val="center"/>
            </w:pPr>
            <w:r>
              <w:rPr>
                <w:sz w:val="16"/>
              </w:rPr>
              <w:t xml:space="preserve">1.68</w:t>
            </w:r>
          </w:p>
        </w:tc>
        <w:tc>
          <w:tcPr/>
          <w:p>
            <w:pPr>
              <w:pStyle w:val="Compact"/>
              <w:spacing w:after="0" w:before="0" w:line="240" w:lineRule="auto"/>
              <w:jc w:val="center"/>
            </w:pPr>
            <w:r>
              <w:rPr>
                <w:sz w:val="16"/>
              </w:rPr>
              <w:t xml:space="preserve">8.5</w:t>
            </w:r>
          </w:p>
        </w:tc>
        <w:tc>
          <w:tcPr/>
          <w:p>
            <w:pPr>
              <w:pStyle w:val="Compact"/>
              <w:spacing w:after="0" w:before="0" w:line="240" w:lineRule="auto"/>
              <w:jc w:val="center"/>
            </w:pPr>
            <w:r>
              <w:rPr>
                <w:sz w:val="16"/>
              </w:rPr>
              <w:t xml:space="preserve">[18.57, 81.43]</w:t>
            </w:r>
          </w:p>
        </w:tc>
        <w:tc>
          <w:tcPr/>
          <w:p>
            <w:pPr>
              <w:pStyle w:val="Compact"/>
              <w:spacing w:after="0" w:before="0" w:line="240" w:lineRule="auto"/>
              <w:jc w:val="center"/>
            </w:pPr>
            <m:oMath>
              <m:r>
                <m:rPr>
                  <m:sty m:val="p"/>
                </m:rPr>
                <m:t>&lt;</m:t>
              </m:r>
              <m:sSup>
                <m:e>
                  <m:r>
                    <m:t>10</m:t>
                  </m:r>
                </m:e>
                <m:sup>
                  <m:r>
                    <m:rPr>
                      <m:sty m:val="p"/>
                    </m:rPr>
                    <m:t>−</m:t>
                  </m:r>
                  <m:r>
                    <m:t>13</m:t>
                  </m:r>
                </m:sup>
              </m:sSup>
            </m:oMath>
          </w:p>
        </w:tc>
      </w:tr>
      <w:tr>
        <w:tc>
          <w:tcPr/>
          <w:p>
            <w:pPr>
              <w:pStyle w:val="Compact"/>
              <w:spacing w:after="0" w:before="0" w:line="240" w:lineRule="auto"/>
              <w:jc w:val="left"/>
            </w:pPr>
            <w:r>
              <w:rPr>
                <w:sz w:val="16"/>
              </w:rPr>
              <w:t xml:space="preserve">FIS</w:t>
            </w:r>
            <m:oMath>
              <m:sSub>
                <m:e>
                  <m:r>
                    <m:t>​</m:t>
                  </m:r>
                </m:e>
                <m:sub>
                  <m:r>
                    <m:t>4</m:t>
                  </m:r>
                </m:sub>
              </m:sSub>
            </m:oMath>
            <w:r>
              <w:rPr>
                <w:sz w:val="16"/>
              </w:rPr>
              <w:t xml:space="preserve"> </w:t>
            </w:r>
            <w:r>
              <w:rPr>
                <w:sz w:val="16"/>
              </w:rPr>
              <w:t xml:space="preserve">TRFS(PC,IQ,TW)</w:t>
            </w:r>
          </w:p>
        </w:tc>
        <w:tc>
          <w:tcPr/>
          <w:p>
            <w:pPr>
              <w:pStyle w:val="Compact"/>
              <w:spacing w:after="0" w:before="0" w:line="240" w:lineRule="auto"/>
              <w:jc w:val="center"/>
            </w:pPr>
            <w:r>
              <w:rPr>
                <w:sz w:val="16"/>
              </w:rPr>
              <w:t xml:space="preserve">27</w:t>
            </w:r>
          </w:p>
        </w:tc>
        <w:tc>
          <w:tcPr/>
          <w:p>
            <w:pPr>
              <w:pStyle w:val="Compact"/>
              <w:spacing w:after="0" w:before="0" w:line="240" w:lineRule="auto"/>
              <w:jc w:val="center"/>
            </w:pPr>
            <w:r>
              <w:rPr>
                <w:sz w:val="16"/>
              </w:rPr>
              <w:t xml:space="preserve">yes</w:t>
            </w:r>
          </w:p>
        </w:tc>
        <w:tc>
          <w:tcPr/>
          <w:p>
            <w:pPr>
              <w:pStyle w:val="Compact"/>
              <w:spacing w:after="0" w:before="0" w:line="240" w:lineRule="auto"/>
              <w:jc w:val="center"/>
            </w:pPr>
            <w:r>
              <w:rPr>
                <w:sz w:val="16"/>
              </w:rPr>
              <w:t xml:space="preserve">68,921</w:t>
            </w:r>
          </w:p>
        </w:tc>
        <w:tc>
          <w:tcPr/>
          <w:p>
            <w:pPr>
              <w:pStyle w:val="Compact"/>
              <w:spacing w:after="0" w:before="0" w:line="240" w:lineRule="auto"/>
              <w:jc w:val="center"/>
            </w:pPr>
            <w:r>
              <w:rPr>
                <w:sz w:val="16"/>
              </w:rPr>
              <w:t xml:space="preserve">[18.44, 81.56]</w:t>
            </w:r>
          </w:p>
        </w:tc>
        <w:tc>
          <w:tcPr/>
          <w:p>
            <w:pPr>
              <w:pStyle w:val="Compact"/>
              <w:spacing w:after="0" w:before="0" w:line="240" w:lineRule="auto"/>
              <w:jc w:val="center"/>
            </w:pPr>
            <w:r>
              <w:rPr>
                <w:sz w:val="16"/>
              </w:rPr>
              <w:t xml:space="preserve">1.88</w:t>
            </w:r>
          </w:p>
        </w:tc>
        <w:tc>
          <w:tcPr/>
          <w:p>
            <w:pPr>
              <w:pStyle w:val="Compact"/>
              <w:spacing w:after="0" w:before="0" w:line="240" w:lineRule="auto"/>
              <w:jc w:val="center"/>
            </w:pPr>
            <w:r>
              <w:rPr>
                <w:sz w:val="16"/>
              </w:rPr>
              <w:t xml:space="preserve">8.3</w:t>
            </w:r>
          </w:p>
        </w:tc>
        <w:tc>
          <w:tcPr/>
          <w:p>
            <w:pPr>
              <w:pStyle w:val="Compact"/>
              <w:spacing w:after="0" w:before="0" w:line="240" w:lineRule="auto"/>
              <w:jc w:val="center"/>
            </w:pPr>
            <w:r>
              <w:rPr>
                <w:sz w:val="16"/>
              </w:rPr>
              <w:t xml:space="preserve">[18.57, 81.43]</w:t>
            </w:r>
          </w:p>
        </w:tc>
        <w:tc>
          <w:tcPr/>
          <w:p>
            <w:pPr>
              <w:pStyle w:val="Compact"/>
              <w:spacing w:after="0" w:before="0" w:line="240" w:lineRule="auto"/>
              <w:jc w:val="center"/>
            </w:pPr>
            <m:oMath>
              <m:r>
                <m:rPr>
                  <m:sty m:val="p"/>
                </m:rPr>
                <m:t>&lt;</m:t>
              </m:r>
              <m:sSup>
                <m:e>
                  <m:r>
                    <m:t>10</m:t>
                  </m:r>
                </m:e>
                <m:sup>
                  <m:r>
                    <m:rPr>
                      <m:sty m:val="p"/>
                    </m:rPr>
                    <m:t>−</m:t>
                  </m:r>
                  <m:r>
                    <m:t>13</m:t>
                  </m:r>
                </m:sup>
              </m:sSup>
            </m:oMath>
          </w:p>
        </w:tc>
      </w:tr>
      <w:tr>
        <w:tc>
          <w:tcPr/>
          <w:p>
            <w:pPr>
              <w:pStyle w:val="Compact"/>
              <w:spacing w:after="0" w:before="0" w:line="240" w:lineRule="auto"/>
              <w:jc w:val="left"/>
            </w:pPr>
            <w:r>
              <w:rPr>
                <w:sz w:val="16"/>
              </w:rPr>
              <w:t xml:space="preserve">Activity FIS(Cap,R,E)</w:t>
            </w:r>
          </w:p>
        </w:tc>
        <w:tc>
          <w:tcPr/>
          <w:p>
            <w:pPr>
              <w:pStyle w:val="Compact"/>
              <w:spacing w:after="0" w:before="0" w:line="240" w:lineRule="auto"/>
              <w:jc w:val="center"/>
            </w:pPr>
            <w:r>
              <w:rPr>
                <w:sz w:val="16"/>
              </w:rPr>
              <w:t xml:space="preserve">27</w:t>
            </w:r>
          </w:p>
        </w:tc>
        <w:tc>
          <w:tcPr/>
          <w:p>
            <w:pPr>
              <w:pStyle w:val="Compact"/>
              <w:spacing w:after="0" w:before="0" w:line="240" w:lineRule="auto"/>
              <w:jc w:val="center"/>
            </w:pPr>
            <w:r>
              <w:rPr>
                <w:sz w:val="16"/>
              </w:rPr>
              <w:t xml:space="preserve">yes</w:t>
            </w:r>
          </w:p>
        </w:tc>
        <w:tc>
          <w:tcPr/>
          <w:p>
            <w:pPr>
              <w:pStyle w:val="Compact"/>
              <w:spacing w:after="0" w:before="0" w:line="240" w:lineRule="auto"/>
              <w:jc w:val="center"/>
            </w:pPr>
            <w:r>
              <w:rPr>
                <w:sz w:val="16"/>
              </w:rPr>
              <w:t xml:space="preserve">35,937</w:t>
            </w:r>
          </w:p>
        </w:tc>
        <w:tc>
          <w:tcPr/>
          <w:p>
            <w:pPr>
              <w:pStyle w:val="Compact"/>
              <w:spacing w:after="0" w:before="0" w:line="240" w:lineRule="auto"/>
              <w:jc w:val="center"/>
            </w:pPr>
            <w:r>
              <w:rPr>
                <w:sz w:val="16"/>
              </w:rPr>
              <w:t xml:space="preserve">[18.44, 81.56]</w:t>
            </w:r>
          </w:p>
        </w:tc>
        <w:tc>
          <w:tcPr/>
          <w:p>
            <w:pPr>
              <w:pStyle w:val="Compact"/>
              <w:spacing w:after="0" w:before="0" w:line="240" w:lineRule="auto"/>
              <w:jc w:val="center"/>
            </w:pPr>
            <w:r>
              <w:rPr>
                <w:sz w:val="16"/>
              </w:rPr>
              <w:t xml:space="preserve">2.70</w:t>
            </w:r>
          </w:p>
        </w:tc>
        <w:tc>
          <w:tcPr/>
          <w:p>
            <w:pPr>
              <w:pStyle w:val="Compact"/>
              <w:spacing w:after="0" w:before="0" w:line="240" w:lineRule="auto"/>
              <w:jc w:val="center"/>
            </w:pPr>
            <w:r>
              <w:rPr>
                <w:sz w:val="16"/>
              </w:rPr>
              <w:t xml:space="preserve">9.4</w:t>
            </w:r>
          </w:p>
        </w:tc>
        <w:tc>
          <w:tcPr/>
          <w:p>
            <w:pPr>
              <w:pStyle w:val="Compact"/>
              <w:spacing w:after="0" w:before="0" w:line="240" w:lineRule="auto"/>
              <w:jc w:val="center"/>
            </w:pPr>
            <w:r>
              <w:rPr>
                <w:sz w:val="16"/>
              </w:rPr>
              <w:t xml:space="preserve">[18.57, 81.43]</w:t>
            </w:r>
          </w:p>
        </w:tc>
        <w:tc>
          <w:tcPr/>
          <w:p>
            <w:pPr>
              <w:pStyle w:val="Compact"/>
              <w:spacing w:after="0" w:before="0" w:line="240" w:lineRule="auto"/>
              <w:jc w:val="center"/>
            </w:pPr>
            <m:oMath>
              <m:r>
                <m:rPr>
                  <m:sty m:val="p"/>
                </m:rPr>
                <m:t>&lt;</m:t>
              </m:r>
              <m:sSup>
                <m:e>
                  <m:r>
                    <m:t>10</m:t>
                  </m:r>
                </m:e>
                <m:sup>
                  <m:r>
                    <m:rPr>
                      <m:sty m:val="p"/>
                    </m:rPr>
                    <m:t>−</m:t>
                  </m:r>
                  <m:r>
                    <m:t>13</m:t>
                  </m:r>
                </m:sup>
              </m:sSup>
            </m:oMath>
          </w:p>
        </w:tc>
      </w:tr>
    </w:tbl>
    <w:bookmarkEnd w:id="34"/>
    <w:bookmarkEnd w:id="35"/>
    <w:bookmarkEnd w:id="36"/>
    <w:bookmarkStart w:id="64" w:name="materials-and-methods"/>
    <w:p>
      <w:pPr>
        <w:pStyle w:val="Heading1"/>
      </w:pPr>
      <w:r>
        <w:rPr>
          <w:rStyle w:val="SectionNumber"/>
        </w:rPr>
        <w:t xml:space="preserve">4</w:t>
      </w:r>
      <w:r>
        <w:tab/>
      </w:r>
      <w:r>
        <w:t xml:space="preserve">Materials and methods</w:t>
      </w:r>
    </w:p>
    <w:bookmarkStart w:id="37" w:name="data-source"/>
    <w:p>
      <w:pPr>
        <w:pStyle w:val="Heading2"/>
      </w:pPr>
      <w:r>
        <w:rPr>
          <w:rStyle w:val="SectionNumber"/>
        </w:rPr>
        <w:t xml:space="preserve">4.1</w:t>
      </w:r>
      <w:r>
        <w:tab/>
      </w:r>
      <w:r>
        <w:t xml:space="preserve">Data source</w:t>
      </w:r>
    </w:p>
    <w:p>
      <w:pPr>
        <w:pStyle w:val="FirstParagraph"/>
      </w:pPr>
      <w:r>
        <w:t xml:space="preserve">We used the open dataset</w:t>
      </w:r>
      <w:r>
        <w:t xml:space="preserve"> </w:t>
      </w:r>
      <w:r>
        <w:rPr>
          <w:iCs/>
          <w:i/>
        </w:rPr>
        <w:t xml:space="preserve">Higher Education Students’ Early Perceptions of ChatGPT: Global Survey Data</w:t>
      </w:r>
      <w:r>
        <w:t xml:space="preserve"> </w:t>
      </w:r>
      <w:r>
        <w:t xml:space="preserve">(Ravšelj et al. 2025a)</w:t>
      </w:r>
      <w:r>
        <w:t xml:space="preserve">, released under a CC BY 4.0 licence and described in</w:t>
      </w:r>
      <w:r>
        <w:t xml:space="preserve"> </w:t>
      </w:r>
      <w:r>
        <w:t xml:space="preserve">Ravšelj et al. (2025b)</w:t>
      </w:r>
      <w:r>
        <w:t xml:space="preserve"> </w:t>
      </w:r>
      <w:r>
        <w:t xml:space="preserve">and its published correction</w:t>
      </w:r>
      <w:r>
        <w:t xml:space="preserve"> </w:t>
      </w:r>
      <w:r>
        <w:t xml:space="preserve">(Ravšelj et al. 2026)</w:t>
      </w:r>
      <w:r>
        <w:t xml:space="preserve">. The survey was coordinated by the University of Ljubljana with more than 200 international partners. It was administered online in seven languages between October 2023 and February 2024, using convenience sampling of students enrolled in higher education institutions. Participation was voluntary and anonymous, and respondents gave informed consent; the questionnaire is distributed with the dataset. It comprises eleven sections, including usage, perceived capabilities of ChatGPT, regulation and ethical concerns, satisfaction and attitude, study issues and outcomes, and skills development. Almost all items use five-point Likert scales (1 = strongly disagree, 5 = strongly agree). The released file contains 23,218 responses and 174 variables. Because the study is a secondary analysis of fully anonymised open data, no additional ethical approval was required. Free-text institution names were removed from all derived files.</w:t>
      </w:r>
    </w:p>
    <w:bookmarkEnd w:id="37"/>
    <w:bookmarkStart w:id="38" w:name="analytic-sample"/>
    <w:p>
      <w:pPr>
        <w:pStyle w:val="Heading2"/>
      </w:pPr>
      <w:r>
        <w:rPr>
          <w:rStyle w:val="SectionNumber"/>
        </w:rPr>
        <w:t xml:space="preserve">4.2</w:t>
      </w:r>
      <w:r>
        <w:tab/>
      </w:r>
      <w:r>
        <w:t xml:space="preserve">Analytic sample</w:t>
      </w:r>
    </w:p>
    <w:p>
      <w:pPr>
        <w:pStyle w:val="FirstParagraph"/>
      </w:pPr>
      <w:r>
        <w:t xml:space="preserve">Inclusion criteria were applied in sequence. (i) Respondents had to have used ChatGPT (Q13 = yes;</w:t>
      </w:r>
      <w:r>
        <w:t xml:space="preserve"> </w:t>
      </w:r>
      <m:oMath>
        <m:r>
          <m:t>n</m:t>
        </m:r>
        <m:r>
          <m:rPr>
            <m:sty m:val="p"/>
          </m:rPr>
          <m:t>=</m:t>
        </m:r>
        <m:r>
          <m:t>16</m:t>
        </m:r>
        <m:r>
          <m:rPr>
            <m:sty m:val="p"/>
          </m:rPr>
          <m:t>,</m:t>
        </m:r>
        <m:r>
          <m:t>010</m:t>
        </m:r>
      </m:oMath>
      <w:r>
        <w:t xml:space="preserve">), because questions on capabilities were shown only to users. (ii) Reported age had to be between 18 and 100 years (</w:t>
      </w:r>
      <m:oMath>
        <m:r>
          <m:t>n</m:t>
        </m:r>
        <m:r>
          <m:rPr>
            <m:sty m:val="p"/>
          </m:rPr>
          <m:t>=</m:t>
        </m:r>
        <m:r>
          <m:t>15</m:t>
        </m:r>
        <m:r>
          <m:rPr>
            <m:sty m:val="p"/>
          </m:rPr>
          <m:t>,</m:t>
        </m:r>
        <m:r>
          <m:t>888</m:t>
        </m:r>
      </m:oMath>
      <w:r>
        <w:t xml:space="preserve">). (iii) Responses had to be complete on every item used in the models (</w:t>
      </w:r>
      <m:oMath>
        <m:r>
          <m:t>n</m:t>
        </m:r>
        <m:r>
          <m:rPr>
            <m:sty m:val="p"/>
          </m:rPr>
          <m:t>=</m:t>
        </m:r>
        <m:r>
          <m:t>12</m:t>
        </m:r>
        <m:r>
          <m:rPr>
            <m:sty m:val="p"/>
          </m:rPr>
          <m:t>,</m:t>
        </m:r>
        <m:r>
          <m:t>206</m:t>
        </m:r>
      </m:oMath>
      <w:r>
        <w:t xml:space="preserve">). (iv) Straight-liners, i.e. respondents giving the same answer to all model items, were excluded (</w:t>
      </w:r>
      <m:oMath>
        <m:r>
          <m:t>n</m:t>
        </m:r>
        <m:r>
          <m:rPr>
            <m:sty m:val="p"/>
          </m:rPr>
          <m:t>=</m:t>
        </m:r>
        <m:r>
          <m:t>286</m:t>
        </m:r>
      </m:oMath>
      <w:r>
        <w:t xml:space="preserve"> </w:t>
      </w:r>
      <w:r>
        <w:t xml:space="preserve">removed). The final analytic sample comprised</w:t>
      </w:r>
      <w:r>
        <w:t xml:space="preserve"> </w:t>
      </w:r>
      <m:oMath>
        <m:r>
          <m:t>N</m:t>
        </m:r>
        <m:r>
          <m:rPr>
            <m:sty m:val="p"/>
          </m:rPr>
          <m:t>=</m:t>
        </m:r>
        <m:r>
          <m:t>11</m:t>
        </m:r>
        <m:r>
          <m:rPr>
            <m:sty m:val="p"/>
          </m:rPr>
          <m:t>,</m:t>
        </m:r>
        <m:r>
          <m:t>920</m:t>
        </m:r>
      </m:oMath>
      <w:r>
        <w:t xml:space="preserve"> </w:t>
      </w:r>
      <w:r>
        <w:t xml:space="preserve">students (mean age 22.9, SD 6.1) studying in 92 countries (Table 2). We used listwise deletion because the model items were presented as matrix blocks and missingness reflected survey break-off rather than item-level non-response.</w:t>
      </w:r>
    </w:p>
    <w:p>
      <w:pPr>
        <w:pStyle w:val="TableCaption"/>
      </w:pPr>
      <w:r>
        <w:t xml:space="preserve">Table 2. Profile of the analytic sample (</w:t>
      </w:r>
      <m:oMath>
        <m:r>
          <m:t>N</m:t>
        </m:r>
        <m:r>
          <m:rPr>
            <m:sty m:val="p"/>
          </m:rPr>
          <m:t>=</m:t>
        </m:r>
        <m:r>
          <m:t>11</m:t>
        </m:r>
        <m:r>
          <m:rPr>
            <m:sty m:val="p"/>
          </m:rPr>
          <m:t>,</m:t>
        </m:r>
        <m:r>
          <m:t>920</m:t>
        </m:r>
      </m:oMath>
      <w:r>
        <w:t xml:space="preserve"> </w:t>
      </w:r>
      <w:r>
        <w:t xml:space="preserve">ChatGPT-using higher education students, 92 countries of study).</w:t>
      </w:r>
    </w:p>
    <w:tbl>
      <w:tblPr>
        <w:tblStyle w:val="Table"/>
        <w:tblLook w:firstRow="1" w:lastRow="0" w:firstColumn="0" w:lastColumn="0" w:noHBand="0" w:noVBand="0" w:val="0020"/>
        <w:jc w:val="start"/>
        <w:tblCaption w:val="Table 2. Profile of the analytic sample (N=11,920 ChatGPT-using higher education students, 92 countries of study)."/>
        <w:tblW w:w="5000" w:type="pct"/>
        <w:tblLayout w:type="autofit"/>
        <w:tblBorders>
          <w:top w:val="single" w:sz="12" w:space="0" w:color="000000"/>
          <w:bottom w:val="single" w:sz="12" w:space="0" w:color="000000"/>
        </w:tblBorders>
      </w:tblPr>
      <w:tblGrid>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Characteristic</w:t>
            </w:r>
          </w:p>
        </w:tc>
        <w:tc>
          <w:tcPr>
            <w:tcBorders>
              <w:bottom w:val="single" w:sz="6" w:space="0" w:color="000000"/>
            </w:tcBorders>
          </w:tcPr>
          <w:p>
            <w:pPr>
              <w:pStyle w:val="Compact"/>
              <w:spacing w:after="0" w:before="0" w:line="240" w:lineRule="auto"/>
              <w:jc w:val="right"/>
            </w:pPr>
            <m:oMath>
              <m:r>
                <m:t>n</m:t>
              </m:r>
            </m:oMath>
          </w:p>
        </w:tc>
        <w:tc>
          <w:tcPr>
            <w:tcBorders>
              <w:bottom w:val="single" w:sz="6" w:space="0" w:color="000000"/>
            </w:tcBorders>
          </w:tcPr>
          <w:p>
            <w:pPr>
              <w:pStyle w:val="Compact"/>
              <w:spacing w:after="0" w:before="0" w:line="240" w:lineRule="auto"/>
              <w:jc w:val="right"/>
            </w:pPr>
            <w:r>
              <w:rPr>
                <w:b/>
                <w:sz w:val="16"/>
              </w:rPr>
              <w:t xml:space="preserve">%</w:t>
            </w:r>
          </w:p>
        </w:tc>
      </w:tr>
      <w:tr>
        <w:tc>
          <w:tcPr>
            <w:gridSpan w:val="3"/>
          </w:tcPr>
          <w:p>
            <w:pPr>
              <w:pStyle w:val="Compact"/>
              <w:spacing w:after="0" w:before="0" w:line="240" w:lineRule="auto"/>
              <w:jc w:val="left"/>
            </w:pPr>
            <w:r>
              <w:rPr>
                <w:iCs/>
                <w:i/>
                <w:sz w:val="16"/>
              </w:rPr>
              <w:t xml:space="preserve">Gender</w:t>
            </w:r>
          </w:p>
        </w:tc>
      </w:tr>
      <w:tr>
        <w:tc>
          <w:tcPr/>
          <w:p>
            <w:pPr>
              <w:pStyle w:val="Compact"/>
              <w:spacing w:after="0" w:before="0" w:line="240" w:lineRule="auto"/>
              <w:jc w:val="left"/>
            </w:pPr>
            <w:r>
              <w:rPr>
                <w:sz w:val="16"/>
              </w:rPr>
              <w:t xml:space="preserve">Male</w:t>
            </w:r>
          </w:p>
        </w:tc>
        <w:tc>
          <w:tcPr/>
          <w:p>
            <w:pPr>
              <w:pStyle w:val="Compact"/>
              <w:spacing w:after="0" w:before="0" w:line="240" w:lineRule="auto"/>
              <w:jc w:val="right"/>
            </w:pPr>
            <w:r>
              <w:rPr>
                <w:sz w:val="16"/>
              </w:rPr>
              <w:t xml:space="preserve">5,266</w:t>
            </w:r>
          </w:p>
        </w:tc>
        <w:tc>
          <w:tcPr/>
          <w:p>
            <w:pPr>
              <w:pStyle w:val="Compact"/>
              <w:spacing w:after="0" w:before="0" w:line="240" w:lineRule="auto"/>
              <w:jc w:val="right"/>
            </w:pPr>
            <w:r>
              <w:rPr>
                <w:sz w:val="16"/>
              </w:rPr>
              <w:t xml:space="preserve">44.2</w:t>
            </w:r>
          </w:p>
        </w:tc>
      </w:tr>
      <w:tr>
        <w:tc>
          <w:tcPr/>
          <w:p>
            <w:pPr>
              <w:pStyle w:val="Compact"/>
              <w:spacing w:after="0" w:before="0" w:line="240" w:lineRule="auto"/>
              <w:jc w:val="left"/>
            </w:pPr>
            <w:r>
              <w:rPr>
                <w:sz w:val="16"/>
              </w:rPr>
              <w:t xml:space="preserve">Female</w:t>
            </w:r>
          </w:p>
        </w:tc>
        <w:tc>
          <w:tcPr/>
          <w:p>
            <w:pPr>
              <w:pStyle w:val="Compact"/>
              <w:spacing w:after="0" w:before="0" w:line="240" w:lineRule="auto"/>
              <w:jc w:val="right"/>
            </w:pPr>
            <w:r>
              <w:rPr>
                <w:sz w:val="16"/>
              </w:rPr>
              <w:t xml:space="preserve">6,476</w:t>
            </w:r>
          </w:p>
        </w:tc>
        <w:tc>
          <w:tcPr/>
          <w:p>
            <w:pPr>
              <w:pStyle w:val="Compact"/>
              <w:spacing w:after="0" w:before="0" w:line="240" w:lineRule="auto"/>
              <w:jc w:val="right"/>
            </w:pPr>
            <w:r>
              <w:rPr>
                <w:sz w:val="16"/>
              </w:rPr>
              <w:t xml:space="preserve">54.3</w:t>
            </w:r>
          </w:p>
        </w:tc>
      </w:tr>
      <w:tr>
        <w:tc>
          <w:tcPr/>
          <w:p>
            <w:pPr>
              <w:pStyle w:val="Compact"/>
              <w:spacing w:after="0" w:before="0" w:line="240" w:lineRule="auto"/>
              <w:jc w:val="left"/>
            </w:pPr>
            <w:r>
              <w:rPr>
                <w:sz w:val="16"/>
              </w:rPr>
              <w:t xml:space="preserve">Other</w:t>
            </w:r>
          </w:p>
        </w:tc>
        <w:tc>
          <w:tcPr/>
          <w:p>
            <w:pPr>
              <w:pStyle w:val="Compact"/>
              <w:spacing w:after="0" w:before="0" w:line="240" w:lineRule="auto"/>
              <w:jc w:val="right"/>
            </w:pPr>
            <w:r>
              <w:rPr>
                <w:sz w:val="16"/>
              </w:rPr>
              <w:t xml:space="preserve">50</w:t>
            </w:r>
          </w:p>
        </w:tc>
        <w:tc>
          <w:tcPr/>
          <w:p>
            <w:pPr>
              <w:pStyle w:val="Compact"/>
              <w:spacing w:after="0" w:before="0" w:line="240" w:lineRule="auto"/>
              <w:jc w:val="right"/>
            </w:pPr>
            <w:r>
              <w:rPr>
                <w:sz w:val="16"/>
              </w:rPr>
              <w:t xml:space="preserve">0.4</w:t>
            </w:r>
          </w:p>
        </w:tc>
      </w:tr>
      <w:tr>
        <w:tc>
          <w:tcPr/>
          <w:p>
            <w:pPr>
              <w:pStyle w:val="Compact"/>
              <w:spacing w:after="0" w:before="0" w:line="240" w:lineRule="auto"/>
              <w:jc w:val="left"/>
            </w:pPr>
            <w:r>
              <w:rPr>
                <w:sz w:val="16"/>
              </w:rPr>
              <w:t xml:space="preserve">Prefer not to say</w:t>
            </w:r>
          </w:p>
        </w:tc>
        <w:tc>
          <w:tcPr/>
          <w:p>
            <w:pPr>
              <w:pStyle w:val="Compact"/>
              <w:spacing w:after="0" w:before="0" w:line="240" w:lineRule="auto"/>
              <w:jc w:val="right"/>
            </w:pPr>
            <w:r>
              <w:rPr>
                <w:sz w:val="16"/>
              </w:rPr>
              <w:t xml:space="preserve">106</w:t>
            </w:r>
          </w:p>
        </w:tc>
        <w:tc>
          <w:tcPr/>
          <w:p>
            <w:pPr>
              <w:pStyle w:val="Compact"/>
              <w:spacing w:after="0" w:before="0" w:line="240" w:lineRule="auto"/>
              <w:jc w:val="right"/>
            </w:pPr>
            <w:r>
              <w:rPr>
                <w:sz w:val="16"/>
              </w:rPr>
              <w:t xml:space="preserve">0.9</w:t>
            </w:r>
          </w:p>
        </w:tc>
      </w:tr>
      <w:tr>
        <w:tc>
          <w:tcPr>
            <w:gridSpan w:val="3"/>
          </w:tcPr>
          <w:p>
            <w:pPr>
              <w:pStyle w:val="Compact"/>
              <w:spacing w:after="0" w:before="0" w:line="240" w:lineRule="auto"/>
              <w:jc w:val="left"/>
            </w:pPr>
            <w:r>
              <w:rPr>
                <w:iCs/>
                <w:i/>
                <w:sz w:val="16"/>
              </w:rPr>
              <w:t xml:space="preserve">Level of study</w:t>
            </w:r>
          </w:p>
        </w:tc>
      </w:tr>
      <w:tr>
        <w:tc>
          <w:tcPr/>
          <w:p>
            <w:pPr>
              <w:pStyle w:val="Compact"/>
              <w:spacing w:after="0" w:before="0" w:line="240" w:lineRule="auto"/>
              <w:jc w:val="left"/>
            </w:pPr>
            <w:r>
              <w:rPr>
                <w:sz w:val="16"/>
              </w:rPr>
              <w:t xml:space="preserve">Undergraduate</w:t>
            </w:r>
          </w:p>
        </w:tc>
        <w:tc>
          <w:tcPr/>
          <w:p>
            <w:pPr>
              <w:pStyle w:val="Compact"/>
              <w:spacing w:after="0" w:before="0" w:line="240" w:lineRule="auto"/>
              <w:jc w:val="right"/>
            </w:pPr>
            <w:r>
              <w:rPr>
                <w:sz w:val="16"/>
              </w:rPr>
              <w:t xml:space="preserve">9,856</w:t>
            </w:r>
          </w:p>
        </w:tc>
        <w:tc>
          <w:tcPr/>
          <w:p>
            <w:pPr>
              <w:pStyle w:val="Compact"/>
              <w:spacing w:after="0" w:before="0" w:line="240" w:lineRule="auto"/>
              <w:jc w:val="right"/>
            </w:pPr>
            <w:r>
              <w:rPr>
                <w:sz w:val="16"/>
              </w:rPr>
              <w:t xml:space="preserve">82.7</w:t>
            </w:r>
          </w:p>
        </w:tc>
      </w:tr>
      <w:tr>
        <w:tc>
          <w:tcPr/>
          <w:p>
            <w:pPr>
              <w:pStyle w:val="Compact"/>
              <w:spacing w:after="0" w:before="0" w:line="240" w:lineRule="auto"/>
              <w:jc w:val="left"/>
            </w:pPr>
            <w:r>
              <w:rPr>
                <w:sz w:val="16"/>
              </w:rPr>
              <w:t xml:space="preserve">Postgraduate (Master)</w:t>
            </w:r>
          </w:p>
        </w:tc>
        <w:tc>
          <w:tcPr/>
          <w:p>
            <w:pPr>
              <w:pStyle w:val="Compact"/>
              <w:spacing w:after="0" w:before="0" w:line="240" w:lineRule="auto"/>
              <w:jc w:val="right"/>
            </w:pPr>
            <w:r>
              <w:rPr>
                <w:sz w:val="16"/>
              </w:rPr>
              <w:t xml:space="preserve">1,455</w:t>
            </w:r>
          </w:p>
        </w:tc>
        <w:tc>
          <w:tcPr/>
          <w:p>
            <w:pPr>
              <w:pStyle w:val="Compact"/>
              <w:spacing w:after="0" w:before="0" w:line="240" w:lineRule="auto"/>
              <w:jc w:val="right"/>
            </w:pPr>
            <w:r>
              <w:rPr>
                <w:sz w:val="16"/>
              </w:rPr>
              <w:t xml:space="preserve">12.2</w:t>
            </w:r>
          </w:p>
        </w:tc>
      </w:tr>
      <w:tr>
        <w:tc>
          <w:tcPr/>
          <w:p>
            <w:pPr>
              <w:pStyle w:val="Compact"/>
              <w:spacing w:after="0" w:before="0" w:line="240" w:lineRule="auto"/>
              <w:jc w:val="left"/>
            </w:pPr>
            <w:r>
              <w:rPr>
                <w:sz w:val="16"/>
              </w:rPr>
              <w:t xml:space="preserve">Doctoral</w:t>
            </w:r>
          </w:p>
        </w:tc>
        <w:tc>
          <w:tcPr/>
          <w:p>
            <w:pPr>
              <w:pStyle w:val="Compact"/>
              <w:spacing w:after="0" w:before="0" w:line="240" w:lineRule="auto"/>
              <w:jc w:val="right"/>
            </w:pPr>
            <w:r>
              <w:rPr>
                <w:sz w:val="16"/>
              </w:rPr>
              <w:t xml:space="preserve">516</w:t>
            </w:r>
          </w:p>
        </w:tc>
        <w:tc>
          <w:tcPr/>
          <w:p>
            <w:pPr>
              <w:pStyle w:val="Compact"/>
              <w:spacing w:after="0" w:before="0" w:line="240" w:lineRule="auto"/>
              <w:jc w:val="right"/>
            </w:pPr>
            <w:r>
              <w:rPr>
                <w:sz w:val="16"/>
              </w:rPr>
              <w:t xml:space="preserve">4.3</w:t>
            </w:r>
          </w:p>
        </w:tc>
      </w:tr>
      <w:tr>
        <w:tc>
          <w:tcPr>
            <w:gridSpan w:val="3"/>
          </w:tcPr>
          <w:p>
            <w:pPr>
              <w:pStyle w:val="Compact"/>
              <w:spacing w:after="0" w:before="0" w:line="240" w:lineRule="auto"/>
              <w:jc w:val="left"/>
            </w:pPr>
            <w:r>
              <w:rPr>
                <w:iCs/>
                <w:i/>
                <w:sz w:val="16"/>
              </w:rPr>
              <w:t xml:space="preserve">Field of study</w:t>
            </w:r>
          </w:p>
        </w:tc>
      </w:tr>
      <w:tr>
        <w:tc>
          <w:tcPr/>
          <w:p>
            <w:pPr>
              <w:pStyle w:val="Compact"/>
              <w:spacing w:after="0" w:before="0" w:line="240" w:lineRule="auto"/>
              <w:jc w:val="left"/>
            </w:pPr>
            <w:r>
              <w:rPr>
                <w:sz w:val="16"/>
              </w:rPr>
              <w:t xml:space="preserve">Arts &amp; Humanities</w:t>
            </w:r>
          </w:p>
        </w:tc>
        <w:tc>
          <w:tcPr/>
          <w:p>
            <w:pPr>
              <w:pStyle w:val="Compact"/>
              <w:spacing w:after="0" w:before="0" w:line="240" w:lineRule="auto"/>
              <w:jc w:val="right"/>
            </w:pPr>
            <w:r>
              <w:rPr>
                <w:sz w:val="16"/>
              </w:rPr>
              <w:t xml:space="preserve">1,423</w:t>
            </w:r>
          </w:p>
        </w:tc>
        <w:tc>
          <w:tcPr/>
          <w:p>
            <w:pPr>
              <w:pStyle w:val="Compact"/>
              <w:spacing w:after="0" w:before="0" w:line="240" w:lineRule="auto"/>
              <w:jc w:val="right"/>
            </w:pPr>
            <w:r>
              <w:rPr>
                <w:sz w:val="16"/>
              </w:rPr>
              <w:t xml:space="preserve">11.9</w:t>
            </w:r>
          </w:p>
        </w:tc>
      </w:tr>
      <w:tr>
        <w:tc>
          <w:tcPr/>
          <w:p>
            <w:pPr>
              <w:pStyle w:val="Compact"/>
              <w:spacing w:after="0" w:before="0" w:line="240" w:lineRule="auto"/>
              <w:jc w:val="left"/>
            </w:pPr>
            <w:r>
              <w:rPr>
                <w:sz w:val="16"/>
              </w:rPr>
              <w:t xml:space="preserve">Social Sciences</w:t>
            </w:r>
          </w:p>
        </w:tc>
        <w:tc>
          <w:tcPr/>
          <w:p>
            <w:pPr>
              <w:pStyle w:val="Compact"/>
              <w:spacing w:after="0" w:before="0" w:line="240" w:lineRule="auto"/>
              <w:jc w:val="right"/>
            </w:pPr>
            <w:r>
              <w:rPr>
                <w:sz w:val="16"/>
              </w:rPr>
              <w:t xml:space="preserve">4,824</w:t>
            </w:r>
          </w:p>
        </w:tc>
        <w:tc>
          <w:tcPr/>
          <w:p>
            <w:pPr>
              <w:pStyle w:val="Compact"/>
              <w:spacing w:after="0" w:before="0" w:line="240" w:lineRule="auto"/>
              <w:jc w:val="right"/>
            </w:pPr>
            <w:r>
              <w:rPr>
                <w:sz w:val="16"/>
              </w:rPr>
              <w:t xml:space="preserve">40.5</w:t>
            </w:r>
          </w:p>
        </w:tc>
      </w:tr>
      <w:tr>
        <w:tc>
          <w:tcPr/>
          <w:p>
            <w:pPr>
              <w:pStyle w:val="Compact"/>
              <w:spacing w:after="0" w:before="0" w:line="240" w:lineRule="auto"/>
              <w:jc w:val="left"/>
            </w:pPr>
            <w:r>
              <w:rPr>
                <w:sz w:val="16"/>
              </w:rPr>
              <w:t xml:space="preserve">Applied Sciences</w:t>
            </w:r>
          </w:p>
        </w:tc>
        <w:tc>
          <w:tcPr/>
          <w:p>
            <w:pPr>
              <w:pStyle w:val="Compact"/>
              <w:spacing w:after="0" w:before="0" w:line="240" w:lineRule="auto"/>
              <w:jc w:val="right"/>
            </w:pPr>
            <w:r>
              <w:rPr>
                <w:sz w:val="16"/>
              </w:rPr>
              <w:t xml:space="preserve">4,274</w:t>
            </w:r>
          </w:p>
        </w:tc>
        <w:tc>
          <w:tcPr/>
          <w:p>
            <w:pPr>
              <w:pStyle w:val="Compact"/>
              <w:spacing w:after="0" w:before="0" w:line="240" w:lineRule="auto"/>
              <w:jc w:val="right"/>
            </w:pPr>
            <w:r>
              <w:rPr>
                <w:sz w:val="16"/>
              </w:rPr>
              <w:t xml:space="preserve">35.9</w:t>
            </w:r>
          </w:p>
        </w:tc>
      </w:tr>
      <w:tr>
        <w:tc>
          <w:tcPr/>
          <w:p>
            <w:pPr>
              <w:pStyle w:val="Compact"/>
              <w:spacing w:after="0" w:before="0" w:line="240" w:lineRule="auto"/>
              <w:jc w:val="left"/>
            </w:pPr>
            <w:r>
              <w:rPr>
                <w:sz w:val="16"/>
              </w:rPr>
              <w:t xml:space="preserve">Natural &amp; Life Sciences</w:t>
            </w:r>
          </w:p>
        </w:tc>
        <w:tc>
          <w:tcPr/>
          <w:p>
            <w:pPr>
              <w:pStyle w:val="Compact"/>
              <w:spacing w:after="0" w:before="0" w:line="240" w:lineRule="auto"/>
              <w:jc w:val="right"/>
            </w:pPr>
            <w:r>
              <w:rPr>
                <w:sz w:val="16"/>
              </w:rPr>
              <w:t xml:space="preserve">1,291</w:t>
            </w:r>
          </w:p>
        </w:tc>
        <w:tc>
          <w:tcPr/>
          <w:p>
            <w:pPr>
              <w:pStyle w:val="Compact"/>
              <w:spacing w:after="0" w:before="0" w:line="240" w:lineRule="auto"/>
              <w:jc w:val="right"/>
            </w:pPr>
            <w:r>
              <w:rPr>
                <w:sz w:val="16"/>
              </w:rPr>
              <w:t xml:space="preserve">10.8</w:t>
            </w:r>
          </w:p>
        </w:tc>
      </w:tr>
      <w:tr>
        <w:tc>
          <w:tcPr>
            <w:gridSpan w:val="3"/>
          </w:tcPr>
          <w:p>
            <w:pPr>
              <w:pStyle w:val="Compact"/>
              <w:spacing w:after="0" w:before="0" w:line="240" w:lineRule="auto"/>
              <w:jc w:val="left"/>
            </w:pPr>
            <w:r>
              <w:rPr>
                <w:iCs/>
                <w:i/>
                <w:sz w:val="16"/>
              </w:rPr>
              <w:t xml:space="preserve">Mode of study</w:t>
            </w:r>
          </w:p>
        </w:tc>
      </w:tr>
      <w:tr>
        <w:tc>
          <w:tcPr/>
          <w:p>
            <w:pPr>
              <w:pStyle w:val="Compact"/>
              <w:spacing w:after="0" w:before="0" w:line="240" w:lineRule="auto"/>
              <w:jc w:val="left"/>
            </w:pPr>
            <w:r>
              <w:rPr>
                <w:sz w:val="16"/>
              </w:rPr>
              <w:t xml:space="preserve">Traditional</w:t>
            </w:r>
          </w:p>
        </w:tc>
        <w:tc>
          <w:tcPr/>
          <w:p>
            <w:pPr>
              <w:pStyle w:val="Compact"/>
              <w:spacing w:after="0" w:before="0" w:line="240" w:lineRule="auto"/>
              <w:jc w:val="right"/>
            </w:pPr>
            <w:r>
              <w:rPr>
                <w:sz w:val="16"/>
              </w:rPr>
              <w:t xml:space="preserve">5,450</w:t>
            </w:r>
          </w:p>
        </w:tc>
        <w:tc>
          <w:tcPr/>
          <w:p>
            <w:pPr>
              <w:pStyle w:val="Compact"/>
              <w:spacing w:after="0" w:before="0" w:line="240" w:lineRule="auto"/>
              <w:jc w:val="right"/>
            </w:pPr>
            <w:r>
              <w:rPr>
                <w:sz w:val="16"/>
              </w:rPr>
              <w:t xml:space="preserve">45.7</w:t>
            </w:r>
          </w:p>
        </w:tc>
      </w:tr>
      <w:tr>
        <w:tc>
          <w:tcPr/>
          <w:p>
            <w:pPr>
              <w:pStyle w:val="Compact"/>
              <w:spacing w:after="0" w:before="0" w:line="240" w:lineRule="auto"/>
              <w:jc w:val="left"/>
            </w:pPr>
            <w:r>
              <w:rPr>
                <w:sz w:val="16"/>
              </w:rPr>
              <w:t xml:space="preserve">Online</w:t>
            </w:r>
          </w:p>
        </w:tc>
        <w:tc>
          <w:tcPr/>
          <w:p>
            <w:pPr>
              <w:pStyle w:val="Compact"/>
              <w:spacing w:after="0" w:before="0" w:line="240" w:lineRule="auto"/>
              <w:jc w:val="right"/>
            </w:pPr>
            <w:r>
              <w:rPr>
                <w:sz w:val="16"/>
              </w:rPr>
              <w:t xml:space="preserve">1,015</w:t>
            </w:r>
          </w:p>
        </w:tc>
        <w:tc>
          <w:tcPr/>
          <w:p>
            <w:pPr>
              <w:pStyle w:val="Compact"/>
              <w:spacing w:after="0" w:before="0" w:line="240" w:lineRule="auto"/>
              <w:jc w:val="right"/>
            </w:pPr>
            <w:r>
              <w:rPr>
                <w:sz w:val="16"/>
              </w:rPr>
              <w:t xml:space="preserve">8.5</w:t>
            </w:r>
          </w:p>
        </w:tc>
      </w:tr>
      <w:tr>
        <w:tc>
          <w:tcPr/>
          <w:p>
            <w:pPr>
              <w:pStyle w:val="Compact"/>
              <w:spacing w:after="0" w:before="0" w:line="240" w:lineRule="auto"/>
              <w:jc w:val="left"/>
            </w:pPr>
            <w:r>
              <w:rPr>
                <w:sz w:val="16"/>
              </w:rPr>
              <w:t xml:space="preserve">Blended</w:t>
            </w:r>
          </w:p>
        </w:tc>
        <w:tc>
          <w:tcPr/>
          <w:p>
            <w:pPr>
              <w:pStyle w:val="Compact"/>
              <w:spacing w:after="0" w:before="0" w:line="240" w:lineRule="auto"/>
              <w:jc w:val="right"/>
            </w:pPr>
            <w:r>
              <w:rPr>
                <w:sz w:val="16"/>
              </w:rPr>
              <w:t xml:space="preserve">5,389</w:t>
            </w:r>
          </w:p>
        </w:tc>
        <w:tc>
          <w:tcPr/>
          <w:p>
            <w:pPr>
              <w:pStyle w:val="Compact"/>
              <w:spacing w:after="0" w:before="0" w:line="240" w:lineRule="auto"/>
              <w:jc w:val="right"/>
            </w:pPr>
            <w:r>
              <w:rPr>
                <w:sz w:val="16"/>
              </w:rPr>
              <w:t xml:space="preserve">45.2</w:t>
            </w:r>
          </w:p>
        </w:tc>
      </w:tr>
      <w:tr>
        <w:tc>
          <w:tcPr>
            <w:gridSpan w:val="3"/>
          </w:tcPr>
          <w:p>
            <w:pPr>
              <w:pStyle w:val="Compact"/>
              <w:spacing w:after="0" w:before="0" w:line="240" w:lineRule="auto"/>
              <w:jc w:val="left"/>
            </w:pPr>
            <w:r>
              <w:rPr>
                <w:iCs/>
                <w:i/>
                <w:sz w:val="16"/>
              </w:rPr>
              <w:t xml:space="preserve">ChatGPT version used</w:t>
            </w:r>
          </w:p>
        </w:tc>
      </w:tr>
      <w:tr>
        <w:tc>
          <w:tcPr/>
          <w:p>
            <w:pPr>
              <w:pStyle w:val="Compact"/>
              <w:spacing w:after="0" w:before="0" w:line="240" w:lineRule="auto"/>
              <w:jc w:val="left"/>
            </w:pPr>
            <w:r>
              <w:rPr>
                <w:sz w:val="16"/>
              </w:rPr>
              <w:t xml:space="preserve">ChatGPT-3.5 (free)</w:t>
            </w:r>
          </w:p>
        </w:tc>
        <w:tc>
          <w:tcPr/>
          <w:p>
            <w:pPr>
              <w:pStyle w:val="Compact"/>
              <w:spacing w:after="0" w:before="0" w:line="240" w:lineRule="auto"/>
              <w:jc w:val="right"/>
            </w:pPr>
            <w:r>
              <w:rPr>
                <w:sz w:val="16"/>
              </w:rPr>
              <w:t xml:space="preserve">10,550</w:t>
            </w:r>
          </w:p>
        </w:tc>
        <w:tc>
          <w:tcPr/>
          <w:p>
            <w:pPr>
              <w:pStyle w:val="Compact"/>
              <w:spacing w:after="0" w:before="0" w:line="240" w:lineRule="auto"/>
              <w:jc w:val="right"/>
            </w:pPr>
            <w:r>
              <w:rPr>
                <w:sz w:val="16"/>
              </w:rPr>
              <w:t xml:space="preserve">88.5</w:t>
            </w:r>
          </w:p>
        </w:tc>
      </w:tr>
      <w:tr>
        <w:tc>
          <w:tcPr/>
          <w:p>
            <w:pPr>
              <w:pStyle w:val="Compact"/>
              <w:spacing w:after="0" w:before="0" w:line="240" w:lineRule="auto"/>
              <w:jc w:val="left"/>
            </w:pPr>
            <w:r>
              <w:rPr>
                <w:sz w:val="16"/>
              </w:rPr>
              <w:t xml:space="preserve">ChatGPT-4 (paid)</w:t>
            </w:r>
          </w:p>
        </w:tc>
        <w:tc>
          <w:tcPr/>
          <w:p>
            <w:pPr>
              <w:pStyle w:val="Compact"/>
              <w:spacing w:after="0" w:before="0" w:line="240" w:lineRule="auto"/>
              <w:jc w:val="right"/>
            </w:pPr>
            <w:r>
              <w:rPr>
                <w:sz w:val="16"/>
              </w:rPr>
              <w:t xml:space="preserve">384</w:t>
            </w:r>
          </w:p>
        </w:tc>
        <w:tc>
          <w:tcPr/>
          <w:p>
            <w:pPr>
              <w:pStyle w:val="Compact"/>
              <w:spacing w:after="0" w:before="0" w:line="240" w:lineRule="auto"/>
              <w:jc w:val="right"/>
            </w:pPr>
            <w:r>
              <w:rPr>
                <w:sz w:val="16"/>
              </w:rPr>
              <w:t xml:space="preserve">3.2</w:t>
            </w:r>
          </w:p>
        </w:tc>
      </w:tr>
      <w:tr>
        <w:tc>
          <w:tcPr/>
          <w:p>
            <w:pPr>
              <w:pStyle w:val="Compact"/>
              <w:spacing w:after="0" w:before="0" w:line="240" w:lineRule="auto"/>
              <w:jc w:val="left"/>
            </w:pPr>
            <w:r>
              <w:rPr>
                <w:sz w:val="16"/>
              </w:rPr>
              <w:t xml:space="preserve">Both</w:t>
            </w:r>
          </w:p>
        </w:tc>
        <w:tc>
          <w:tcPr/>
          <w:p>
            <w:pPr>
              <w:pStyle w:val="Compact"/>
              <w:spacing w:after="0" w:before="0" w:line="240" w:lineRule="auto"/>
              <w:jc w:val="right"/>
            </w:pPr>
            <w:r>
              <w:rPr>
                <w:sz w:val="16"/>
              </w:rPr>
              <w:t xml:space="preserve">958</w:t>
            </w:r>
          </w:p>
        </w:tc>
        <w:tc>
          <w:tcPr/>
          <w:p>
            <w:pPr>
              <w:pStyle w:val="Compact"/>
              <w:spacing w:after="0" w:before="0" w:line="240" w:lineRule="auto"/>
              <w:jc w:val="right"/>
            </w:pPr>
            <w:r>
              <w:rPr>
                <w:sz w:val="16"/>
              </w:rPr>
              <w:t xml:space="preserve">8.0</w:t>
            </w:r>
          </w:p>
        </w:tc>
      </w:tr>
    </w:tbl>
    <w:bookmarkEnd w:id="38"/>
    <w:bookmarkStart w:id="42" w:name="operationalisation"/>
    <w:p>
      <w:pPr>
        <w:pStyle w:val="Heading2"/>
      </w:pPr>
      <w:r>
        <w:rPr>
          <w:rStyle w:val="SectionNumber"/>
        </w:rPr>
        <w:t xml:space="preserve">4.3</w:t>
      </w:r>
      <w:r>
        <w:tab/>
      </w:r>
      <w:r>
        <w:t xml:space="preserve">Operationalisation</w:t>
      </w:r>
    </w:p>
    <w:bookmarkStart w:id="39" w:name="evaluation-factors"/>
    <w:p>
      <w:pPr>
        <w:pStyle w:val="Heading3"/>
      </w:pPr>
      <w:r>
        <w:t xml:space="preserve">Evaluation factors</w:t>
      </w:r>
    </w:p>
    <w:p>
      <w:pPr>
        <w:pStyle w:val="FirstParagraph"/>
      </w:pPr>
      <w:r>
        <w:t xml:space="preserve">Each of the eight factors of the original framework was measured by three to five questionnaire items describing ChatGPT’s performance on that dimension (Table 4). Ethical suitability (E) was measured by five concern items (e.g. </w:t>
      </w:r>
      <w:r>
        <w:t xml:space="preserve">“</w:t>
      </w:r>
      <w:r>
        <w:t xml:space="preserve">ChatGPT might encourage students to cheat</w:t>
      </w:r>
      <w:r>
        <w:t xml:space="preserve">”</w:t>
      </w:r>
      <w:r>
        <w:t xml:space="preserve">), reverse-coded so that higher scores indicate fewer ethical concerns. Factor scores are item means on the 1–5 scale. An initial</w:t>
      </w:r>
      <w:r>
        <w:t xml:space="preserve"> </w:t>
      </w:r>
      <w:r>
        <w:rPr>
          <w:iCs/>
          <w:i/>
        </w:rPr>
        <w:t xml:space="preserve">a priori</w:t>
      </w:r>
      <w:r>
        <w:t xml:space="preserve"> </w:t>
      </w:r>
      <w:r>
        <w:t xml:space="preserve">mapping showed poor discriminant validity (HTMT </w:t>
      </w:r>
      <m:oMath>
        <m:r>
          <m:rPr>
            <m:sty m:val="p"/>
          </m:rPr>
          <m:t>&gt;</m:t>
        </m:r>
        <m:r>
          <m:t>1</m:t>
        </m:r>
      </m:oMath>
      <w:r>
        <w:t xml:space="preserve">) and low reliability for two factors. We therefore compared four candidate mappings on CFA fit, AVE and HTMT and retained the best-fitting, theoretically coherent one. All candidates and their fit statistics are reported in the replication package (</w:t>
      </w:r>
      <w:r>
        <w:rPr>
          <w:rStyle w:val="VerbatimChar"/>
        </w:rPr>
        <w:t xml:space="preserve">measurement_alternatives.csv</w:t>
      </w:r>
      <w:r>
        <w:t xml:space="preserve">).</w:t>
      </w:r>
    </w:p>
    <w:bookmarkEnd w:id="39"/>
    <w:bookmarkStart w:id="40" w:name="teaching-activities"/>
    <w:p>
      <w:pPr>
        <w:pStyle w:val="Heading3"/>
      </w:pPr>
      <w:r>
        <w:t xml:space="preserve">Teaching activities</w:t>
      </w:r>
    </w:p>
    <w:p>
      <w:pPr>
        <w:pStyle w:val="FirstParagraph"/>
      </w:pPr>
      <w:r>
        <w:t xml:space="preserve">The ten activities listed in the original proposal were each operationalised by the items in which students rate ChatGPT on that activity (Table 6). Examples are</w:t>
      </w:r>
      <w:r>
        <w:t xml:space="preserve"> </w:t>
      </w:r>
      <w:r>
        <w:t xml:space="preserve">“</w:t>
      </w:r>
      <w:r>
        <w:t xml:space="preserve">simplify complex information</w:t>
      </w:r>
      <w:r>
        <w:t xml:space="preserve">”</w:t>
      </w:r>
      <w:r>
        <w:t xml:space="preserve"> </w:t>
      </w:r>
      <w:r>
        <w:t xml:space="preserve">and</w:t>
      </w:r>
      <w:r>
        <w:t xml:space="preserve"> </w:t>
      </w:r>
      <w:r>
        <w:t xml:space="preserve">“</w:t>
      </w:r>
      <w:r>
        <w:t xml:space="preserve">summarize extensive information</w:t>
      </w:r>
      <w:r>
        <w:t xml:space="preserve">”</w:t>
      </w:r>
      <w:r>
        <w:t xml:space="preserve"> </w:t>
      </w:r>
      <w:r>
        <w:t xml:space="preserve">for</w:t>
      </w:r>
      <w:r>
        <w:t xml:space="preserve"> </w:t>
      </w:r>
      <w:r>
        <w:rPr>
          <w:iCs/>
          <w:i/>
        </w:rPr>
        <w:t xml:space="preserve">content explanation</w:t>
      </w:r>
      <w:r>
        <w:t xml:space="preserve">,</w:t>
      </w:r>
      <w:r>
        <w:t xml:space="preserve"> </w:t>
      </w:r>
      <w:r>
        <w:t xml:space="preserve">“</w:t>
      </w:r>
      <w:r>
        <w:t xml:space="preserve">improve my readiness for exams</w:t>
      </w:r>
      <w:r>
        <w:t xml:space="preserve">”</w:t>
      </w:r>
      <w:r>
        <w:t xml:space="preserve"> </w:t>
      </w:r>
      <w:r>
        <w:t xml:space="preserve">and</w:t>
      </w:r>
      <w:r>
        <w:t xml:space="preserve"> </w:t>
      </w:r>
      <w:r>
        <w:t xml:space="preserve">“</w:t>
      </w:r>
      <w:r>
        <w:t xml:space="preserve">improve my grades</w:t>
      </w:r>
      <w:r>
        <w:t xml:space="preserve">”</w:t>
      </w:r>
      <w:r>
        <w:t xml:space="preserve"> </w:t>
      </w:r>
      <w:r>
        <w:t xml:space="preserve">for</w:t>
      </w:r>
      <w:r>
        <w:t xml:space="preserve"> </w:t>
      </w:r>
      <w:r>
        <w:rPr>
          <w:iCs/>
          <w:i/>
        </w:rPr>
        <w:t xml:space="preserve">student assessment</w:t>
      </w:r>
      <w:r>
        <w:t xml:space="preserve">, and</w:t>
      </w:r>
      <w:r>
        <w:t xml:space="preserve"> </w:t>
      </w:r>
      <w:r>
        <w:t xml:space="preserve">“</w:t>
      </w:r>
      <w:r>
        <w:t xml:space="preserve">improve my problem-solving / analytical / critical-thinking skills</w:t>
      </w:r>
      <w:r>
        <w:t xml:space="preserve">”</w:t>
      </w:r>
      <w:r>
        <w:t xml:space="preserve"> </w:t>
      </w:r>
      <w:r>
        <w:t xml:space="preserve">for</w:t>
      </w:r>
      <w:r>
        <w:t xml:space="preserve"> </w:t>
      </w:r>
      <w:r>
        <w:rPr>
          <w:iCs/>
          <w:i/>
        </w:rPr>
        <w:t xml:space="preserve">problem solving</w:t>
      </w:r>
      <w:r>
        <w:t xml:space="preserve">. For</w:t>
      </w:r>
      <w:r>
        <w:t xml:space="preserve"> </w:t>
      </w:r>
      <w:r>
        <w:rPr>
          <w:iCs/>
          <w:i/>
        </w:rPr>
        <w:t xml:space="preserve">emotional and social support</w:t>
      </w:r>
      <w:r>
        <w:t xml:space="preserve"> </w:t>
      </w:r>
      <w:r>
        <w:t xml:space="preserve">we combined interpersonal-communication and pleasant-conversation items with reverse-coded concerns that ChatGPT might reduce human interaction or increase social isolation.</w:t>
      </w:r>
    </w:p>
    <w:bookmarkEnd w:id="40"/>
    <w:bookmarkStart w:id="41" w:name="independent-criterion"/>
    <w:p>
      <w:pPr>
        <w:pStyle w:val="Heading3"/>
      </w:pPr>
      <w:r>
        <w:t xml:space="preserve">Independent criterion</w:t>
      </w:r>
    </w:p>
    <w:p>
      <w:pPr>
        <w:pStyle w:val="FirstParagraph"/>
      </w:pPr>
      <w:r>
        <w:t xml:space="preserve">To validate the fuzzy score and to train the ANN we needed an outcome that was not used as a fuzzy input. We constructed a</w:t>
      </w:r>
      <w:r>
        <w:t xml:space="preserve"> </w:t>
      </w:r>
      <w:r>
        <w:rPr>
          <w:iCs/>
          <w:i/>
        </w:rPr>
        <w:t xml:space="preserve">Teacher Substitution Index</w:t>
      </w:r>
      <w:r>
        <w:t xml:space="preserve"> </w:t>
      </w:r>
      <w:r>
        <w:t xml:space="preserve">(TSI) from the only two items that compare ChatGPT directly with professors:</w:t>
      </w:r>
      <w:r>
        <w:t xml:space="preserve"> </w:t>
      </w:r>
      <w:r>
        <w:t xml:space="preserve">“</w:t>
      </w:r>
      <w:r>
        <w:t xml:space="preserve">It is easier for me to interact with ChatGPT than with my professors</w:t>
      </w:r>
      <w:r>
        <w:t xml:space="preserve">”</w:t>
      </w:r>
      <w:r>
        <w:t xml:space="preserve"> </w:t>
      </w:r>
      <w:r>
        <w:t xml:space="preserve">(Q24b) and</w:t>
      </w:r>
      <w:r>
        <w:t xml:space="preserve"> </w:t>
      </w:r>
      <w:r>
        <w:t xml:space="preserve">“</w:t>
      </w:r>
      <w:r>
        <w:t xml:space="preserve">The information I get from ChatGPT is clearer than the one provided by my professors</w:t>
      </w:r>
      <w:r>
        <w:t xml:space="preserve">”</w:t>
      </w:r>
      <w:r>
        <w:t xml:space="preserve"> </w:t>
      </w:r>
      <w:r>
        <w:t xml:space="preserve">(Q24d). The TSI is their mean, rescaled to 0–100.</w:t>
      </w:r>
    </w:p>
    <w:bookmarkEnd w:id="41"/>
    <w:bookmarkEnd w:id="42"/>
    <w:bookmarkStart w:id="43" w:name="measurement-validation"/>
    <w:p>
      <w:pPr>
        <w:pStyle w:val="Heading2"/>
      </w:pPr>
      <w:r>
        <w:rPr>
          <w:rStyle w:val="SectionNumber"/>
        </w:rPr>
        <w:t xml:space="preserve">4.4</w:t>
      </w:r>
      <w:r>
        <w:tab/>
      </w:r>
      <w:r>
        <w:t xml:space="preserve">Measurement validation</w:t>
      </w:r>
    </w:p>
    <w:p>
      <w:pPr>
        <w:pStyle w:val="FirstParagraph"/>
      </w:pPr>
      <w:r>
        <w:t xml:space="preserve">Internal consistency was assessed with Cronbach’s</w:t>
      </w:r>
      <w:r>
        <w:t xml:space="preserve"> </w:t>
      </w:r>
      <m:oMath>
        <m:r>
          <m:t>α</m:t>
        </m:r>
      </m:oMath>
      <w:r>
        <w:t xml:space="preserve"> </w:t>
      </w:r>
      <w:r>
        <w:t xml:space="preserve">(Cronbach 1951)</w:t>
      </w:r>
      <w:r>
        <w:t xml:space="preserve"> </w:t>
      </w:r>
      <w:r>
        <w:t xml:space="preserve">and composite reliability (CR). We estimated a correlated eight-factor confirmatory factor analysis (CFA) by maximum likelihood on the item correlation matrix, with each item loading on one factor and latent variances fixed to one. Global fit was evaluated with CFI, TLI, RMSEA and SRMR against conventional cut-offs</w:t>
      </w:r>
      <w:r>
        <w:t xml:space="preserve"> </w:t>
      </w:r>
      <w:r>
        <w:t xml:space="preserve">(Hu and Bentler 1999; Kline 2016)</w:t>
      </w:r>
      <w:r>
        <w:t xml:space="preserve">. Convergent validity was assessed through standardised loadings and the average variance extracted (AVE), and discriminant validity through the Fornell–Larcker criterion</w:t>
      </w:r>
      <w:r>
        <w:t xml:space="preserve"> </w:t>
      </w:r>
      <w:r>
        <w:t xml:space="preserve">(Fornell and Larcker 1981)</w:t>
      </w:r>
      <w:r>
        <w:t xml:space="preserve"> </w:t>
      </w:r>
      <w:r>
        <w:t xml:space="preserve">and the heterotrait–monotrait ratio</w:t>
      </w:r>
      <w:r>
        <w:t xml:space="preserve"> </w:t>
      </w:r>
      <w:r>
        <w:t xml:space="preserve">(HTMT; threshold 0.85, Henseler, Ringle, and Sarstedt 2015)</w:t>
      </w:r>
      <w:r>
        <w:t xml:space="preserve">. Because all variables come from one self-report instrument, common-method variance was screened with Harman’s single-factor test</w:t>
      </w:r>
      <w:r>
        <w:t xml:space="preserve"> </w:t>
      </w:r>
      <w:r>
        <w:t xml:space="preserve">(Podsakoff et al. 2003)</w:t>
      </w:r>
      <w:r>
        <w:t xml:space="preserve">.</w:t>
      </w:r>
    </w:p>
    <w:bookmarkEnd w:id="43"/>
    <w:bookmarkStart w:id="51" w:name="hierarchical-fuzzy-inference-system"/>
    <w:p>
      <w:pPr>
        <w:pStyle w:val="Heading2"/>
      </w:pPr>
      <w:r>
        <w:rPr>
          <w:rStyle w:val="SectionNumber"/>
        </w:rPr>
        <w:t xml:space="preserve">4.5</w:t>
      </w:r>
      <w:r>
        <w:tab/>
      </w:r>
      <w:r>
        <w:t xml:space="preserve">Hierarchical fuzzy inference system</w:t>
      </w:r>
    </w:p>
    <w:bookmarkStart w:id="47" w:name="fuzzification"/>
    <w:p>
      <w:pPr>
        <w:pStyle w:val="Heading3"/>
      </w:pPr>
      <w:r>
        <w:t xml:space="preserve">Fuzzification</w:t>
      </w:r>
    </w:p>
    <w:p>
      <w:pPr>
        <w:pStyle w:val="FirstParagraph"/>
      </w:pPr>
      <w:r>
        <w:t xml:space="preserve">Each input factor</w:t>
      </w:r>
      <w:r>
        <w:t xml:space="preserve"> </w:t>
      </w:r>
      <m:oMath>
        <m:r>
          <m:t>x</m:t>
        </m:r>
        <m:r>
          <m:rPr>
            <m:sty m:val="p"/>
          </m:rPr>
          <m:t>∈</m:t>
        </m:r>
        <m:d>
          <m:dPr>
            <m:begChr m:val="["/>
            <m:endChr m:val="]"/>
            <m:sepChr m:val=""/>
            <m:grow/>
          </m:dPr>
          <m:e>
            <m:r>
              <m:t>1</m:t>
            </m:r>
            <m:r>
              <m:rPr>
                <m:sty m:val="p"/>
              </m:rPr>
              <m:t>,</m:t>
            </m:r>
            <m:r>
              <m:t>5</m:t>
            </m:r>
          </m:e>
        </m:d>
      </m:oMath>
      <w:r>
        <w:t xml:space="preserve"> </w:t>
      </w:r>
      <w:r>
        <w:t xml:space="preserve">is described by three linguistic terms with trapezoidal and triangular membership functions (Fig. 3a):</w:t>
      </w:r>
    </w:p>
    <w:p>
      <w:pPr>
        <w:pStyle w:val="BodyText"/>
      </w:pPr>
      <m:oMathPara>
        <m:oMathParaPr>
          <m:jc m:val="center"/>
        </m:oMathParaPr>
        <m:oMath>
          <m:m>
            <m:mPr>
              <m:baseJc m:val="center"/>
              <m:plcHide m:val="on"/>
              <m:mcs>
                <m:mc>
                  <m:mcPr>
                    <m:mcJc m:val="right"/>
                    <m:count m:val="1"/>
                  </m:mcPr>
                </m:mc>
                <m:mc>
                  <m:mcPr>
                    <m:mcJc m:val="left"/>
                    <m:count m:val="1"/>
                  </m:mcPr>
                </m:mc>
              </m:mcs>
            </m:mPr>
            <m:mr>
              <m:e>
                <m:sSub>
                  <m:e>
                    <m:r>
                      <m:t>μ</m:t>
                    </m:r>
                  </m:e>
                  <m:sub>
                    <m:r>
                      <m:rPr>
                        <m:nor/>
                        <m:sty m:val="p"/>
                      </m:rPr>
                      <m:t>Low</m:t>
                    </m:r>
                  </m:sub>
                </m:sSub>
                <m:d>
                  <m:dPr>
                    <m:begChr m:val="("/>
                    <m:endChr m:val=")"/>
                    <m:sepChr m:val=""/>
                    <m:grow/>
                  </m:dPr>
                  <m:e>
                    <m:r>
                      <m:t>x</m:t>
                    </m:r>
                  </m:e>
                </m:d>
              </m:e>
              <m:e>
                <m:r>
                  <m:rPr>
                    <m:sty m:val="p"/>
                  </m:rPr>
                  <m:t>=</m:t>
                </m:r>
                <m:r>
                  <m:rPr>
                    <m:sty m:val="p"/>
                  </m:rPr>
                  <m:t>t</m:t>
                </m:r>
                <m:r>
                  <m:rPr>
                    <m:sty m:val="p"/>
                  </m:rPr>
                  <m:t>r</m:t>
                </m:r>
                <m:r>
                  <m:rPr>
                    <m:sty m:val="p"/>
                  </m:rPr>
                  <m:t>a</m:t>
                </m:r>
                <m:r>
                  <m:rPr>
                    <m:sty m:val="p"/>
                  </m:rPr>
                  <m:t>p</m:t>
                </m:r>
                <m:d>
                  <m:dPr>
                    <m:begChr m:val="("/>
                    <m:endChr m:val=")"/>
                    <m:sepChr m:val=""/>
                    <m:grow/>
                  </m:dPr>
                  <m:e>
                    <m:r>
                      <m:t>x</m:t>
                    </m:r>
                    <m:r>
                      <m:rPr>
                        <m:sty m:val="p"/>
                      </m:rPr>
                      <m:t>;</m:t>
                    </m:r>
                    <m:r>
                      <m:t>1</m:t>
                    </m:r>
                    <m:r>
                      <m:rPr>
                        <m:sty m:val="p"/>
                      </m:rPr>
                      <m:t>,</m:t>
                    </m:r>
                    <m:r>
                      <m:t>1</m:t>
                    </m:r>
                    <m:r>
                      <m:rPr>
                        <m:sty m:val="p"/>
                      </m:rPr>
                      <m:t>,</m:t>
                    </m:r>
                    <m:r>
                      <m:t>2</m:t>
                    </m:r>
                    <m:r>
                      <m:rPr>
                        <m:sty m:val="p"/>
                      </m:rPr>
                      <m:t>,</m:t>
                    </m:r>
                    <m:r>
                      <m:t>3</m:t>
                    </m:r>
                  </m:e>
                </m:d>
                <m:r>
                  <m:rPr>
                    <m:sty m:val="p"/>
                  </m:rPr>
                  <m:t>,</m:t>
                </m:r>
                <m:r>
                  <m:t>  </m:t>
                </m:r>
                <m:sSub>
                  <m:e>
                    <m:r>
                      <m:t>μ</m:t>
                    </m:r>
                  </m:e>
                  <m:sub>
                    <m:r>
                      <m:rPr>
                        <m:nor/>
                        <m:sty m:val="p"/>
                      </m:rPr>
                      <m:t>Med</m:t>
                    </m:r>
                  </m:sub>
                </m:sSub>
                <m:d>
                  <m:dPr>
                    <m:begChr m:val="("/>
                    <m:endChr m:val=")"/>
                    <m:sepChr m:val=""/>
                    <m:grow/>
                  </m:dPr>
                  <m:e>
                    <m:r>
                      <m:t>x</m:t>
                    </m:r>
                  </m:e>
                </m:d>
                <m:r>
                  <m:rPr>
                    <m:sty m:val="p"/>
                  </m:rPr>
                  <m:t>=</m:t>
                </m:r>
                <m:r>
                  <m:rPr>
                    <m:sty m:val="p"/>
                  </m:rPr>
                  <m:t>t</m:t>
                </m:r>
                <m:r>
                  <m:rPr>
                    <m:sty m:val="p"/>
                  </m:rPr>
                  <m:t>r</m:t>
                </m:r>
                <m:r>
                  <m:rPr>
                    <m:sty m:val="p"/>
                  </m:rPr>
                  <m:t>i</m:t>
                </m:r>
                <m:d>
                  <m:dPr>
                    <m:begChr m:val="("/>
                    <m:endChr m:val=")"/>
                    <m:sepChr m:val=""/>
                    <m:grow/>
                  </m:dPr>
                  <m:e>
                    <m:r>
                      <m:t>x</m:t>
                    </m:r>
                    <m:r>
                      <m:rPr>
                        <m:sty m:val="p"/>
                      </m:rPr>
                      <m:t>;</m:t>
                    </m:r>
                    <m:r>
                      <m:t>2</m:t>
                    </m:r>
                    <m:r>
                      <m:rPr>
                        <m:sty m:val="p"/>
                      </m:rPr>
                      <m:t>,</m:t>
                    </m:r>
                    <m:r>
                      <m:t>3</m:t>
                    </m:r>
                    <m:r>
                      <m:rPr>
                        <m:sty m:val="p"/>
                      </m:rPr>
                      <m:t>,</m:t>
                    </m:r>
                    <m:r>
                      <m:t>4</m:t>
                    </m:r>
                  </m:e>
                </m:d>
                <m:r>
                  <m:rPr>
                    <m:sty m:val="p"/>
                  </m:rPr>
                  <m:t>,</m:t>
                </m:r>
              </m:e>
            </m:mr>
            <m:mr>
              <m:e>
                <m:sSub>
                  <m:e>
                    <m:r>
                      <m:t>μ</m:t>
                    </m:r>
                  </m:e>
                  <m:sub>
                    <m:r>
                      <m:rPr>
                        <m:nor/>
                        <m:sty m:val="p"/>
                      </m:rPr>
                      <m:t>High</m:t>
                    </m:r>
                  </m:sub>
                </m:sSub>
                <m:d>
                  <m:dPr>
                    <m:begChr m:val="("/>
                    <m:endChr m:val=")"/>
                    <m:sepChr m:val=""/>
                    <m:grow/>
                  </m:dPr>
                  <m:e>
                    <m:r>
                      <m:t>x</m:t>
                    </m:r>
                  </m:e>
                </m:d>
              </m:e>
              <m:e>
                <m:r>
                  <m:rPr>
                    <m:sty m:val="p"/>
                  </m:rPr>
                  <m:t>=</m:t>
                </m:r>
                <m:r>
                  <m:rPr>
                    <m:sty m:val="p"/>
                  </m:rPr>
                  <m:t>t</m:t>
                </m:r>
                <m:r>
                  <m:rPr>
                    <m:sty m:val="p"/>
                  </m:rPr>
                  <m:t>r</m:t>
                </m:r>
                <m:r>
                  <m:rPr>
                    <m:sty m:val="p"/>
                  </m:rPr>
                  <m:t>a</m:t>
                </m:r>
                <m:r>
                  <m:rPr>
                    <m:sty m:val="p"/>
                  </m:rPr>
                  <m:t>p</m:t>
                </m:r>
                <m:d>
                  <m:dPr>
                    <m:begChr m:val="("/>
                    <m:endChr m:val=")"/>
                    <m:sepChr m:val=""/>
                    <m:grow/>
                  </m:dPr>
                  <m:e>
                    <m:r>
                      <m:t>x</m:t>
                    </m:r>
                    <m:r>
                      <m:rPr>
                        <m:sty m:val="p"/>
                      </m:rPr>
                      <m:t>;</m:t>
                    </m:r>
                    <m:r>
                      <m:t>3</m:t>
                    </m:r>
                    <m:r>
                      <m:rPr>
                        <m:sty m:val="p"/>
                      </m:rPr>
                      <m:t>,</m:t>
                    </m:r>
                    <m:r>
                      <m:t>4</m:t>
                    </m:r>
                    <m:r>
                      <m:rPr>
                        <m:sty m:val="p"/>
                      </m:rPr>
                      <m:t>,</m:t>
                    </m:r>
                    <m:r>
                      <m:t>5</m:t>
                    </m:r>
                    <m:r>
                      <m:rPr>
                        <m:sty m:val="p"/>
                      </m:rPr>
                      <m:t>,</m:t>
                    </m:r>
                    <m:r>
                      <m:t>5</m:t>
                    </m:r>
                  </m:e>
                </m:d>
                <m:r>
                  <m:rPr>
                    <m:sty m:val="p"/>
                  </m:rPr>
                  <m:t>,</m:t>
                </m:r>
              </m:e>
            </m:mr>
          </m:m>
          <m:r>
            <m:t>  </m:t>
          </m:r>
          <m:r>
            <m:t>  </m:t>
          </m:r>
          <m:d>
            <m:dPr>
              <m:begChr m:val="("/>
              <m:endChr m:val=")"/>
              <m:sepChr m:val=""/>
              <m:grow/>
            </m:dPr>
            <m:e>
              <m:r>
                <m:t>4</m:t>
              </m:r>
            </m:e>
          </m:d>
        </m:oMath>
      </m:oMathPara>
    </w:p>
    <w:p>
      <w:pPr>
        <w:pStyle w:val="FirstParagraph"/>
      </w:pPr>
      <w:r>
        <w:t xml:space="preserve">so that the Likert anchors 1–2, 3 and 4–5 are full members of Low, Medium and High respectively. The intermediate variables (PC, IQ, TW) and the output TRFS live on</w:t>
      </w:r>
      <w:r>
        <w:t xml:space="preserve"> </w:t>
      </w:r>
      <m:oMath>
        <m:d>
          <m:dPr>
            <m:begChr m:val="["/>
            <m:endChr m:val="]"/>
            <m:sepChr m:val=""/>
            <m:grow/>
          </m:dPr>
          <m:e>
            <m:r>
              <m:t>0</m:t>
            </m:r>
            <m:r>
              <m:rPr>
                <m:sty m:val="p"/>
              </m:rPr>
              <m:t>,</m:t>
            </m:r>
            <m:r>
              <m:t>100</m:t>
            </m:r>
          </m:e>
        </m:d>
      </m:oMath>
      <w:r>
        <w:t xml:space="preserve"> </w:t>
      </w:r>
      <w:r>
        <w:t xml:space="preserve">with</w:t>
      </w:r>
    </w:p>
    <w:p>
      <w:pPr>
        <w:pStyle w:val="BodyText"/>
      </w:pPr>
      <m:oMathPara>
        <m:oMathParaPr>
          <m:jc m:val="center"/>
        </m:oMathParaPr>
        <m:oMath>
          <m:m>
            <m:mPr>
              <m:baseJc m:val="center"/>
              <m:plcHide m:val="on"/>
              <m:mcs>
                <m:mc>
                  <m:mcPr>
                    <m:mcJc m:val="right"/>
                    <m:count m:val="1"/>
                  </m:mcPr>
                </m:mc>
                <m:mc>
                  <m:mcPr>
                    <m:mcJc m:val="left"/>
                    <m:count m:val="1"/>
                  </m:mcPr>
                </m:mc>
              </m:mcs>
            </m:mPr>
            <m:mr>
              <m:e>
                <m:sSub>
                  <m:e>
                    <m:r>
                      <m:t>μ</m:t>
                    </m:r>
                  </m:e>
                  <m:sub>
                    <m:r>
                      <m:rPr>
                        <m:nor/>
                        <m:sty m:val="p"/>
                      </m:rPr>
                      <m:t>Low</m:t>
                    </m:r>
                  </m:sub>
                </m:sSub>
                <m:d>
                  <m:dPr>
                    <m:begChr m:val="("/>
                    <m:endChr m:val=")"/>
                    <m:sepChr m:val=""/>
                    <m:grow/>
                  </m:dPr>
                  <m:e>
                    <m:r>
                      <m:t>y</m:t>
                    </m:r>
                  </m:e>
                </m:d>
              </m:e>
              <m:e>
                <m:r>
                  <m:rPr>
                    <m:sty m:val="p"/>
                  </m:rPr>
                  <m:t>=</m:t>
                </m:r>
                <m:r>
                  <m:rPr>
                    <m:sty m:val="p"/>
                  </m:rPr>
                  <m:t>t</m:t>
                </m:r>
                <m:r>
                  <m:rPr>
                    <m:sty m:val="p"/>
                  </m:rPr>
                  <m:t>r</m:t>
                </m:r>
                <m:r>
                  <m:rPr>
                    <m:sty m:val="p"/>
                  </m:rPr>
                  <m:t>a</m:t>
                </m:r>
                <m:r>
                  <m:rPr>
                    <m:sty m:val="p"/>
                  </m:rPr>
                  <m:t>p</m:t>
                </m:r>
                <m:d>
                  <m:dPr>
                    <m:begChr m:val="("/>
                    <m:endChr m:val=")"/>
                    <m:sepChr m:val=""/>
                    <m:grow/>
                  </m:dPr>
                  <m:e>
                    <m:r>
                      <m:t>y</m:t>
                    </m:r>
                    <m:r>
                      <m:rPr>
                        <m:sty m:val="p"/>
                      </m:rPr>
                      <m:t>;</m:t>
                    </m:r>
                    <m:r>
                      <m:t>0</m:t>
                    </m:r>
                    <m:r>
                      <m:rPr>
                        <m:sty m:val="p"/>
                      </m:rPr>
                      <m:t>,</m:t>
                    </m:r>
                    <m:r>
                      <m:t>0</m:t>
                    </m:r>
                    <m:r>
                      <m:rPr>
                        <m:sty m:val="p"/>
                      </m:rPr>
                      <m:t>,</m:t>
                    </m:r>
                    <m:r>
                      <m:t>20</m:t>
                    </m:r>
                    <m:r>
                      <m:rPr>
                        <m:sty m:val="p"/>
                      </m:rPr>
                      <m:t>,</m:t>
                    </m:r>
                    <m:r>
                      <m:t>50</m:t>
                    </m:r>
                  </m:e>
                </m:d>
                <m:r>
                  <m:rPr>
                    <m:sty m:val="p"/>
                  </m:rPr>
                  <m:t>,</m:t>
                </m:r>
                <m:r>
                  <m:t>  </m:t>
                </m:r>
                <m:sSub>
                  <m:e>
                    <m:r>
                      <m:t>μ</m:t>
                    </m:r>
                  </m:e>
                  <m:sub>
                    <m:r>
                      <m:rPr>
                        <m:nor/>
                        <m:sty m:val="p"/>
                      </m:rPr>
                      <m:t>Med</m:t>
                    </m:r>
                  </m:sub>
                </m:sSub>
                <m:d>
                  <m:dPr>
                    <m:begChr m:val="("/>
                    <m:endChr m:val=")"/>
                    <m:sepChr m:val=""/>
                    <m:grow/>
                  </m:dPr>
                  <m:e>
                    <m:r>
                      <m:t>y</m:t>
                    </m:r>
                  </m:e>
                </m:d>
                <m:r>
                  <m:rPr>
                    <m:sty m:val="p"/>
                  </m:rPr>
                  <m:t>=</m:t>
                </m:r>
                <m:r>
                  <m:rPr>
                    <m:sty m:val="p"/>
                  </m:rPr>
                  <m:t>t</m:t>
                </m:r>
                <m:r>
                  <m:rPr>
                    <m:sty m:val="p"/>
                  </m:rPr>
                  <m:t>r</m:t>
                </m:r>
                <m:r>
                  <m:rPr>
                    <m:sty m:val="p"/>
                  </m:rPr>
                  <m:t>i</m:t>
                </m:r>
                <m:d>
                  <m:dPr>
                    <m:begChr m:val="("/>
                    <m:endChr m:val=")"/>
                    <m:sepChr m:val=""/>
                    <m:grow/>
                  </m:dPr>
                  <m:e>
                    <m:r>
                      <m:t>y</m:t>
                    </m:r>
                    <m:r>
                      <m:rPr>
                        <m:sty m:val="p"/>
                      </m:rPr>
                      <m:t>;</m:t>
                    </m:r>
                    <m:r>
                      <m:t>20</m:t>
                    </m:r>
                    <m:r>
                      <m:rPr>
                        <m:sty m:val="p"/>
                      </m:rPr>
                      <m:t>,</m:t>
                    </m:r>
                    <m:r>
                      <m:t>50</m:t>
                    </m:r>
                    <m:r>
                      <m:rPr>
                        <m:sty m:val="p"/>
                      </m:rPr>
                      <m:t>,</m:t>
                    </m:r>
                    <m:r>
                      <m:t>80</m:t>
                    </m:r>
                  </m:e>
                </m:d>
                <m:r>
                  <m:rPr>
                    <m:sty m:val="p"/>
                  </m:rPr>
                  <m:t>,</m:t>
                </m:r>
              </m:e>
            </m:mr>
            <m:mr>
              <m:e>
                <m:sSub>
                  <m:e>
                    <m:r>
                      <m:t>μ</m:t>
                    </m:r>
                  </m:e>
                  <m:sub>
                    <m:r>
                      <m:rPr>
                        <m:nor/>
                        <m:sty m:val="p"/>
                      </m:rPr>
                      <m:t>High</m:t>
                    </m:r>
                  </m:sub>
                </m:sSub>
                <m:d>
                  <m:dPr>
                    <m:begChr m:val="("/>
                    <m:endChr m:val=")"/>
                    <m:sepChr m:val=""/>
                    <m:grow/>
                  </m:dPr>
                  <m:e>
                    <m:r>
                      <m:t>y</m:t>
                    </m:r>
                  </m:e>
                </m:d>
              </m:e>
              <m:e>
                <m:r>
                  <m:rPr>
                    <m:sty m:val="p"/>
                  </m:rPr>
                  <m:t>=</m:t>
                </m:r>
                <m:r>
                  <m:rPr>
                    <m:sty m:val="p"/>
                  </m:rPr>
                  <m:t>t</m:t>
                </m:r>
                <m:r>
                  <m:rPr>
                    <m:sty m:val="p"/>
                  </m:rPr>
                  <m:t>r</m:t>
                </m:r>
                <m:r>
                  <m:rPr>
                    <m:sty m:val="p"/>
                  </m:rPr>
                  <m:t>a</m:t>
                </m:r>
                <m:r>
                  <m:rPr>
                    <m:sty m:val="p"/>
                  </m:rPr>
                  <m:t>p</m:t>
                </m:r>
                <m:d>
                  <m:dPr>
                    <m:begChr m:val="("/>
                    <m:endChr m:val=")"/>
                    <m:sepChr m:val=""/>
                    <m:grow/>
                  </m:dPr>
                  <m:e>
                    <m:r>
                      <m:t>y</m:t>
                    </m:r>
                    <m:r>
                      <m:rPr>
                        <m:sty m:val="p"/>
                      </m:rPr>
                      <m:t>;</m:t>
                    </m:r>
                    <m:r>
                      <m:t>50</m:t>
                    </m:r>
                    <m:r>
                      <m:rPr>
                        <m:sty m:val="p"/>
                      </m:rPr>
                      <m:t>,</m:t>
                    </m:r>
                    <m:r>
                      <m:t>80</m:t>
                    </m:r>
                    <m:r>
                      <m:rPr>
                        <m:sty m:val="p"/>
                      </m:rPr>
                      <m:t>,</m:t>
                    </m:r>
                    <m:r>
                      <m:t>100</m:t>
                    </m:r>
                    <m:r>
                      <m:rPr>
                        <m:sty m:val="p"/>
                      </m:rPr>
                      <m:t>,</m:t>
                    </m:r>
                    <m:r>
                      <m:t>100</m:t>
                    </m:r>
                  </m:e>
                </m:d>
              </m:e>
            </m:mr>
          </m:m>
          <m:r>
            <m:t>  </m:t>
          </m:r>
          <m:r>
            <m:t>  </m:t>
          </m:r>
          <m:d>
            <m:dPr>
              <m:begChr m:val="("/>
              <m:endChr m:val=")"/>
              <m:sepChr m:val=""/>
              <m:grow/>
            </m:dPr>
            <m:e>
              <m:r>
                <m:t>5</m:t>
              </m:r>
            </m:e>
          </m:d>
        </m:oMath>
      </m:oMathPara>
    </w:p>
    <w:p>
      <w:pPr>
        <w:pStyle w:val="FirstParagraph"/>
      </w:pPr>
      <w:r>
        <w:t xml:space="preserve">(Fig. 3b).</w:t>
      </w:r>
    </w:p>
    <w:p>
      <w:pPr>
        <w:pStyle w:val="CaptionedFigure"/>
      </w:pPr>
      <w:r>
        <w:drawing>
          <wp:inline>
            <wp:extent cx="5334000" cy="1306334"/>
            <wp:effectExtent b="0" l="0" r="0" t="0"/>
            <wp:docPr descr="" title="" id="45" name="Picture"/>
            <a:graphic>
              <a:graphicData uri="http://schemas.openxmlformats.org/drawingml/2006/picture">
                <pic:pic>
                  <pic:nvPicPr>
                    <pic:cNvPr descr="/home/user/Data-Visualization/ai-teacher-feasibility/results/figures/fig2_membership_functions.png" id="46" name="Picture"/>
                    <pic:cNvPicPr>
                      <a:picLocks noChangeArrowheads="1" noChangeAspect="1"/>
                    </pic:cNvPicPr>
                  </pic:nvPicPr>
                  <pic:blipFill>
                    <a:blip r:embed="rId44"/>
                    <a:stretch>
                      <a:fillRect/>
                    </a:stretch>
                  </pic:blipFill>
                  <pic:spPr bwMode="auto">
                    <a:xfrm>
                      <a:off x="0" y="0"/>
                      <a:ext cx="5334000" cy="1306334"/>
                    </a:xfrm>
                    <a:prstGeom prst="rect">
                      <a:avLst/>
                    </a:prstGeom>
                    <a:noFill/>
                    <a:ln w="9525">
                      <a:noFill/>
                      <a:headEnd/>
                      <a:tailEnd/>
                    </a:ln>
                  </pic:spPr>
                </pic:pic>
              </a:graphicData>
            </a:graphic>
          </wp:inline>
        </w:drawing>
      </w:r>
    </w:p>
    <w:p>
      <w:pPr>
        <w:pStyle w:val="ImageCaption"/>
      </w:pPr>
      <w:r>
        <w:t xml:space="preserve">Fig. 3. Membership functions of (a) the eight input factors and (b) the intermediate and output variables. Dashed lines mark the Low/Medium (35) and Medium/High (65) crossover points used as decision thresholds.</w:t>
      </w:r>
    </w:p>
    <w:bookmarkEnd w:id="47"/>
    <w:bookmarkStart w:id="48" w:name="rule-bases"/>
    <w:p>
      <w:pPr>
        <w:pStyle w:val="Heading3"/>
      </w:pPr>
      <w:r>
        <w:t xml:space="preserve">Rule bases</w:t>
      </w:r>
    </w:p>
    <w:p>
      <w:pPr>
        <w:pStyle w:val="FirstParagraph"/>
      </w:pPr>
      <w:r>
        <w:t xml:space="preserve">The rules encode the logic of the original proposal in a systematic, reproducible form. For PC and IQ, the consequent is the rounded mean of the antecedent levels (Low </w:t>
      </w:r>
      <m:oMath>
        <m:r>
          <m:rPr>
            <m:sty m:val="p"/>
          </m:rPr>
          <m:t>=</m:t>
        </m:r>
        <m:r>
          <m:t>0</m:t>
        </m:r>
      </m:oMath>
      <w:r>
        <w:t xml:space="preserve">, Medium </w:t>
      </w:r>
      <m:oMath>
        <m:r>
          <m:rPr>
            <m:sty m:val="p"/>
          </m:rPr>
          <m:t>=</m:t>
        </m:r>
        <m:r>
          <m:t>1</m:t>
        </m:r>
      </m:oMath>
      <w:r>
        <w:t xml:space="preserve">, High </w:t>
      </w:r>
      <m:oMath>
        <m:r>
          <m:rPr>
            <m:sty m:val="p"/>
          </m:rPr>
          <m:t>=</m:t>
        </m:r>
        <m:r>
          <m:t>2</m:t>
        </m:r>
      </m:oMath>
      <w:r>
        <w:t xml:space="preserve">), with ties resolved conservatively towards the lower class. This yields 81 and 9 rules. Trustworthiness implements a reliability veto (</w:t>
      </w:r>
      <w:r>
        <w:t xml:space="preserve">“</w:t>
      </w:r>
      <w:r>
        <w:t xml:space="preserve">IF reliability is low THEN feasibility is low</w:t>
      </w:r>
      <w:r>
        <w:t xml:space="preserve">”</w:t>
      </w:r>
      <w:r>
        <w:t xml:space="preserve">); ethical suitability then moderates the result (Table 3). The final system FIS</w:t>
      </w:r>
      <m:oMath>
        <m:sSub>
          <m:e>
            <m:r>
              <m:t>​</m:t>
            </m:r>
          </m:e>
          <m:sub>
            <m:r>
              <m:t>4</m:t>
            </m:r>
          </m:sub>
        </m:sSub>
      </m:oMath>
      <w:r>
        <w:t xml:space="preserve"> </w:t>
      </w:r>
      <w:r>
        <w:t xml:space="preserve">gives pedagogical capability double weight,</w:t>
      </w:r>
      <w:r>
        <w:t xml:space="preserve"> </w:t>
      </w:r>
      <m:oMath>
        <m:r>
          <m:rPr>
            <m:sty m:val="p"/>
          </m:rPr>
          <m:t>ℓ</m:t>
        </m:r>
        <m:r>
          <m:rPr>
            <m:sty m:val="p"/>
          </m:rPr>
          <m:t>=</m:t>
        </m:r>
        <m:d>
          <m:dPr>
            <m:begChr m:val="("/>
            <m:endChr m:val=")"/>
            <m:sepChr m:val=""/>
            <m:grow/>
          </m:dPr>
          <m:e>
            <m:r>
              <m:t>2</m:t>
            </m:r>
            <m:r>
              <m:t> </m:t>
            </m:r>
            <m:sSub>
              <m:e>
                <m:r>
                  <m:rPr>
                    <m:sty m:val="p"/>
                  </m:rPr>
                  <m:t>ℓ</m:t>
                </m:r>
              </m:e>
              <m:sub>
                <m:r>
                  <m:rPr>
                    <m:sty m:val="p"/>
                  </m:rPr>
                  <m:t>P</m:t>
                </m:r>
                <m:r>
                  <m:rPr>
                    <m:sty m:val="p"/>
                  </m:rPr>
                  <m:t>C</m:t>
                </m:r>
              </m:sub>
            </m:sSub>
            <m:r>
              <m:rPr>
                <m:sty m:val="p"/>
              </m:rPr>
              <m:t>+</m:t>
            </m:r>
            <m:sSub>
              <m:e>
                <m:r>
                  <m:rPr>
                    <m:sty m:val="p"/>
                  </m:rPr>
                  <m:t>ℓ</m:t>
                </m:r>
              </m:e>
              <m:sub>
                <m:r>
                  <m:rPr>
                    <m:sty m:val="p"/>
                  </m:rPr>
                  <m:t>I</m:t>
                </m:r>
                <m:r>
                  <m:rPr>
                    <m:sty m:val="p"/>
                  </m:rPr>
                  <m:t>Q</m:t>
                </m:r>
              </m:sub>
            </m:sSub>
            <m:r>
              <m:rPr>
                <m:sty m:val="p"/>
              </m:rPr>
              <m:t>+</m:t>
            </m:r>
            <m:sSub>
              <m:e>
                <m:r>
                  <m:rPr>
                    <m:sty m:val="p"/>
                  </m:rPr>
                  <m:t>ℓ</m:t>
                </m:r>
              </m:e>
              <m:sub>
                <m:r>
                  <m:rPr>
                    <m:sty m:val="p"/>
                  </m:rPr>
                  <m:t>T</m:t>
                </m:r>
                <m:r>
                  <m:rPr>
                    <m:sty m:val="p"/>
                  </m:rPr>
                  <m:t>W</m:t>
                </m:r>
              </m:sub>
            </m:sSub>
          </m:e>
        </m:d>
        <m:r>
          <m:rPr>
            <m:sty m:val="p"/>
          </m:rPr>
          <m:t>/</m:t>
        </m:r>
        <m:r>
          <m:t>4</m:t>
        </m:r>
      </m:oMath>
      <w:r>
        <w:t xml:space="preserve">, and applies the trust veto (TW Low</w:t>
      </w:r>
      <w:r>
        <w:t xml:space="preserve"> </w:t>
      </w:r>
      <m:oMath>
        <m:r>
          <m:rPr>
            <m:sty m:val="p"/>
          </m:rPr>
          <m:t>⇒</m:t>
        </m:r>
      </m:oMath>
      <w:r>
        <w:t xml:space="preserve"> </w:t>
      </w:r>
      <w:r>
        <w:t xml:space="preserve">TRFS Low). For example, PC High, IQ Low and TW Medium gives Medium, which corresponds to Rule 2 of the original proposal (</w:t>
      </w:r>
      <w:r>
        <w:t xml:space="preserve">“</w:t>
      </w:r>
      <w:r>
        <w:t xml:space="preserve">high teaching effectiveness BUT low communication</w:t>
      </w:r>
      <w:r>
        <w:t xml:space="preserve"> </w:t>
      </w:r>
      <m:oMath>
        <m:r>
          <m:rPr>
            <m:sty m:val="p"/>
          </m:rPr>
          <m:t>⇒</m:t>
        </m:r>
      </m:oMath>
      <w:r>
        <w:t xml:space="preserve"> </w:t>
      </w:r>
      <w:r>
        <w:t xml:space="preserve">medium</w:t>
      </w:r>
      <w:r>
        <w:t xml:space="preserve">”</w:t>
      </w:r>
      <w:r>
        <w:t xml:space="preserve">).</w:t>
      </w:r>
    </w:p>
    <w:p>
      <w:pPr>
        <w:pStyle w:val="TableCaption"/>
      </w:pPr>
      <w:r>
        <w:t xml:space="preserve">Table 3a. Rule base of the trust sub-system FIS</w:t>
      </w:r>
      <m:oMath>
        <m:sSub>
          <m:e>
            <m:r>
              <m:t>​</m:t>
            </m:r>
          </m:e>
          <m:sub>
            <m:r>
              <m:t>3</m:t>
            </m:r>
          </m:sub>
        </m:sSub>
      </m:oMath>
      <w:r>
        <w:t xml:space="preserve"> </w:t>
      </w:r>
      <w:r>
        <w:t xml:space="preserve">(TW as a function of R and E).</w:t>
      </w:r>
    </w:p>
    <w:tbl>
      <w:tblPr>
        <w:tblStyle w:val="Table"/>
        <w:tblLook w:firstRow="1" w:lastRow="0" w:firstColumn="0" w:lastColumn="0" w:noHBand="0" w:noVBand="0" w:val="0020"/>
        <w:jc w:val="start"/>
        <w:tblCaption w:val="Table 3a. Rule base of the trust sub-system FIS_3 (TW as a function of R and E)."/>
        <w:tblW w:w="5000" w:type="pct"/>
        <w:tblLayout w:type="autofit"/>
        <w:tblBorders>
          <w:top w:val="single" w:sz="12" w:space="0" w:color="000000"/>
          <w:bottom w:val="single" w:sz="12" w:space="0" w:color="000000"/>
        </w:tblBorders>
      </w:tblPr>
      <w:tblGrid>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FIS</w:t>
            </w:r>
            <m:oMath>
              <m:sSub>
                <m:e>
                  <m:r>
                    <m:t>​</m:t>
                  </m:r>
                </m:e>
                <m:sub>
                  <m:r>
                    <m:t>3</m:t>
                  </m:r>
                </m:sub>
              </m:sSub>
            </m:oMath>
            <w:r>
              <w:rPr>
                <w:b/>
                <w:sz w:val="16"/>
              </w:rPr>
              <w:t xml:space="preserve">: TW</w:t>
            </w:r>
          </w:p>
        </w:tc>
        <w:tc>
          <w:tcPr>
            <w:tcBorders>
              <w:bottom w:val="single" w:sz="6" w:space="0" w:color="000000"/>
            </w:tcBorders>
          </w:tcPr>
          <w:p>
            <w:pPr>
              <w:pStyle w:val="Compact"/>
              <w:spacing w:after="0" w:before="0" w:line="240" w:lineRule="auto"/>
              <w:jc w:val="center"/>
            </w:pPr>
            <w:r>
              <w:rPr>
                <w:b/>
                <w:sz w:val="16"/>
              </w:rPr>
              <w:t xml:space="preserve">E = Low</w:t>
            </w:r>
          </w:p>
        </w:tc>
        <w:tc>
          <w:tcPr>
            <w:tcBorders>
              <w:bottom w:val="single" w:sz="6" w:space="0" w:color="000000"/>
            </w:tcBorders>
          </w:tcPr>
          <w:p>
            <w:pPr>
              <w:pStyle w:val="Compact"/>
              <w:spacing w:after="0" w:before="0" w:line="240" w:lineRule="auto"/>
              <w:jc w:val="center"/>
            </w:pPr>
            <w:r>
              <w:rPr>
                <w:b/>
                <w:sz w:val="16"/>
              </w:rPr>
              <w:t xml:space="preserve">E = Medium</w:t>
            </w:r>
          </w:p>
        </w:tc>
        <w:tc>
          <w:tcPr>
            <w:tcBorders>
              <w:bottom w:val="single" w:sz="6" w:space="0" w:color="000000"/>
            </w:tcBorders>
          </w:tcPr>
          <w:p>
            <w:pPr>
              <w:pStyle w:val="Compact"/>
              <w:spacing w:after="0" w:before="0" w:line="240" w:lineRule="auto"/>
              <w:jc w:val="center"/>
            </w:pPr>
            <w:r>
              <w:rPr>
                <w:b/>
                <w:sz w:val="16"/>
              </w:rPr>
              <w:t xml:space="preserve">E = High</w:t>
            </w:r>
          </w:p>
        </w:tc>
      </w:tr>
      <w:tr>
        <w:tc>
          <w:tcPr/>
          <w:p>
            <w:pPr>
              <w:pStyle w:val="Compact"/>
              <w:spacing w:after="0" w:before="0" w:line="240" w:lineRule="auto"/>
              <w:jc w:val="left"/>
            </w:pPr>
            <w:r>
              <w:rPr>
                <w:sz w:val="16"/>
              </w:rPr>
              <w:t xml:space="preserve">R = Low</w:t>
            </w:r>
          </w:p>
        </w:tc>
        <w:tc>
          <w:tcPr/>
          <w:p>
            <w:pPr>
              <w:pStyle w:val="Compact"/>
              <w:spacing w:after="0" w:before="0" w:line="240" w:lineRule="auto"/>
              <w:jc w:val="center"/>
            </w:pPr>
            <w:r>
              <w:rPr>
                <w:sz w:val="16"/>
              </w:rPr>
              <w:t xml:space="preserve">Low</w:t>
            </w:r>
          </w:p>
        </w:tc>
        <w:tc>
          <w:tcPr/>
          <w:p>
            <w:pPr>
              <w:pStyle w:val="Compact"/>
              <w:spacing w:after="0" w:before="0" w:line="240" w:lineRule="auto"/>
              <w:jc w:val="center"/>
            </w:pPr>
            <w:r>
              <w:rPr>
                <w:sz w:val="16"/>
              </w:rPr>
              <w:t xml:space="preserve">Low</w:t>
            </w:r>
          </w:p>
        </w:tc>
        <w:tc>
          <w:tcPr/>
          <w:p>
            <w:pPr>
              <w:pStyle w:val="Compact"/>
              <w:spacing w:after="0" w:before="0" w:line="240" w:lineRule="auto"/>
              <w:jc w:val="center"/>
            </w:pPr>
            <w:r>
              <w:rPr>
                <w:sz w:val="16"/>
              </w:rPr>
              <w:t xml:space="preserve">Low</w:t>
            </w:r>
          </w:p>
        </w:tc>
      </w:tr>
      <w:tr>
        <w:tc>
          <w:tcPr/>
          <w:p>
            <w:pPr>
              <w:pStyle w:val="Compact"/>
              <w:spacing w:after="0" w:before="0" w:line="240" w:lineRule="auto"/>
              <w:jc w:val="left"/>
            </w:pPr>
            <w:r>
              <w:rPr>
                <w:sz w:val="16"/>
              </w:rPr>
              <w:t xml:space="preserve">R = Medium</w:t>
            </w:r>
          </w:p>
        </w:tc>
        <w:tc>
          <w:tcPr/>
          <w:p>
            <w:pPr>
              <w:pStyle w:val="Compact"/>
              <w:spacing w:after="0" w:before="0" w:line="240" w:lineRule="auto"/>
              <w:jc w:val="center"/>
            </w:pPr>
            <w:r>
              <w:rPr>
                <w:sz w:val="16"/>
              </w:rPr>
              <w:t xml:space="preserve">Low</w:t>
            </w:r>
          </w:p>
        </w:tc>
        <w:tc>
          <w:tcPr/>
          <w:p>
            <w:pPr>
              <w:pStyle w:val="Compact"/>
              <w:spacing w:after="0" w:before="0" w:line="240" w:lineRule="auto"/>
              <w:jc w:val="center"/>
            </w:pPr>
            <w:r>
              <w:rPr>
                <w:sz w:val="16"/>
              </w:rPr>
              <w:t xml:space="preserve">Medium</w:t>
            </w:r>
          </w:p>
        </w:tc>
        <w:tc>
          <w:tcPr/>
          <w:p>
            <w:pPr>
              <w:pStyle w:val="Compact"/>
              <w:spacing w:after="0" w:before="0" w:line="240" w:lineRule="auto"/>
              <w:jc w:val="center"/>
            </w:pPr>
            <w:r>
              <w:rPr>
                <w:sz w:val="16"/>
              </w:rPr>
              <w:t xml:space="preserve">Medium</w:t>
            </w:r>
          </w:p>
        </w:tc>
      </w:tr>
      <w:tr>
        <w:tc>
          <w:tcPr/>
          <w:p>
            <w:pPr>
              <w:pStyle w:val="Compact"/>
              <w:spacing w:after="0" w:before="0" w:line="240" w:lineRule="auto"/>
              <w:jc w:val="left"/>
            </w:pPr>
            <w:r>
              <w:rPr>
                <w:sz w:val="16"/>
              </w:rPr>
              <w:t xml:space="preserve">R = High</w:t>
            </w:r>
          </w:p>
        </w:tc>
        <w:tc>
          <w:tcPr/>
          <w:p>
            <w:pPr>
              <w:pStyle w:val="Compact"/>
              <w:spacing w:after="0" w:before="0" w:line="240" w:lineRule="auto"/>
              <w:jc w:val="center"/>
            </w:pPr>
            <w:r>
              <w:rPr>
                <w:sz w:val="16"/>
              </w:rPr>
              <w:t xml:space="preserve">Medium</w:t>
            </w:r>
          </w:p>
        </w:tc>
        <w:tc>
          <w:tcPr/>
          <w:p>
            <w:pPr>
              <w:pStyle w:val="Compact"/>
              <w:spacing w:after="0" w:before="0" w:line="240" w:lineRule="auto"/>
              <w:jc w:val="center"/>
            </w:pPr>
            <w:r>
              <w:rPr>
                <w:sz w:val="16"/>
              </w:rPr>
              <w:t xml:space="preserve">High</w:t>
            </w:r>
          </w:p>
        </w:tc>
        <w:tc>
          <w:tcPr/>
          <w:p>
            <w:pPr>
              <w:pStyle w:val="Compact"/>
              <w:spacing w:after="0" w:before="0" w:line="240" w:lineRule="auto"/>
              <w:jc w:val="center"/>
            </w:pPr>
            <w:r>
              <w:rPr>
                <w:sz w:val="16"/>
              </w:rPr>
              <w:t xml:space="preserve">High</w:t>
            </w:r>
          </w:p>
        </w:tc>
      </w:tr>
    </w:tbl>
    <w:p/>
    <w:p>
      <w:pPr>
        <w:pStyle w:val="TableCaption"/>
      </w:pPr>
      <w:r>
        <w:t xml:space="preserve">Table 3b. Rule base of the final system FIS</w:t>
      </w:r>
      <m:oMath>
        <m:sSub>
          <m:e>
            <m:r>
              <m:t>​</m:t>
            </m:r>
          </m:e>
          <m:sub>
            <m:r>
              <m:t>4</m:t>
            </m:r>
          </m:sub>
        </m:sSub>
      </m:oMath>
      <w:r>
        <w:t xml:space="preserve"> </w:t>
      </w:r>
      <w:r>
        <w:t xml:space="preserve">(L/M/H = Low/Medium/High).</w:t>
      </w:r>
    </w:p>
    <w:tbl>
      <w:tblPr>
        <w:tblStyle w:val="Table"/>
        <w:tblLook w:firstRow="1" w:lastRow="0" w:firstColumn="0" w:lastColumn="0" w:noHBand="0" w:noVBand="0" w:val="0020"/>
        <w:jc w:val="start"/>
        <w:tblCaption w:val="Table 3b. Rule base of the final system FIS_4 (L/M/H = Low/Medium/High)."/>
        <w:tblW w:w="5000" w:type="pct"/>
        <w:tblLayout w:type="autofit"/>
        <w:tblBorders>
          <w:top w:val="single" w:sz="12" w:space="0" w:color="000000"/>
          <w:bottom w:val="single" w:sz="12" w:space="0" w:color="000000"/>
        </w:tblBorders>
      </w:tblPr>
      <w:tblGrid>
        <w:gridCol/>
        <w:gridCol/>
        <w:gridCol/>
        <w:gridCol/>
        <w:gridCol/>
        <w:gridCol/>
        <w:gridCol/>
        <w:gridCol/>
        <w:gridCol/>
        <w:gridCol/>
        <w:gridCol/>
        <w:gridCol/>
        <w:gridCol/>
        <w:gridCol/>
        <w:gridCol/>
      </w:tblGrid>
      <w:tr>
        <w:trPr>
          <w:tblHeader w:val="true"/>
        </w:trPr>
        <w:tc>
          <w:tcPr>
            <w:tcBorders>
              <w:bottom w:val="single" w:sz="6" w:space="0" w:color="000000"/>
            </w:tcBorders>
          </w:tcPr>
          <w:p>
            <w:pPr>
              <w:pStyle w:val="Compact"/>
              <w:spacing w:after="0" w:before="0" w:line="240" w:lineRule="auto"/>
              <w:jc w:val="right"/>
            </w:pPr>
            <w:r>
              <w:rPr>
                <w:b/>
                <w:sz w:val="16"/>
              </w:rPr>
              <w:t xml:space="preserve">#</w:t>
            </w:r>
          </w:p>
        </w:tc>
        <w:tc>
          <w:tcPr>
            <w:tcBorders>
              <w:bottom w:val="single" w:sz="6" w:space="0" w:color="000000"/>
            </w:tcBorders>
          </w:tcPr>
          <w:p>
            <w:pPr>
              <w:pStyle w:val="Compact"/>
              <w:spacing w:after="0" w:before="0" w:line="240" w:lineRule="auto"/>
              <w:jc w:val="center"/>
            </w:pPr>
            <w:r>
              <w:rPr>
                <w:b/>
                <w:sz w:val="16"/>
              </w:rPr>
              <w:t xml:space="preserve">PC</w:t>
            </w:r>
          </w:p>
        </w:tc>
        <w:tc>
          <w:tcPr>
            <w:tcBorders>
              <w:bottom w:val="single" w:sz="6" w:space="0" w:color="000000"/>
            </w:tcBorders>
          </w:tcPr>
          <w:p>
            <w:pPr>
              <w:pStyle w:val="Compact"/>
              <w:spacing w:after="0" w:before="0" w:line="240" w:lineRule="auto"/>
              <w:jc w:val="center"/>
            </w:pPr>
            <w:r>
              <w:rPr>
                <w:b/>
                <w:sz w:val="16"/>
              </w:rPr>
              <w:t xml:space="preserve">IQ</w:t>
            </w:r>
          </w:p>
        </w:tc>
        <w:tc>
          <w:tcPr>
            <w:tcBorders>
              <w:bottom w:val="single" w:sz="6" w:space="0" w:color="000000"/>
            </w:tcBorders>
          </w:tcPr>
          <w:p>
            <w:pPr>
              <w:pStyle w:val="Compact"/>
              <w:spacing w:after="0" w:before="0" w:line="240" w:lineRule="auto"/>
              <w:jc w:val="center"/>
            </w:pPr>
            <w:r>
              <w:rPr>
                <w:b/>
                <w:sz w:val="16"/>
              </w:rPr>
              <w:t xml:space="preserve">TW</w:t>
            </w:r>
          </w:p>
        </w:tc>
        <w:tc>
          <w:tcPr>
            <w:tcBorders>
              <w:bottom w:val="single" w:sz="6" w:space="0" w:color="000000"/>
            </w:tcBorders>
          </w:tcPr>
          <w:p>
            <w:pPr>
              <w:pStyle w:val="Compact"/>
              <w:spacing w:after="0" w:before="0" w:line="240" w:lineRule="auto"/>
              <w:jc w:val="center"/>
            </w:pPr>
            <w:r>
              <w:rPr>
                <w:b/>
                <w:sz w:val="16"/>
              </w:rPr>
              <w:t xml:space="preserve">TRFS</w:t>
            </w:r>
          </w:p>
        </w:tc>
        <w:tc>
          <w:tcPr>
            <w:tcBorders>
              <w:bottom w:val="single" w:sz="6" w:space="0" w:color="000000"/>
            </w:tcBorders>
          </w:tcPr>
          <w:p>
            <w:pPr>
              <w:pStyle w:val="Compact"/>
              <w:spacing w:after="0" w:before="0" w:line="240" w:lineRule="auto"/>
              <w:jc w:val="right"/>
            </w:pPr>
            <w:r>
              <w:rPr>
                <w:b/>
                <w:sz w:val="16"/>
              </w:rPr>
              <w:t xml:space="preserve">#</w:t>
            </w:r>
          </w:p>
        </w:tc>
        <w:tc>
          <w:tcPr>
            <w:tcBorders>
              <w:bottom w:val="single" w:sz="6" w:space="0" w:color="000000"/>
            </w:tcBorders>
          </w:tcPr>
          <w:p>
            <w:pPr>
              <w:pStyle w:val="Compact"/>
              <w:spacing w:after="0" w:before="0" w:line="240" w:lineRule="auto"/>
              <w:jc w:val="center"/>
            </w:pPr>
            <w:r>
              <w:rPr>
                <w:b/>
                <w:sz w:val="16"/>
              </w:rPr>
              <w:t xml:space="preserve">PC</w:t>
            </w:r>
          </w:p>
        </w:tc>
        <w:tc>
          <w:tcPr>
            <w:tcBorders>
              <w:bottom w:val="single" w:sz="6" w:space="0" w:color="000000"/>
            </w:tcBorders>
          </w:tcPr>
          <w:p>
            <w:pPr>
              <w:pStyle w:val="Compact"/>
              <w:spacing w:after="0" w:before="0" w:line="240" w:lineRule="auto"/>
              <w:jc w:val="center"/>
            </w:pPr>
            <w:r>
              <w:rPr>
                <w:b/>
                <w:sz w:val="16"/>
              </w:rPr>
              <w:t xml:space="preserve">IQ</w:t>
            </w:r>
          </w:p>
        </w:tc>
        <w:tc>
          <w:tcPr>
            <w:tcBorders>
              <w:bottom w:val="single" w:sz="6" w:space="0" w:color="000000"/>
            </w:tcBorders>
          </w:tcPr>
          <w:p>
            <w:pPr>
              <w:pStyle w:val="Compact"/>
              <w:spacing w:after="0" w:before="0" w:line="240" w:lineRule="auto"/>
              <w:jc w:val="center"/>
            </w:pPr>
            <w:r>
              <w:rPr>
                <w:b/>
                <w:sz w:val="16"/>
              </w:rPr>
              <w:t xml:space="preserve">TW</w:t>
            </w:r>
          </w:p>
        </w:tc>
        <w:tc>
          <w:tcPr>
            <w:tcBorders>
              <w:bottom w:val="single" w:sz="6" w:space="0" w:color="000000"/>
            </w:tcBorders>
          </w:tcPr>
          <w:p>
            <w:pPr>
              <w:pStyle w:val="Compact"/>
              <w:spacing w:after="0" w:before="0" w:line="240" w:lineRule="auto"/>
              <w:jc w:val="center"/>
            </w:pPr>
            <w:r>
              <w:rPr>
                <w:b/>
                <w:sz w:val="16"/>
              </w:rPr>
              <w:t xml:space="preserve">TRFS</w:t>
            </w:r>
          </w:p>
        </w:tc>
        <w:tc>
          <w:tcPr>
            <w:tcBorders>
              <w:bottom w:val="single" w:sz="6" w:space="0" w:color="000000"/>
            </w:tcBorders>
          </w:tcPr>
          <w:p>
            <w:pPr>
              <w:pStyle w:val="Compact"/>
              <w:spacing w:after="0" w:before="0" w:line="240" w:lineRule="auto"/>
              <w:jc w:val="right"/>
            </w:pPr>
            <w:r>
              <w:rPr>
                <w:b/>
                <w:sz w:val="16"/>
              </w:rPr>
              <w:t xml:space="preserve">#</w:t>
            </w:r>
          </w:p>
        </w:tc>
        <w:tc>
          <w:tcPr>
            <w:tcBorders>
              <w:bottom w:val="single" w:sz="6" w:space="0" w:color="000000"/>
            </w:tcBorders>
          </w:tcPr>
          <w:p>
            <w:pPr>
              <w:pStyle w:val="Compact"/>
              <w:spacing w:after="0" w:before="0" w:line="240" w:lineRule="auto"/>
              <w:jc w:val="center"/>
            </w:pPr>
            <w:r>
              <w:rPr>
                <w:b/>
                <w:sz w:val="16"/>
              </w:rPr>
              <w:t xml:space="preserve">PC</w:t>
            </w:r>
          </w:p>
        </w:tc>
        <w:tc>
          <w:tcPr>
            <w:tcBorders>
              <w:bottom w:val="single" w:sz="6" w:space="0" w:color="000000"/>
            </w:tcBorders>
          </w:tcPr>
          <w:p>
            <w:pPr>
              <w:pStyle w:val="Compact"/>
              <w:spacing w:after="0" w:before="0" w:line="240" w:lineRule="auto"/>
              <w:jc w:val="center"/>
            </w:pPr>
            <w:r>
              <w:rPr>
                <w:b/>
                <w:sz w:val="16"/>
              </w:rPr>
              <w:t xml:space="preserve">IQ</w:t>
            </w:r>
          </w:p>
        </w:tc>
        <w:tc>
          <w:tcPr>
            <w:tcBorders>
              <w:bottom w:val="single" w:sz="6" w:space="0" w:color="000000"/>
            </w:tcBorders>
          </w:tcPr>
          <w:p>
            <w:pPr>
              <w:pStyle w:val="Compact"/>
              <w:spacing w:after="0" w:before="0" w:line="240" w:lineRule="auto"/>
              <w:jc w:val="center"/>
            </w:pPr>
            <w:r>
              <w:rPr>
                <w:b/>
                <w:sz w:val="16"/>
              </w:rPr>
              <w:t xml:space="preserve">TW</w:t>
            </w:r>
          </w:p>
        </w:tc>
        <w:tc>
          <w:tcPr>
            <w:tcBorders>
              <w:bottom w:val="single" w:sz="6" w:space="0" w:color="000000"/>
            </w:tcBorders>
          </w:tcPr>
          <w:p>
            <w:pPr>
              <w:pStyle w:val="Compact"/>
              <w:spacing w:after="0" w:before="0" w:line="240" w:lineRule="auto"/>
              <w:jc w:val="center"/>
            </w:pPr>
            <w:r>
              <w:rPr>
                <w:b/>
                <w:sz w:val="16"/>
              </w:rPr>
              <w:t xml:space="preserve">TRFS</w:t>
            </w:r>
          </w:p>
        </w:tc>
      </w:tr>
      <w:tr>
        <w:tc>
          <w:tcPr/>
          <w:p>
            <w:pPr>
              <w:pStyle w:val="Compact"/>
              <w:spacing w:after="0" w:before="0" w:line="240" w:lineRule="auto"/>
              <w:jc w:val="right"/>
            </w:pPr>
            <w:r>
              <w:rPr>
                <w:sz w:val="16"/>
              </w:rPr>
              <w:t xml:space="preserve">1</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10</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19</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r>
      <w:tr>
        <w:tc>
          <w:tcPr/>
          <w:p>
            <w:pPr>
              <w:pStyle w:val="Compact"/>
              <w:spacing w:after="0" w:before="0" w:line="240" w:lineRule="auto"/>
              <w:jc w:val="right"/>
            </w:pPr>
            <w:r>
              <w:rPr>
                <w:sz w:val="16"/>
              </w:rPr>
              <w:t xml:space="preserve">2</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11</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20</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r>
      <w:tr>
        <w:tc>
          <w:tcPr/>
          <w:p>
            <w:pPr>
              <w:pStyle w:val="Compact"/>
              <w:spacing w:after="0" w:before="0" w:line="240" w:lineRule="auto"/>
              <w:jc w:val="right"/>
            </w:pPr>
            <w:r>
              <w:rPr>
                <w:sz w:val="16"/>
              </w:rPr>
              <w:t xml:space="preserve">3</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12</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21</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r>
      <w:tr>
        <w:tc>
          <w:tcPr/>
          <w:p>
            <w:pPr>
              <w:pStyle w:val="Compact"/>
              <w:spacing w:after="0" w:before="0" w:line="240" w:lineRule="auto"/>
              <w:jc w:val="right"/>
            </w:pPr>
            <w:r>
              <w:rPr>
                <w:sz w:val="16"/>
              </w:rPr>
              <w:t xml:space="preserve">4</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13</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22</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r>
      <w:tr>
        <w:tc>
          <w:tcPr/>
          <w:p>
            <w:pPr>
              <w:pStyle w:val="Compact"/>
              <w:spacing w:after="0" w:before="0" w:line="240" w:lineRule="auto"/>
              <w:jc w:val="right"/>
            </w:pPr>
            <w:r>
              <w:rPr>
                <w:sz w:val="16"/>
              </w:rPr>
              <w:t xml:space="preserve">5</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14</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23</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r>
      <w:tr>
        <w:tc>
          <w:tcPr/>
          <w:p>
            <w:pPr>
              <w:pStyle w:val="Compact"/>
              <w:spacing w:after="0" w:before="0" w:line="240" w:lineRule="auto"/>
              <w:jc w:val="right"/>
            </w:pPr>
            <w:r>
              <w:rPr>
                <w:sz w:val="16"/>
              </w:rPr>
              <w:t xml:space="preserve">6</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15</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24</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r>
      <w:tr>
        <w:tc>
          <w:tcPr/>
          <w:p>
            <w:pPr>
              <w:pStyle w:val="Compact"/>
              <w:spacing w:after="0" w:before="0" w:line="240" w:lineRule="auto"/>
              <w:jc w:val="right"/>
            </w:pPr>
            <w:r>
              <w:rPr>
                <w:sz w:val="16"/>
              </w:rPr>
              <w:t xml:space="preserve">7</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16</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c>
          <w:tcPr/>
          <w:p>
            <w:pPr>
              <w:pStyle w:val="Compact"/>
              <w:spacing w:after="0" w:before="0" w:line="240" w:lineRule="auto"/>
              <w:jc w:val="right"/>
            </w:pPr>
            <w:r>
              <w:rPr>
                <w:sz w:val="16"/>
              </w:rPr>
              <w:t xml:space="preserve">25</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L</w:t>
            </w:r>
          </w:p>
        </w:tc>
      </w:tr>
      <w:tr>
        <w:tc>
          <w:tcPr/>
          <w:p>
            <w:pPr>
              <w:pStyle w:val="Compact"/>
              <w:spacing w:after="0" w:before="0" w:line="240" w:lineRule="auto"/>
              <w:jc w:val="right"/>
            </w:pPr>
            <w:r>
              <w:rPr>
                <w:sz w:val="16"/>
              </w:rPr>
              <w:t xml:space="preserve">8</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17</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26</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r>
      <w:tr>
        <w:tc>
          <w:tcPr/>
          <w:p>
            <w:pPr>
              <w:pStyle w:val="Compact"/>
              <w:spacing w:after="0" w:before="0" w:line="240" w:lineRule="auto"/>
              <w:jc w:val="right"/>
            </w:pPr>
            <w:r>
              <w:rPr>
                <w:sz w:val="16"/>
              </w:rPr>
              <w:t xml:space="preserve">9</w:t>
            </w:r>
          </w:p>
        </w:tc>
        <w:tc>
          <w:tcPr/>
          <w:p>
            <w:pPr>
              <w:pStyle w:val="Compact"/>
              <w:spacing w:after="0" w:before="0" w:line="240" w:lineRule="auto"/>
              <w:jc w:val="center"/>
            </w:pPr>
            <w:r>
              <w:rPr>
                <w:sz w:val="16"/>
              </w:rPr>
              <w:t xml:space="preserve">L</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18</w:t>
            </w:r>
          </w:p>
        </w:tc>
        <w:tc>
          <w:tcPr/>
          <w:p>
            <w:pPr>
              <w:pStyle w:val="Compact"/>
              <w:spacing w:after="0" w:before="0" w:line="240" w:lineRule="auto"/>
              <w:jc w:val="center"/>
            </w:pPr>
            <w:r>
              <w:rPr>
                <w:sz w:val="16"/>
              </w:rPr>
              <w:t xml:space="preserve">M</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M</w:t>
            </w:r>
          </w:p>
        </w:tc>
        <w:tc>
          <w:tcPr/>
          <w:p>
            <w:pPr>
              <w:pStyle w:val="Compact"/>
              <w:spacing w:after="0" w:before="0" w:line="240" w:lineRule="auto"/>
              <w:jc w:val="right"/>
            </w:pPr>
            <w:r>
              <w:rPr>
                <w:sz w:val="16"/>
              </w:rPr>
              <w:t xml:space="preserve">27</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c>
          <w:tcPr/>
          <w:p>
            <w:pPr>
              <w:pStyle w:val="Compact"/>
              <w:spacing w:after="0" w:before="0" w:line="240" w:lineRule="auto"/>
              <w:jc w:val="center"/>
            </w:pPr>
            <w:r>
              <w:rPr>
                <w:sz w:val="16"/>
              </w:rPr>
              <w:t xml:space="preserve">H</w:t>
            </w:r>
          </w:p>
        </w:tc>
      </w:tr>
    </w:tbl>
    <w:bookmarkEnd w:id="48"/>
    <w:bookmarkStart w:id="49" w:name="inference-and-defuzzification"/>
    <w:p>
      <w:pPr>
        <w:pStyle w:val="Heading3"/>
      </w:pPr>
      <w:r>
        <w:t xml:space="preserve">Inference and defuzzification</w:t>
      </w:r>
    </w:p>
    <w:p>
      <w:pPr>
        <w:pStyle w:val="FirstParagraph"/>
      </w:pPr>
      <w:r>
        <w:t xml:space="preserve">For a respondent with inputs</w:t>
      </w:r>
      <w:r>
        <w:t xml:space="preserve"> </w:t>
      </w:r>
      <m:oMath>
        <m:r>
          <m:rPr>
            <m:sty m:val="b"/>
          </m:rPr>
          <m:t>x</m:t>
        </m:r>
      </m:oMath>
      <w:r>
        <w:t xml:space="preserve">, the firing strength of rule</w:t>
      </w:r>
      <w:r>
        <w:t xml:space="preserve"> </w:t>
      </w:r>
      <m:oMath>
        <m:r>
          <m:t>r</m:t>
        </m:r>
      </m:oMath>
      <w:r>
        <w:t xml:space="preserve"> </w:t>
      </w:r>
      <w:r>
        <w:t xml:space="preserve">is</w:t>
      </w:r>
      <w:r>
        <w:t xml:space="preserve"> </w:t>
      </w:r>
      <m:oMath>
        <m:sSub>
          <m:e>
            <m:r>
              <m:t>w</m:t>
            </m:r>
          </m:e>
          <m:sub>
            <m:r>
              <m:t>r</m:t>
            </m:r>
          </m:sub>
        </m:sSub>
        <m:r>
          <m:rPr>
            <m:sty m:val="p"/>
          </m:rPr>
          <m:t>=</m:t>
        </m:r>
        <m:sSub>
          <m:e>
            <m:r>
              <m:rPr>
                <m:sty m:val="p"/>
              </m:rPr>
              <m:t>min</m:t>
            </m:r>
          </m:e>
          <m:sub>
            <m:r>
              <m:t>j</m:t>
            </m:r>
          </m:sub>
        </m:sSub>
        <m:sSub>
          <m:e>
            <m:r>
              <m:t>μ</m:t>
            </m:r>
          </m:e>
          <m:sub>
            <m:sSub>
              <m:e>
                <m:r>
                  <m:t>A</m:t>
                </m:r>
              </m:e>
              <m:sub>
                <m:r>
                  <m:t>r</m:t>
                </m:r>
                <m:r>
                  <m:t>j</m:t>
                </m:r>
              </m:sub>
            </m:sSub>
          </m:sub>
        </m:sSub>
        <m:d>
          <m:dPr>
            <m:begChr m:val="("/>
            <m:endChr m:val=")"/>
            <m:sepChr m:val=""/>
            <m:grow/>
          </m:dPr>
          <m:e>
            <m:sSub>
              <m:e>
                <m:r>
                  <m:t>x</m:t>
                </m:r>
              </m:e>
              <m:sub>
                <m:r>
                  <m:t>j</m:t>
                </m:r>
              </m:sub>
            </m:sSub>
          </m:e>
        </m:d>
      </m:oMath>
      <w:r>
        <w:t xml:space="preserve">. The aggregated output set is</w:t>
      </w:r>
      <w:r>
        <w:t xml:space="preserve"> </w:t>
      </w:r>
      <m:oMath>
        <m:r>
          <m:t>μ</m:t>
        </m:r>
        <m:d>
          <m:dPr>
            <m:begChr m:val="("/>
            <m:endChr m:val=")"/>
            <m:sepChr m:val=""/>
            <m:grow/>
          </m:dPr>
          <m:e>
            <m:r>
              <m:t>y</m:t>
            </m:r>
          </m:e>
        </m:d>
        <m:r>
          <m:rPr>
            <m:sty m:val="p"/>
          </m:rPr>
          <m:t>=</m:t>
        </m:r>
        <m:sSub>
          <m:e>
            <m:r>
              <m:rPr>
                <m:sty m:val="p"/>
              </m:rPr>
              <m:t>max</m:t>
            </m:r>
          </m:e>
          <m:sub>
            <m:r>
              <m:t>r</m:t>
            </m:r>
          </m:sub>
        </m:sSub>
        <m:r>
          <m:rPr>
            <m:sty m:val="p"/>
          </m:rPr>
          <m:t>min</m:t>
        </m:r>
        <m:r>
          <m:rPr>
            <m:sty m:val="p"/>
          </m:rPr>
          <m:t>{</m:t>
        </m:r>
        <m:sSub>
          <m:e>
            <m:r>
              <m:t>w</m:t>
            </m:r>
          </m:e>
          <m:sub>
            <m:r>
              <m:t>r</m:t>
            </m:r>
          </m:sub>
        </m:sSub>
        <m:r>
          <m:rPr>
            <m:sty m:val="p"/>
          </m:rPr>
          <m:t>,</m:t>
        </m:r>
        <m:sSub>
          <m:e>
            <m:r>
              <m:t>μ</m:t>
            </m:r>
          </m:e>
          <m:sub>
            <m:sSub>
              <m:e>
                <m:r>
                  <m:t>B</m:t>
                </m:r>
              </m:e>
              <m:sub>
                <m:r>
                  <m:t>r</m:t>
                </m:r>
              </m:sub>
            </m:sSub>
          </m:sub>
        </m:sSub>
        <m:d>
          <m:dPr>
            <m:begChr m:val="("/>
            <m:endChr m:val=")"/>
            <m:sepChr m:val=""/>
            <m:grow/>
          </m:dPr>
          <m:e>
            <m:r>
              <m:t>y</m:t>
            </m:r>
          </m:e>
        </m:d>
        <m:r>
          <m:rPr>
            <m:sty m:val="p"/>
          </m:rPr>
          <m:t>}</m:t>
        </m:r>
      </m:oMath>
      <w:r>
        <w:t xml:space="preserve">, and the crisp output is its centroid</w:t>
      </w:r>
    </w:p>
    <w:p>
      <w:pPr>
        <w:pStyle w:val="BodyText"/>
      </w:pPr>
      <m:oMathPara>
        <m:oMathParaPr>
          <m:jc m:val="center"/>
        </m:oMathParaPr>
        <m:oMath>
          <m:r>
            <m:rPr>
              <m:sty m:val="p"/>
            </m:rPr>
            <m:t>T</m:t>
          </m:r>
          <m:r>
            <m:rPr>
              <m:sty m:val="p"/>
            </m:rPr>
            <m:t>R</m:t>
          </m:r>
          <m:r>
            <m:rPr>
              <m:sty m:val="p"/>
            </m:rPr>
            <m:t>F</m:t>
          </m:r>
          <m:r>
            <m:rPr>
              <m:sty m:val="p"/>
            </m:rPr>
            <m:t>S</m:t>
          </m:r>
          <m:r>
            <m:rPr>
              <m:sty m:val="p"/>
            </m:rPr>
            <m:t>=</m:t>
          </m:r>
          <m:f>
            <m:fPr>
              <m:type m:val="bar"/>
            </m:fPr>
            <m:num>
              <m:nary>
                <m:naryPr>
                  <m:chr m:val="∫"/>
                  <m:limLoc m:val="subSup"/>
                  <m:subHide m:val="off"/>
                  <m:supHide m:val="off"/>
                </m:naryPr>
                <m:sub>
                  <m:r>
                    <m:t>0</m:t>
                  </m:r>
                </m:sub>
                <m:sup>
                  <m:r>
                    <m:t>100</m:t>
                  </m:r>
                </m:sup>
                <m:e>
                  <m:r>
                    <m:t>y</m:t>
                  </m:r>
                </m:e>
              </m:nary>
              <m:r>
                <m:t> </m:t>
              </m:r>
              <m:r>
                <m:t>μ</m:t>
              </m:r>
              <m:d>
                <m:dPr>
                  <m:begChr m:val="("/>
                  <m:endChr m:val=")"/>
                  <m:sepChr m:val=""/>
                  <m:grow/>
                </m:dPr>
                <m:e>
                  <m:r>
                    <m:t>y</m:t>
                  </m:r>
                </m:e>
              </m:d>
              <m:r>
                <m:t> </m:t>
              </m:r>
              <m:r>
                <m:t>d</m:t>
              </m:r>
              <m:r>
                <m:t>y</m:t>
              </m:r>
            </m:num>
            <m:den>
              <m:nary>
                <m:naryPr>
                  <m:chr m:val="∫"/>
                  <m:limLoc m:val="subSup"/>
                  <m:subHide m:val="off"/>
                  <m:supHide m:val="off"/>
                </m:naryPr>
                <m:sub>
                  <m:r>
                    <m:t>0</m:t>
                  </m:r>
                </m:sub>
                <m:sup>
                  <m:r>
                    <m:t>100</m:t>
                  </m:r>
                </m:sup>
                <m:e>
                  <m:r>
                    <m:t>μ</m:t>
                  </m:r>
                </m:e>
              </m:nary>
              <m:d>
                <m:dPr>
                  <m:begChr m:val="("/>
                  <m:endChr m:val=")"/>
                  <m:sepChr m:val=""/>
                  <m:grow/>
                </m:dPr>
                <m:e>
                  <m:r>
                    <m:t>y</m:t>
                  </m:r>
                </m:e>
              </m:d>
              <m:r>
                <m:t> </m:t>
              </m:r>
              <m:r>
                <m:t>d</m:t>
              </m:r>
              <m:r>
                <m:t>y</m:t>
              </m:r>
            </m:den>
          </m:f>
          <m:r>
            <m:rPr>
              <m:sty m:val="p"/>
            </m:rPr>
            <m:t>,</m:t>
          </m:r>
          <m:r>
            <m:t>  </m:t>
          </m:r>
          <m:r>
            <m:t>  </m:t>
          </m:r>
          <m:d>
            <m:dPr>
              <m:begChr m:val="("/>
              <m:endChr m:val=")"/>
              <m:sepChr m:val=""/>
              <m:grow/>
            </m:dPr>
            <m:e>
              <m:r>
                <m:t>6</m:t>
              </m:r>
            </m:e>
          </m:d>
        </m:oMath>
      </m:oMathPara>
    </w:p>
    <w:p>
      <w:pPr>
        <w:pStyle w:val="FirstParagraph"/>
      </w:pPr>
      <w:r>
        <w:t xml:space="preserve">evaluated on a 201-point grid</w:t>
      </w:r>
      <w:r>
        <w:t xml:space="preserve"> </w:t>
      </w:r>
      <w:r>
        <w:t xml:space="preserve">(Mamdani and Assilian 1975; Ross 2010)</w:t>
      </w:r>
      <w:r>
        <w:t xml:space="preserve">. The intermediate outputs of FIS</w:t>
      </w:r>
      <m:oMath>
        <m:sSub>
          <m:e>
            <m:r>
              <m:t>​</m:t>
            </m:r>
          </m:e>
          <m:sub>
            <m:r>
              <m:t>1</m:t>
            </m:r>
            <m:r>
              <m:rPr>
                <m:nor/>
                <m:sty m:val="p"/>
              </m:rPr>
              <m:t>–</m:t>
            </m:r>
            <m:r>
              <m:t>3</m:t>
            </m:r>
          </m:sub>
        </m:sSub>
      </m:oMath>
      <w:r>
        <w:t xml:space="preserve"> </w:t>
      </w:r>
      <w:r>
        <w:t xml:space="preserve">are fed to FIS</w:t>
      </w:r>
      <m:oMath>
        <m:sSub>
          <m:e>
            <m:r>
              <m:t>​</m:t>
            </m:r>
          </m:e>
          <m:sub>
            <m:r>
              <m:t>4</m:t>
            </m:r>
          </m:sub>
        </m:sSub>
      </m:oMath>
      <w:r>
        <w:t xml:space="preserve"> </w:t>
      </w:r>
      <w:r>
        <w:t xml:space="preserve">as crisp values. The system is implemented in vectorised NumPy; scoring all respondents takes less than one second.</w:t>
      </w:r>
    </w:p>
    <w:bookmarkEnd w:id="49"/>
    <w:bookmarkStart w:id="50" w:name="decision-categories"/>
    <w:p>
      <w:pPr>
        <w:pStyle w:val="Heading3"/>
      </w:pPr>
      <w:r>
        <w:t xml:space="preserve">Decision categories</w:t>
      </w:r>
    </w:p>
    <w:p>
      <w:pPr>
        <w:pStyle w:val="FirstParagraph"/>
      </w:pPr>
      <w:r>
        <w:t xml:space="preserve">The crossover points of the output terms define the three categories of the original proposal:</w:t>
      </w:r>
      <w:r>
        <w:t xml:space="preserve"> </w:t>
      </w:r>
      <w:r>
        <w:rPr>
          <w:iCs/>
          <w:i/>
        </w:rPr>
        <w:t xml:space="preserve">full AI replacement</w:t>
      </w:r>
      <w:r>
        <w:t xml:space="preserve"> </w:t>
      </w:r>
      <w:r>
        <w:t xml:space="preserve">(TRFS </w:t>
      </w:r>
      <m:oMath>
        <m:r>
          <m:rPr>
            <m:sty m:val="p"/>
          </m:rPr>
          <m:t>≥</m:t>
        </m:r>
        <m:r>
          <m:t>65</m:t>
        </m:r>
      </m:oMath>
      <w:r>
        <w:t xml:space="preserve">),</w:t>
      </w:r>
      <w:r>
        <w:t xml:space="preserve"> </w:t>
      </w:r>
      <w:r>
        <w:rPr>
          <w:iCs/>
          <w:i/>
        </w:rPr>
        <w:t xml:space="preserve">partial AI assistance</w:t>
      </w:r>
      <w:r>
        <w:t xml:space="preserve"> </w:t>
      </w:r>
      <w:r>
        <w:t xml:space="preserve">(</w:t>
      </w:r>
      <m:oMath>
        <m:r>
          <m:t>35</m:t>
        </m:r>
        <m:r>
          <m:rPr>
            <m:sty m:val="p"/>
          </m:rPr>
          <m:t>≤</m:t>
        </m:r>
      </m:oMath>
      <w:r>
        <w:t xml:space="preserve"> TRFS </w:t>
      </w:r>
      <m:oMath>
        <m:r>
          <m:rPr>
            <m:sty m:val="p"/>
          </m:rPr>
          <m:t>&lt;</m:t>
        </m:r>
        <m:r>
          <m:t>65</m:t>
        </m:r>
      </m:oMath>
      <w:r>
        <w:t xml:space="preserve">) and</w:t>
      </w:r>
      <w:r>
        <w:t xml:space="preserve"> </w:t>
      </w:r>
      <w:r>
        <w:rPr>
          <w:iCs/>
          <w:i/>
        </w:rPr>
        <w:t xml:space="preserve">human involvement required</w:t>
      </w:r>
      <w:r>
        <w:t xml:space="preserve"> </w:t>
      </w:r>
      <w:r>
        <w:t xml:space="preserve">(TRFS </w:t>
      </w:r>
      <m:oMath>
        <m:r>
          <m:rPr>
            <m:sty m:val="p"/>
          </m:rPr>
          <m:t>&lt;</m:t>
        </m:r>
        <m:r>
          <m:t>35</m:t>
        </m:r>
      </m:oMath>
      <w:r>
        <w:t xml:space="preserve">). The thresholds were fixed before the data were analysed.</w:t>
      </w:r>
    </w:p>
    <w:bookmarkEnd w:id="50"/>
    <w:bookmarkEnd w:id="51"/>
    <w:bookmarkStart w:id="52" w:name="activity-level-fuzzy-system"/>
    <w:p>
      <w:pPr>
        <w:pStyle w:val="Heading2"/>
      </w:pPr>
      <w:r>
        <w:rPr>
          <w:rStyle w:val="SectionNumber"/>
        </w:rPr>
        <w:t xml:space="preserve">4.6</w:t>
      </w:r>
      <w:r>
        <w:tab/>
      </w:r>
      <w:r>
        <w:t xml:space="preserve">Activity-level fuzzy system</w:t>
      </w:r>
    </w:p>
    <w:p>
      <w:pPr>
        <w:pStyle w:val="FirstParagraph"/>
      </w:pPr>
      <w:r>
        <w:t xml:space="preserve">For activity</w:t>
      </w:r>
      <w:r>
        <w:t xml:space="preserve"> </w:t>
      </w:r>
      <m:oMath>
        <m:r>
          <m:t>k</m:t>
        </m:r>
      </m:oMath>
      <w:r>
        <w:t xml:space="preserve"> </w:t>
      </w:r>
      <w:r>
        <w:t xml:space="preserve">we define</w:t>
      </w:r>
      <w:r>
        <w:t xml:space="preserve"> </w:t>
      </w:r>
      <m:oMath>
        <m:sSub>
          <m:e>
            <m:r>
              <m:rPr>
                <m:sty m:val="p"/>
              </m:rPr>
              <m:t>C</m:t>
            </m:r>
            <m:r>
              <m:rPr>
                <m:sty m:val="p"/>
              </m:rPr>
              <m:t>a</m:t>
            </m:r>
            <m:r>
              <m:rPr>
                <m:sty m:val="p"/>
              </m:rPr>
              <m:t>p</m:t>
            </m:r>
          </m:e>
          <m:sub>
            <m:r>
              <m:t>k</m:t>
            </m:r>
          </m:sub>
        </m:sSub>
      </m:oMath>
      <w:r>
        <w:t xml:space="preserve"> </w:t>
      </w:r>
      <w:r>
        <w:t xml:space="preserve">as the mean of its items. The activity FIS computes</w:t>
      </w:r>
      <w:r>
        <w:t xml:space="preserve"> </w:t>
      </w:r>
      <m:oMath>
        <m:sSub>
          <m:e>
            <m:r>
              <m:rPr>
                <m:sty m:val="p"/>
              </m:rPr>
              <m:t>T</m:t>
            </m:r>
            <m:r>
              <m:rPr>
                <m:sty m:val="p"/>
              </m:rPr>
              <m:t>R</m:t>
            </m:r>
            <m:r>
              <m:rPr>
                <m:sty m:val="p"/>
              </m:rPr>
              <m:t>F</m:t>
            </m:r>
            <m:r>
              <m:rPr>
                <m:sty m:val="p"/>
              </m:rPr>
              <m:t>S</m:t>
            </m:r>
          </m:e>
          <m:sub>
            <m:r>
              <m:t>k</m:t>
            </m:r>
          </m:sub>
        </m:sSub>
        <m:r>
          <m:rPr>
            <m:sty m:val="p"/>
          </m:rPr>
          <m:t>=</m:t>
        </m:r>
        <m:r>
          <m:t>f</m:t>
        </m:r>
        <m:d>
          <m:dPr>
            <m:begChr m:val="("/>
            <m:endChr m:val=")"/>
            <m:sepChr m:val=""/>
            <m:grow/>
          </m:dPr>
          <m:e>
            <m:sSub>
              <m:e>
                <m:r>
                  <m:rPr>
                    <m:sty m:val="p"/>
                  </m:rPr>
                  <m:t>C</m:t>
                </m:r>
                <m:r>
                  <m:rPr>
                    <m:sty m:val="p"/>
                  </m:rPr>
                  <m:t>a</m:t>
                </m:r>
                <m:r>
                  <m:rPr>
                    <m:sty m:val="p"/>
                  </m:rPr>
                  <m:t>p</m:t>
                </m:r>
              </m:e>
              <m:sub>
                <m:r>
                  <m:t>k</m:t>
                </m:r>
              </m:sub>
            </m:sSub>
            <m:r>
              <m:rPr>
                <m:sty m:val="p"/>
              </m:rPr>
              <m:t>,</m:t>
            </m:r>
            <m:r>
              <m:rPr>
                <m:sty m:val="p"/>
              </m:rPr>
              <m:t>R</m:t>
            </m:r>
            <m:r>
              <m:rPr>
                <m:sty m:val="p"/>
              </m:rPr>
              <m:t>,</m:t>
            </m:r>
            <m:r>
              <m:rPr>
                <m:sty m:val="p"/>
              </m:rPr>
              <m:t>E</m:t>
            </m:r>
          </m:e>
        </m:d>
      </m:oMath>
      <w:r>
        <w:t xml:space="preserve"> </w:t>
      </w:r>
      <w:r>
        <w:t xml:space="preserve">with the same membership functions. Its 27 rules mirror the proposal (Rule 1: capability and reliability High</w:t>
      </w:r>
      <w:r>
        <w:t xml:space="preserve"> </w:t>
      </w:r>
      <m:oMath>
        <m:r>
          <m:rPr>
            <m:sty m:val="p"/>
          </m:rPr>
          <m:t>⇒</m:t>
        </m:r>
      </m:oMath>
      <w:r>
        <w:t xml:space="preserve"> </w:t>
      </w:r>
      <w:r>
        <w:t xml:space="preserve">High; Rule 3: capability or reliability Low</w:t>
      </w:r>
      <w:r>
        <w:t xml:space="preserve"> </w:t>
      </w:r>
      <m:oMath>
        <m:r>
          <m:rPr>
            <m:sty m:val="p"/>
          </m:rPr>
          <m:t>⇒</m:t>
        </m:r>
      </m:oMath>
      <w:r>
        <w:t xml:space="preserve"> </w:t>
      </w:r>
      <w:r>
        <w:t xml:space="preserve">Low). Otherwise the consequent is the weighted level mean</w:t>
      </w:r>
      <w:r>
        <w:t xml:space="preserve"> </w:t>
      </w:r>
      <m:oMath>
        <m:d>
          <m:dPr>
            <m:begChr m:val="("/>
            <m:endChr m:val=")"/>
            <m:sepChr m:val=""/>
            <m:grow/>
          </m:dPr>
          <m:e>
            <m:r>
              <m:t>2</m:t>
            </m:r>
            <m:sSub>
              <m:e>
                <m:r>
                  <m:rPr>
                    <m:sty m:val="p"/>
                  </m:rPr>
                  <m:t>ℓ</m:t>
                </m:r>
              </m:e>
              <m:sub>
                <m:r>
                  <m:rPr>
                    <m:sty m:val="p"/>
                  </m:rPr>
                  <m:t>C</m:t>
                </m:r>
                <m:r>
                  <m:rPr>
                    <m:sty m:val="p"/>
                  </m:rPr>
                  <m:t>a</m:t>
                </m:r>
                <m:r>
                  <m:rPr>
                    <m:sty m:val="p"/>
                  </m:rPr>
                  <m:t>p</m:t>
                </m:r>
              </m:sub>
            </m:sSub>
            <m:r>
              <m:rPr>
                <m:sty m:val="p"/>
              </m:rPr>
              <m:t>+</m:t>
            </m:r>
            <m:sSub>
              <m:e>
                <m:r>
                  <m:rPr>
                    <m:sty m:val="p"/>
                  </m:rPr>
                  <m:t>ℓ</m:t>
                </m:r>
              </m:e>
              <m:sub>
                <m:r>
                  <m:rPr>
                    <m:sty m:val="p"/>
                  </m:rPr>
                  <m:t>R</m:t>
                </m:r>
              </m:sub>
            </m:sSub>
            <m:r>
              <m:rPr>
                <m:sty m:val="p"/>
              </m:rPr>
              <m:t>+</m:t>
            </m:r>
            <m:sSub>
              <m:e>
                <m:r>
                  <m:rPr>
                    <m:sty m:val="p"/>
                  </m:rPr>
                  <m:t>ℓ</m:t>
                </m:r>
              </m:e>
              <m:sub>
                <m:r>
                  <m:rPr>
                    <m:sty m:val="p"/>
                  </m:rPr>
                  <m:t>E</m:t>
                </m:r>
              </m:sub>
            </m:sSub>
          </m:e>
        </m:d>
        <m:r>
          <m:rPr>
            <m:sty m:val="p"/>
          </m:rPr>
          <m:t>/</m:t>
        </m:r>
        <m:r>
          <m:t>4</m:t>
        </m:r>
      </m:oMath>
      <w:r>
        <w:t xml:space="preserve">. Each activity is classified by its mean score; we also report the share of respondents in each category and bootstrap 95% confidence intervals</w:t>
      </w:r>
      <w:r>
        <w:t xml:space="preserve"> </w:t>
      </w:r>
      <w:r>
        <w:t xml:space="preserve">(2000 resamples; Efron and Tibshirani 1993)</w:t>
      </w:r>
      <w:r>
        <w:t xml:space="preserve">. Differences between activities were tested with the Friedman test</w:t>
      </w:r>
      <w:r>
        <w:t xml:space="preserve"> </w:t>
      </w:r>
      <w:r>
        <w:t xml:space="preserve">(M. Friedman 1937)</w:t>
      </w:r>
      <w:r>
        <w:t xml:space="preserve">, with Kendall’s</w:t>
      </w:r>
      <w:r>
        <w:t xml:space="preserve"> </w:t>
      </w:r>
      <m:oMath>
        <m:r>
          <m:t>W</m:t>
        </m:r>
      </m:oMath>
      <w:r>
        <w:t xml:space="preserve"> </w:t>
      </w:r>
      <w:r>
        <w:t xml:space="preserve">as effect size. Adjacent activities in the ranking were compared with Wilcoxon signed-rank tests, using Holm-adjusted</w:t>
      </w:r>
      <w:r>
        <w:t xml:space="preserve"> </w:t>
      </w:r>
      <m:oMath>
        <m:r>
          <m:t>p</m:t>
        </m:r>
      </m:oMath>
      <w:r>
        <w:t xml:space="preserve">-values</w:t>
      </w:r>
      <w:r>
        <w:t xml:space="preserve"> </w:t>
      </w:r>
      <w:r>
        <w:t xml:space="preserve">(Holm 1979)</w:t>
      </w:r>
      <w:r>
        <w:t xml:space="preserve"> </w:t>
      </w:r>
      <w:r>
        <w:t xml:space="preserve">and the matched-pairs rank-biserial correlation as effect size.</w:t>
      </w:r>
    </w:p>
    <w:bookmarkEnd w:id="52"/>
    <w:bookmarkStart w:id="53" w:name="neural-network-and-benchmark-models"/>
    <w:p>
      <w:pPr>
        <w:pStyle w:val="Heading2"/>
      </w:pPr>
      <w:r>
        <w:rPr>
          <w:rStyle w:val="SectionNumber"/>
        </w:rPr>
        <w:t xml:space="preserve">4.7</w:t>
      </w:r>
      <w:r>
        <w:tab/>
      </w:r>
      <w:r>
        <w:t xml:space="preserve">Neural network and benchmark models</w:t>
      </w:r>
    </w:p>
    <w:p>
      <w:pPr>
        <w:pStyle w:val="FirstParagraph"/>
      </w:pPr>
      <w:r>
        <w:t xml:space="preserve">The ANN is a multilayer perceptron</w:t>
      </w:r>
      <w:r>
        <w:t xml:space="preserve"> </w:t>
      </w:r>
      <w:r>
        <w:t xml:space="preserve">(Rumelhart, Hinton, and Williams 1986)</w:t>
      </w:r>
      <w:r>
        <w:t xml:space="preserve"> </w:t>
      </w:r>
      <w:r>
        <w:t xml:space="preserve">that maps the eight standardised factors to the TSI. It uses ReLU activations, Adam optimisation</w:t>
      </w:r>
      <w:r>
        <w:t xml:space="preserve"> </w:t>
      </w:r>
      <w:r>
        <w:t xml:space="preserve">(Kingma and Ba 2015)</w:t>
      </w:r>
      <w:r>
        <w:t xml:space="preserve">, mini-batches of 128, early stopping on a 15% validation split and L2 regularisation. Architecture (one hidden layer of 16 units, or two hidden layers of 32–16 or 64–32 units) and penalty (</w:t>
      </w:r>
      <m:oMath>
        <m:r>
          <m:t>α</m:t>
        </m:r>
        <m:r>
          <m:rPr>
            <m:sty m:val="p"/>
          </m:rPr>
          <m:t>∈</m:t>
        </m:r>
        <m:r>
          <m:rPr>
            <m:sty m:val="p"/>
          </m:rPr>
          <m:t>{</m:t>
        </m:r>
        <m:sSup>
          <m:e>
            <m:r>
              <m:t>10</m:t>
            </m:r>
          </m:e>
          <m:sup>
            <m:r>
              <m:rPr>
                <m:sty m:val="p"/>
              </m:rPr>
              <m:t>−</m:t>
            </m:r>
            <m:r>
              <m:t>4</m:t>
            </m:r>
          </m:sup>
        </m:sSup>
        <m:r>
          <m:rPr>
            <m:sty m:val="p"/>
          </m:rPr>
          <m:t>,</m:t>
        </m:r>
        <m:sSup>
          <m:e>
            <m:r>
              <m:t>10</m:t>
            </m:r>
          </m:e>
          <m:sup>
            <m:r>
              <m:rPr>
                <m:sty m:val="p"/>
              </m:rPr>
              <m:t>−</m:t>
            </m:r>
            <m:r>
              <m:t>2</m:t>
            </m:r>
          </m:sup>
        </m:sSup>
        <m:r>
          <m:rPr>
            <m:sty m:val="p"/>
          </m:rPr>
          <m:t>}</m:t>
        </m:r>
      </m:oMath>
      <w:r>
        <w:t xml:space="preserve">) were tuned by an inner 3-fold grid search within every outer training fold. This nested design keeps tuning separate from evaluation. We compared the ANN with:</w:t>
      </w:r>
      <w:r>
        <w:t xml:space="preserve"> </w:t>
      </w:r>
      <w:r>
        <w:t xml:space="preserve">(a) a</w:t>
      </w:r>
      <w:r>
        <w:t xml:space="preserve"> </w:t>
      </w:r>
      <w:r>
        <w:rPr>
          <w:iCs/>
          <w:i/>
        </w:rPr>
        <w:t xml:space="preserve">hybrid fuzzy–ANN</w:t>
      </w:r>
      <w:r>
        <w:t xml:space="preserve">, the same tuned MLP with the HFIS outputs (PC, IQ, TW, TRFS) as four additional inputs;</w:t>
      </w:r>
      <w:r>
        <w:t xml:space="preserve"> </w:t>
      </w:r>
      <w:r>
        <w:t xml:space="preserve">(b) ordinary least-squares</w:t>
      </w:r>
      <w:r>
        <w:t xml:space="preserve"> </w:t>
      </w:r>
      <w:r>
        <w:rPr>
          <w:iCs/>
          <w:i/>
        </w:rPr>
        <w:t xml:space="preserve">linear regression</w:t>
      </w:r>
      <w:r>
        <w:t xml:space="preserve">;</w:t>
      </w:r>
      <w:r>
        <w:t xml:space="preserve"> </w:t>
      </w:r>
      <w:r>
        <w:t xml:space="preserve">(c)</w:t>
      </w:r>
      <w:r>
        <w:t xml:space="preserve"> </w:t>
      </w:r>
      <w:r>
        <w:rPr>
          <w:iCs/>
          <w:i/>
        </w:rPr>
        <w:t xml:space="preserve">support vector regression</w:t>
      </w:r>
      <w:r>
        <w:t xml:space="preserve"> </w:t>
      </w:r>
      <w:r>
        <w:t xml:space="preserve">with an RBF kernel</w:t>
      </w:r>
      <w:r>
        <w:t xml:space="preserve"> </w:t>
      </w:r>
      <w:r>
        <w:t xml:space="preserve">(Smola and Schölkopf 2004)</w:t>
      </w:r>
      <w:r>
        <w:t xml:space="preserve">;</w:t>
      </w:r>
      <w:r>
        <w:t xml:space="preserve"> </w:t>
      </w:r>
      <w:r>
        <w:t xml:space="preserve">(d)</w:t>
      </w:r>
      <w:r>
        <w:t xml:space="preserve"> </w:t>
      </w:r>
      <w:r>
        <w:rPr>
          <w:iCs/>
          <w:i/>
        </w:rPr>
        <w:t xml:space="preserve">random forest</w:t>
      </w:r>
      <w:r>
        <w:t xml:space="preserve"> </w:t>
      </w:r>
      <w:r>
        <w:t xml:space="preserve">(Breiman 2001)</w:t>
      </w:r>
      <w:r>
        <w:t xml:space="preserve">;</w:t>
      </w:r>
      <w:r>
        <w:t xml:space="preserve"> </w:t>
      </w:r>
      <w:r>
        <w:t xml:space="preserve">(e)</w:t>
      </w:r>
      <w:r>
        <w:t xml:space="preserve"> </w:t>
      </w:r>
      <w:r>
        <w:rPr>
          <w:iCs/>
          <w:i/>
        </w:rPr>
        <w:t xml:space="preserve">gradient boosting</w:t>
      </w:r>
      <w:r>
        <w:t xml:space="preserve"> </w:t>
      </w:r>
      <w:r>
        <w:t xml:space="preserve">(J. H. Friedman 2001)</w:t>
      </w:r>
      <w:r>
        <w:t xml:space="preserve">; and</w:t>
      </w:r>
      <w:r>
        <w:t xml:space="preserve"> </w:t>
      </w:r>
      <w:r>
        <w:t xml:space="preserve">(f) the</w:t>
      </w:r>
      <w:r>
        <w:t xml:space="preserve"> </w:t>
      </w:r>
      <w:r>
        <w:rPr>
          <w:iCs/>
          <w:i/>
        </w:rPr>
        <w:t xml:space="preserve">calibrated fuzzy score</w:t>
      </w:r>
      <w:r>
        <w:t xml:space="preserve">, a one-parameter linear rescaling of the TRFS fitted on each training fold, which uses no other information from the TSI.</w:t>
      </w:r>
      <w:r>
        <w:t xml:space="preserve"> </w:t>
      </w:r>
      <w:r>
        <w:t xml:space="preserve">All models were evaluated by 10-fold cross-validation repeated 3 times (30 train/test splits) using MSE, RMSE, MAE and</w:t>
      </w:r>
      <w:r>
        <w:t xml:space="preserve"> </w:t>
      </w:r>
      <m:oMath>
        <m:sSup>
          <m:e>
            <m:r>
              <m:t>R</m:t>
            </m:r>
          </m:e>
          <m:sup>
            <m:r>
              <m:t>2</m:t>
            </m:r>
          </m:sup>
        </m:sSup>
      </m:oMath>
      <w:r>
        <w:t xml:space="preserve">. Because fold scores from repeated cross-validation are not independent, model differences were tested with the corrected resampled</w:t>
      </w:r>
      <w:r>
        <w:t xml:space="preserve"> </w:t>
      </w:r>
      <m:oMath>
        <m:r>
          <m:t>t</m:t>
        </m:r>
      </m:oMath>
      <w:r>
        <w:t xml:space="preserve">-test of</w:t>
      </w:r>
      <w:r>
        <w:t xml:space="preserve"> </w:t>
      </w:r>
      <w:r>
        <w:t xml:space="preserve">Nadeau and Bengio (2003)</w:t>
      </w:r>
      <w:r>
        <w:t xml:space="preserve">. To check whether the network can represent the expert system itself, we also trained an MLP to reproduce the TRFS from the eight factors (5-fold cross-validated fidelity).</w:t>
      </w:r>
    </w:p>
    <w:bookmarkEnd w:id="53"/>
    <w:bookmarkStart w:id="54" w:name="factor-importance"/>
    <w:p>
      <w:pPr>
        <w:pStyle w:val="Heading2"/>
      </w:pPr>
      <w:r>
        <w:rPr>
          <w:rStyle w:val="SectionNumber"/>
        </w:rPr>
        <w:t xml:space="preserve">4.8</w:t>
      </w:r>
      <w:r>
        <w:tab/>
      </w:r>
      <w:r>
        <w:t xml:space="preserve">Factor importance</w:t>
      </w:r>
    </w:p>
    <w:p>
      <w:pPr>
        <w:pStyle w:val="FirstParagraph"/>
      </w:pPr>
      <w:r>
        <w:t xml:space="preserve">RQ2 was examined from three complementary angles: (i) Spearman correlations of each factor with the TSI; (ii) permutation importance of the ANN, i.e. the drop in out-of-fold</w:t>
      </w:r>
      <w:r>
        <w:t xml:space="preserve"> </w:t>
      </w:r>
      <m:oMath>
        <m:sSup>
          <m:e>
            <m:r>
              <m:t>R</m:t>
            </m:r>
          </m:e>
          <m:sup>
            <m:r>
              <m:t>2</m:t>
            </m:r>
          </m:sup>
        </m:sSup>
      </m:oMath>
      <w:r>
        <w:t xml:space="preserve"> </w:t>
      </w:r>
      <w:r>
        <w:t xml:space="preserve">when a factor is randomly permuted (5 folds</w:t>
      </w:r>
      <w:r>
        <w:t xml:space="preserve"> </w:t>
      </w:r>
      <m:oMath>
        <m:r>
          <m:rPr>
            <m:sty m:val="p"/>
          </m:rPr>
          <m:t>×</m:t>
        </m:r>
      </m:oMath>
      <w:r>
        <w:t xml:space="preserve"> </w:t>
      </w:r>
      <w:r>
        <w:t xml:space="preserve">10 repeats); and (iii) the local sensitivity of the HFIS, i.e. the mean change in TRFS when a factor is increased by one standard deviation for every respondent.</w:t>
      </w:r>
    </w:p>
    <w:bookmarkEnd w:id="54"/>
    <w:bookmarkStart w:id="55" w:name="robustness-analysis"/>
    <w:p>
      <w:pPr>
        <w:pStyle w:val="Heading2"/>
      </w:pPr>
      <w:r>
        <w:rPr>
          <w:rStyle w:val="SectionNumber"/>
        </w:rPr>
        <w:t xml:space="preserve">4.9</w:t>
      </w:r>
      <w:r>
        <w:tab/>
      </w:r>
      <w:r>
        <w:t xml:space="preserve">Robustness analysis</w:t>
      </w:r>
    </w:p>
    <w:p>
      <w:pPr>
        <w:pStyle w:val="FirstParagraph"/>
      </w:pPr>
      <w:r>
        <w:t xml:space="preserve">Every fuzzy system depends on design choices. To test how much the activity ranking and classification depend on them, we drew 500 random configurations. Each draw shifted the input membership functions by</w:t>
      </w:r>
      <w:r>
        <w:t xml:space="preserve"> </w:t>
      </w:r>
      <m:oMath>
        <m:r>
          <m:t>U</m:t>
        </m:r>
        <m:d>
          <m:dPr>
            <m:begChr m:val="("/>
            <m:endChr m:val=")"/>
            <m:sepChr m:val=""/>
            <m:grow/>
          </m:dPr>
          <m:e>
            <m:r>
              <m:rPr>
                <m:sty m:val="p"/>
              </m:rPr>
              <m:t>−</m:t>
            </m:r>
            <m:r>
              <m:t>0.25</m:t>
            </m:r>
            <m:r>
              <m:rPr>
                <m:sty m:val="p"/>
              </m:rPr>
              <m:t>,</m:t>
            </m:r>
            <m:r>
              <m:t>0.25</m:t>
            </m:r>
          </m:e>
        </m:d>
      </m:oMath>
      <w:r>
        <w:t xml:space="preserve"> </w:t>
      </w:r>
      <w:r>
        <w:t xml:space="preserve">Likert points and changed their spread by</w:t>
      </w:r>
      <w:r>
        <w:t xml:space="preserve"> </w:t>
      </w:r>
      <m:oMath>
        <m:r>
          <m:t>U</m:t>
        </m:r>
        <m:d>
          <m:dPr>
            <m:begChr m:val="("/>
            <m:endChr m:val=")"/>
            <m:sepChr m:val=""/>
            <m:grow/>
          </m:dPr>
          <m:e>
            <m:r>
              <m:rPr>
                <m:sty m:val="p"/>
              </m:rPr>
              <m:t>−</m:t>
            </m:r>
            <m:r>
              <m:t>0.25</m:t>
            </m:r>
            <m:r>
              <m:rPr>
                <m:sty m:val="p"/>
              </m:rPr>
              <m:t>,</m:t>
            </m:r>
            <m:r>
              <m:t>0.25</m:t>
            </m:r>
          </m:e>
        </m:d>
      </m:oMath>
      <w:r>
        <w:t xml:space="preserve">; shifted the output sets by</w:t>
      </w:r>
      <w:r>
        <w:t xml:space="preserve"> </w:t>
      </w:r>
      <m:oMath>
        <m:r>
          <m:t>U</m:t>
        </m:r>
        <m:d>
          <m:dPr>
            <m:begChr m:val="("/>
            <m:endChr m:val=")"/>
            <m:sepChr m:val=""/>
            <m:grow/>
          </m:dPr>
          <m:e>
            <m:r>
              <m:rPr>
                <m:sty m:val="p"/>
              </m:rPr>
              <m:t>−</m:t>
            </m:r>
            <m:r>
              <m:t>5</m:t>
            </m:r>
            <m:r>
              <m:rPr>
                <m:sty m:val="p"/>
              </m:rPr>
              <m:t>,</m:t>
            </m:r>
            <m:r>
              <m:t>5</m:t>
            </m:r>
          </m:e>
        </m:d>
      </m:oMath>
      <w:r>
        <w:t xml:space="preserve"> </w:t>
      </w:r>
      <w:r>
        <w:t xml:space="preserve">points and changed their spread by</w:t>
      </w:r>
      <w:r>
        <w:t xml:space="preserve"> </w:t>
      </w:r>
      <m:oMath>
        <m:r>
          <m:t>U</m:t>
        </m:r>
        <m:d>
          <m:dPr>
            <m:begChr m:val="("/>
            <m:endChr m:val=")"/>
            <m:sepChr m:val=""/>
            <m:grow/>
          </m:dPr>
          <m:e>
            <m:r>
              <m:rPr>
                <m:sty m:val="p"/>
              </m:rPr>
              <m:t>−</m:t>
            </m:r>
            <m:r>
              <m:t>5</m:t>
            </m:r>
            <m:r>
              <m:rPr>
                <m:sty m:val="p"/>
              </m:rPr>
              <m:t>,</m:t>
            </m:r>
            <m:r>
              <m:t>5</m:t>
            </m:r>
          </m:e>
        </m:d>
      </m:oMath>
      <w:r>
        <w:t xml:space="preserve">; switched the tie-breaking rule (conservative vs. liberal rounding); and switched the t-norm (minimum vs. product). For each draw we recorded Kendall’s</w:t>
      </w:r>
      <w:r>
        <w:t xml:space="preserve"> </w:t>
      </w:r>
      <m:oMath>
        <m:r>
          <m:t>τ</m:t>
        </m:r>
      </m:oMath>
      <w:r>
        <w:t xml:space="preserve"> </w:t>
      </w:r>
      <w:r>
        <w:t xml:space="preserve">between the perturbed and the baseline activity ranking and the share of activities that kept their category.</w:t>
      </w:r>
    </w:p>
    <w:bookmarkEnd w:id="55"/>
    <w:bookmarkStart w:id="62" w:name="extended-statistical-analyses"/>
    <w:p>
      <w:pPr>
        <w:pStyle w:val="Heading2"/>
      </w:pPr>
      <w:r>
        <w:rPr>
          <w:rStyle w:val="SectionNumber"/>
        </w:rPr>
        <w:t xml:space="preserve">4.10</w:t>
      </w:r>
      <w:r>
        <w:tab/>
      </w:r>
      <w:r>
        <w:t xml:space="preserve">Extended statistical analyses</w:t>
      </w:r>
    </w:p>
    <w:bookmarkStart w:id="56" w:name="X1f0fa747d214b73990f13d834bc0dd3912a815b"/>
    <w:p>
      <w:pPr>
        <w:pStyle w:val="Heading3"/>
      </w:pPr>
      <w:r>
        <w:t xml:space="preserve">Shapley decomposition of explained variance</w:t>
      </w:r>
    </w:p>
    <w:p>
      <w:pPr>
        <w:pStyle w:val="FirstParagraph"/>
      </w:pPr>
      <w:r>
        <w:t xml:space="preserve">To apportion the explained variance of the TSI among correlated factors without the order dependence of sequential</w:t>
      </w:r>
      <w:r>
        <w:t xml:space="preserve"> </w:t>
      </w:r>
      <m:oMath>
        <m:sSup>
          <m:e>
            <m:r>
              <m:t>R</m:t>
            </m:r>
          </m:e>
          <m:sup>
            <m:r>
              <m:t>2</m:t>
            </m:r>
          </m:sup>
        </m:sSup>
      </m:oMath>
      <w:r>
        <w:t xml:space="preserve">, we computed the Shapley value of each factor in the cooperative game whose characteristic function is the OLS coefficient of determination</w:t>
      </w:r>
      <w:r>
        <w:t xml:space="preserve"> </w:t>
      </w:r>
      <w:r>
        <w:t xml:space="preserve">(Lipovetsky and Conklin 2001)</w:t>
      </w:r>
      <w:r>
        <w:t xml:space="preserve">. This is equivalent to the general dominance weights of</w:t>
      </w:r>
      <w:r>
        <w:t xml:space="preserve"> </w:t>
      </w:r>
      <w:r>
        <w:t xml:space="preserve">Budescu (1993)</w:t>
      </w:r>
      <w:r>
        <w:t xml:space="preserve">:</w:t>
      </w:r>
    </w:p>
    <w:p>
      <w:pPr>
        <w:pStyle w:val="BodyText"/>
      </w:pPr>
      <m:oMathPara>
        <m:oMathParaPr>
          <m:jc m:val="center"/>
        </m:oMathParaPr>
        <m:oMath>
          <m:sSub>
            <m:e>
              <m:r>
                <m:t>ϕ</m:t>
              </m:r>
            </m:e>
            <m:sub>
              <m:r>
                <m:t>j</m:t>
              </m:r>
            </m:sub>
          </m:sSub>
          <m:r>
            <m:rPr>
              <m:sty m:val="p"/>
            </m:rPr>
            <m:t>=</m:t>
          </m:r>
          <m:nary>
            <m:naryPr>
              <m:chr m:val="∑"/>
              <m:limLoc m:val="undOvr"/>
              <m:subHide m:val="off"/>
              <m:supHide m:val="on"/>
            </m:naryPr>
            <m:sub>
              <m:r>
                <m:t>S</m:t>
              </m:r>
              <m:r>
                <m:rPr>
                  <m:sty m:val="p"/>
                </m:rPr>
                <m:t>⊆</m:t>
              </m:r>
              <m:r>
                <m:t>P</m:t>
              </m:r>
              <m:r>
                <m:rPr>
                  <m:sty m:val="p"/>
                </m:rPr>
                <m:t>\</m:t>
              </m:r>
              <m:r>
                <m:rPr>
                  <m:sty m:val="p"/>
                </m:rPr>
                <m:t>{</m:t>
              </m:r>
              <m:r>
                <m:t>j</m:t>
              </m:r>
              <m:r>
                <m:rPr>
                  <m:sty m:val="p"/>
                </m:rPr>
                <m:t>}</m:t>
              </m:r>
            </m:sub>
            <m:sup>
              <m:r>
                <m:t>​</m:t>
              </m:r>
            </m:sup>
            <m:e>
              <m:f>
                <m:fPr>
                  <m:type m:val="bar"/>
                </m:fPr>
                <m:num>
                  <m:d>
                    <m:dPr>
                      <m:begChr m:val="|"/>
                      <m:endChr m:val="|"/>
                      <m:sepChr m:val=""/>
                      <m:grow/>
                    </m:dPr>
                    <m:e>
                      <m:r>
                        <m:t>S</m:t>
                      </m:r>
                    </m:e>
                  </m:d>
                  <m:r>
                    <m:rPr>
                      <m:sty m:val="p"/>
                    </m:rPr>
                    <m:t>!</m:t>
                  </m:r>
                  <m:r>
                    <m:t> </m:t>
                  </m:r>
                  <m:d>
                    <m:dPr>
                      <m:begChr m:val="("/>
                      <m:endChr m:val=")"/>
                      <m:sepChr m:val=""/>
                      <m:grow/>
                    </m:dPr>
                    <m:e>
                      <m:r>
                        <m:t>p</m:t>
                      </m:r>
                      <m:r>
                        <m:rPr>
                          <m:sty m:val="p"/>
                        </m:rPr>
                        <m:t>−</m:t>
                      </m:r>
                      <m:d>
                        <m:dPr>
                          <m:begChr m:val="|"/>
                          <m:endChr m:val="|"/>
                          <m:sepChr m:val=""/>
                          <m:grow/>
                        </m:dPr>
                        <m:e>
                          <m:r>
                            <m:t>S</m:t>
                          </m:r>
                        </m:e>
                      </m:d>
                      <m:r>
                        <m:rPr>
                          <m:sty m:val="p"/>
                        </m:rPr>
                        <m:t>−</m:t>
                      </m:r>
                      <m:r>
                        <m:t>1</m:t>
                      </m:r>
                    </m:e>
                  </m:d>
                  <m:r>
                    <m:rPr>
                      <m:sty m:val="p"/>
                    </m:rPr>
                    <m:t>!</m:t>
                  </m:r>
                </m:num>
                <m:den>
                  <m:r>
                    <m:t>p</m:t>
                  </m:r>
                  <m:r>
                    <m:rPr>
                      <m:sty m:val="p"/>
                    </m:rPr>
                    <m:t>!</m:t>
                  </m:r>
                </m:den>
              </m:f>
            </m:e>
          </m:nary>
          <m:d>
            <m:dPr>
              <m:begChr m:val="["/>
              <m:endChr m:val="]"/>
              <m:sepChr m:val=""/>
              <m:grow/>
            </m:dPr>
            <m:e>
              <m:sSup>
                <m:e>
                  <m:r>
                    <m:t>R</m:t>
                  </m:r>
                </m:e>
                <m:sup>
                  <m:r>
                    <m:t>2</m:t>
                  </m:r>
                </m:sup>
              </m:sSup>
              <m:d>
                <m:dPr>
                  <m:begChr m:val="("/>
                  <m:endChr m:val=")"/>
                  <m:sepChr m:val=""/>
                  <m:grow/>
                </m:dPr>
                <m:e>
                  <m:r>
                    <m:t>S</m:t>
                  </m:r>
                  <m:r>
                    <m:rPr>
                      <m:sty m:val="p"/>
                    </m:rPr>
                    <m:t>∪</m:t>
                  </m:r>
                  <m:r>
                    <m:rPr>
                      <m:sty m:val="p"/>
                    </m:rPr>
                    <m:t>{</m:t>
                  </m:r>
                  <m:r>
                    <m:t>j</m:t>
                  </m:r>
                  <m:r>
                    <m:rPr>
                      <m:sty m:val="p"/>
                    </m:rPr>
                    <m:t>}</m:t>
                  </m:r>
                </m:e>
              </m:d>
              <m:r>
                <m:rPr>
                  <m:sty m:val="p"/>
                </m:rPr>
                <m:t>−</m:t>
              </m:r>
              <m:sSup>
                <m:e>
                  <m:r>
                    <m:t>R</m:t>
                  </m:r>
                </m:e>
                <m:sup>
                  <m:r>
                    <m:t>2</m:t>
                  </m:r>
                </m:sup>
              </m:sSup>
              <m:d>
                <m:dPr>
                  <m:begChr m:val="("/>
                  <m:endChr m:val=")"/>
                  <m:sepChr m:val=""/>
                  <m:grow/>
                </m:dPr>
                <m:e>
                  <m:r>
                    <m:t>S</m:t>
                  </m:r>
                </m:e>
              </m:d>
            </m:e>
          </m:d>
          <m:r>
            <m:rPr>
              <m:sty m:val="p"/>
            </m:rPr>
            <m:t>,</m:t>
          </m:r>
          <m:r>
            <m:t>  </m:t>
          </m:r>
          <m:sSup>
            <m:e>
              <m:r>
                <m:t>R</m:t>
              </m:r>
            </m:e>
            <m:sup>
              <m:r>
                <m:t>2</m:t>
              </m:r>
            </m:sup>
          </m:sSup>
          <m:d>
            <m:dPr>
              <m:begChr m:val="("/>
              <m:endChr m:val=")"/>
              <m:sepChr m:val=""/>
              <m:grow/>
            </m:dPr>
            <m:e>
              <m:r>
                <m:t>S</m:t>
              </m:r>
            </m:e>
          </m:d>
          <m:r>
            <m:rPr>
              <m:sty m:val="p"/>
            </m:rPr>
            <m:t>=</m:t>
          </m:r>
          <m:sSubSup>
            <m:e>
              <m:r>
                <m:rPr>
                  <m:sty m:val="b"/>
                </m:rPr>
                <m:t>r</m:t>
              </m:r>
            </m:e>
            <m:sub>
              <m:r>
                <m:t>S</m:t>
              </m:r>
            </m:sub>
            <m:sup>
              <m:r>
                <m:rPr>
                  <m:sty m:val="p"/>
                </m:rPr>
                <m:t>⊤</m:t>
              </m:r>
            </m:sup>
          </m:sSubSup>
          <m:sSubSup>
            <m:e>
              <m:r>
                <m:rPr>
                  <m:sty m:val="b"/>
                </m:rPr>
                <m:t>R</m:t>
              </m:r>
            </m:e>
            <m:sub>
              <m:r>
                <m:t>S</m:t>
              </m:r>
              <m:r>
                <m:t>S</m:t>
              </m:r>
            </m:sub>
            <m:sup>
              <m:r>
                <m:rPr>
                  <m:sty m:val="p"/>
                </m:rPr>
                <m:t>−</m:t>
              </m:r>
              <m:r>
                <m:t>1</m:t>
              </m:r>
            </m:sup>
          </m:sSubSup>
          <m:sSub>
            <m:e>
              <m:r>
                <m:rPr>
                  <m:sty m:val="b"/>
                </m:rPr>
                <m:t>r</m:t>
              </m:r>
            </m:e>
            <m:sub>
              <m:r>
                <m:t>S</m:t>
              </m:r>
            </m:sub>
          </m:sSub>
          <m:r>
            <m:rPr>
              <m:sty m:val="p"/>
            </m:rPr>
            <m:t>,</m:t>
          </m:r>
          <m:r>
            <m:t>  </m:t>
          </m:r>
          <m:r>
            <m:t>  </m:t>
          </m:r>
          <m:d>
            <m:dPr>
              <m:begChr m:val="("/>
              <m:endChr m:val=")"/>
              <m:sepChr m:val=""/>
              <m:grow/>
            </m:dPr>
            <m:e>
              <m:r>
                <m:t>7</m:t>
              </m:r>
            </m:e>
          </m:d>
        </m:oMath>
      </m:oMathPara>
    </w:p>
    <w:p>
      <w:pPr>
        <w:pStyle w:val="FirstParagraph"/>
      </w:pPr>
      <w:r>
        <w:t xml:space="preserve">where</w:t>
      </w:r>
      <w:r>
        <w:t xml:space="preserve"> </w:t>
      </w:r>
      <m:oMath>
        <m:r>
          <m:rPr>
            <m:sty m:val="b"/>
          </m:rPr>
          <m:t>R</m:t>
        </m:r>
      </m:oMath>
      <w:r>
        <w:t xml:space="preserve"> </w:t>
      </w:r>
      <w:r>
        <w:t xml:space="preserve">is the factor correlation matrix and</w:t>
      </w:r>
      <w:r>
        <w:t xml:space="preserve"> </w:t>
      </w:r>
      <m:oMath>
        <m:r>
          <m:rPr>
            <m:sty m:val="b"/>
          </m:rPr>
          <m:t>r</m:t>
        </m:r>
      </m:oMath>
      <w:r>
        <w:t xml:space="preserve"> </w:t>
      </w:r>
      <w:r>
        <w:t xml:space="preserve">the vector of factor–TSI correlations. By the efficiency axiom,</w:t>
      </w:r>
      <w:r>
        <w:t xml:space="preserve"> </w:t>
      </w:r>
      <m:oMath>
        <m:nary>
          <m:naryPr>
            <m:chr m:val="∑"/>
            <m:limLoc m:val="undOvr"/>
            <m:subHide m:val="off"/>
            <m:supHide m:val="on"/>
          </m:naryPr>
          <m:sub>
            <m:r>
              <m:t>j</m:t>
            </m:r>
          </m:sub>
          <m:sup>
            <m:r>
              <m:t>​</m:t>
            </m:r>
          </m:sup>
          <m:e>
            <m:sSub>
              <m:e>
                <m:r>
                  <m:t>ϕ</m:t>
                </m:r>
              </m:e>
              <m:sub>
                <m:r>
                  <m:t>j</m:t>
                </m:r>
              </m:sub>
            </m:sSub>
          </m:e>
        </m:nary>
        <m:r>
          <m:rPr>
            <m:sty m:val="p"/>
          </m:rPr>
          <m:t>=</m:t>
        </m:r>
        <m:sSup>
          <m:e>
            <m:r>
              <m:t>R</m:t>
            </m:r>
          </m:e>
          <m:sup>
            <m:r>
              <m:t>2</m:t>
            </m:r>
          </m:sup>
        </m:sSup>
        <m:d>
          <m:dPr>
            <m:begChr m:val="("/>
            <m:endChr m:val=")"/>
            <m:sepChr m:val=""/>
            <m:grow/>
          </m:dPr>
          <m:e>
            <m:r>
              <m:t>P</m:t>
            </m:r>
          </m:e>
        </m:d>
      </m:oMath>
      <w:r>
        <w:t xml:space="preserve"> </w:t>
      </w:r>
      <w:r>
        <w:t xml:space="preserve">exactly. All</w:t>
      </w:r>
      <w:r>
        <w:t xml:space="preserve"> </w:t>
      </w:r>
      <m:oMath>
        <m:sSup>
          <m:e>
            <m:r>
              <m:t>2</m:t>
            </m:r>
          </m:e>
          <m:sup>
            <m:r>
              <m:t>8</m:t>
            </m:r>
          </m:sup>
        </m:sSup>
        <m:r>
          <m:rPr>
            <m:sty m:val="p"/>
          </m:rPr>
          <m:t>=</m:t>
        </m:r>
        <m:r>
          <m:t>256</m:t>
        </m:r>
      </m:oMath>
      <w:r>
        <w:t xml:space="preserve"> </w:t>
      </w:r>
      <w:r>
        <w:t xml:space="preserve">subset models were evaluated, and 95% CIs were obtained from 500 bootstrap resamples.</w:t>
      </w:r>
    </w:p>
    <w:bookmarkEnd w:id="56"/>
    <w:bookmarkStart w:id="57" w:name="multilevel-modelling"/>
    <w:p>
      <w:pPr>
        <w:pStyle w:val="Heading3"/>
      </w:pPr>
      <w:r>
        <w:t xml:space="preserve">Multilevel modelling</w:t>
      </w:r>
    </w:p>
    <w:p>
      <w:pPr>
        <w:pStyle w:val="FirstParagraph"/>
      </w:pPr>
      <w:r>
        <w:t xml:space="preserve">Students are nested in countries. We fitted random-intercept models</w:t>
      </w:r>
      <w:r>
        <w:t xml:space="preserve"> </w:t>
      </w:r>
      <m:oMath>
        <m:sSub>
          <m:e>
            <m:r>
              <m:t>y</m:t>
            </m:r>
          </m:e>
          <m:sub>
            <m:r>
              <m:t>i</m:t>
            </m:r>
            <m:r>
              <m:t>c</m:t>
            </m:r>
          </m:sub>
        </m:sSub>
        <m:r>
          <m:rPr>
            <m:sty m:val="p"/>
          </m:rPr>
          <m:t>=</m:t>
        </m:r>
        <m:sSubSup>
          <m:e>
            <m:r>
              <m:rPr>
                <m:sty m:val="b"/>
              </m:rPr>
              <m:t>x</m:t>
            </m:r>
          </m:e>
          <m:sub>
            <m:r>
              <m:t>i</m:t>
            </m:r>
            <m:r>
              <m:t>c</m:t>
            </m:r>
          </m:sub>
          <m:sup>
            <m:r>
              <m:rPr>
                <m:sty m:val="p"/>
              </m:rPr>
              <m:t>⊤</m:t>
            </m:r>
          </m:sup>
        </m:sSubSup>
        <m:r>
          <m:rPr>
            <m:sty m:val="b"/>
          </m:rPr>
          <m:t>β</m:t>
        </m:r>
        <m:r>
          <m:rPr>
            <m:sty m:val="p"/>
          </m:rPr>
          <m:t>+</m:t>
        </m:r>
        <m:sSub>
          <m:e>
            <m:r>
              <m:t>u</m:t>
            </m:r>
          </m:e>
          <m:sub>
            <m:r>
              <m:t>c</m:t>
            </m:r>
          </m:sub>
        </m:sSub>
        <m:r>
          <m:rPr>
            <m:sty m:val="p"/>
          </m:rPr>
          <m:t>+</m:t>
        </m:r>
        <m:sSub>
          <m:e>
            <m:r>
              <m:t>ε</m:t>
            </m:r>
          </m:e>
          <m:sub>
            <m:r>
              <m:t>i</m:t>
            </m:r>
            <m:r>
              <m:t>c</m:t>
            </m:r>
          </m:sub>
        </m:sSub>
      </m:oMath>
      <w:r>
        <w:t xml:space="preserve"> </w:t>
      </w:r>
      <w:r>
        <w:t xml:space="preserve">with</w:t>
      </w:r>
      <w:r>
        <w:t xml:space="preserve"> </w:t>
      </w:r>
      <m:oMath>
        <m:sSub>
          <m:e>
            <m:r>
              <m:t>u</m:t>
            </m:r>
          </m:e>
          <m:sub>
            <m:r>
              <m:t>c</m:t>
            </m:r>
          </m:sub>
        </m:sSub>
        <m:r>
          <m:rPr>
            <m:sty m:val="p"/>
          </m:rPr>
          <m:t>∼</m:t>
        </m:r>
        <m:r>
          <m:rPr>
            <m:sty m:val="p"/>
            <m:scr m:val="script"/>
          </m:rPr>
          <m:t>N</m:t>
        </m:r>
        <m:d>
          <m:dPr>
            <m:begChr m:val="("/>
            <m:endChr m:val=")"/>
            <m:sepChr m:val=""/>
            <m:grow/>
          </m:dPr>
          <m:e>
            <m:r>
              <m:t>0</m:t>
            </m:r>
            <m:r>
              <m:rPr>
                <m:sty m:val="p"/>
              </m:rPr>
              <m:t>,</m:t>
            </m:r>
            <m:sSup>
              <m:e>
                <m:r>
                  <m:t>τ</m:t>
                </m:r>
              </m:e>
              <m:sup>
                <m:r>
                  <m:t>2</m:t>
                </m:r>
              </m:sup>
            </m:sSup>
          </m:e>
        </m:d>
      </m:oMath>
      <w:r>
        <w:t xml:space="preserve"> </w:t>
      </w:r>
      <w:r>
        <w:t xml:space="preserve">and</w:t>
      </w:r>
      <w:r>
        <w:t xml:space="preserve"> </w:t>
      </w:r>
      <m:oMath>
        <m:sSub>
          <m:e>
            <m:r>
              <m:t>ε</m:t>
            </m:r>
          </m:e>
          <m:sub>
            <m:r>
              <m:t>i</m:t>
            </m:r>
            <m:r>
              <m:t>c</m:t>
            </m:r>
          </m:sub>
        </m:sSub>
        <m:r>
          <m:rPr>
            <m:sty m:val="p"/>
          </m:rPr>
          <m:t>∼</m:t>
        </m:r>
        <m:r>
          <m:rPr>
            <m:sty m:val="p"/>
            <m:scr m:val="script"/>
          </m:rPr>
          <m:t>N</m:t>
        </m:r>
        <m:d>
          <m:dPr>
            <m:begChr m:val="("/>
            <m:endChr m:val=")"/>
            <m:sepChr m:val=""/>
            <m:grow/>
          </m:dPr>
          <m:e>
            <m:r>
              <m:t>0</m:t>
            </m:r>
            <m:r>
              <m:rPr>
                <m:sty m:val="p"/>
              </m:rPr>
              <m:t>,</m:t>
            </m:r>
            <m:sSup>
              <m:e>
                <m:r>
                  <m:t>σ</m:t>
                </m:r>
              </m:e>
              <m:sup>
                <m:r>
                  <m:t>2</m:t>
                </m:r>
              </m:sup>
            </m:sSup>
          </m:e>
        </m:d>
      </m:oMath>
      <w:r>
        <w:t xml:space="preserve"> </w:t>
      </w:r>
      <w:r>
        <w:t xml:space="preserve">by REML</w:t>
      </w:r>
      <w:r>
        <w:t xml:space="preserve"> </w:t>
      </w:r>
      <w:r>
        <w:t xml:space="preserve">(Raudenbush and Bryk 2002)</w:t>
      </w:r>
      <w:r>
        <w:t xml:space="preserve"> </w:t>
      </w:r>
      <w:r>
        <w:t xml:space="preserve">for the 50 countries with at least 30 respondents (</w:t>
      </w:r>
      <m:oMath>
        <m:r>
          <m:t>n</m:t>
        </m:r>
        <m:r>
          <m:rPr>
            <m:sty m:val="p"/>
          </m:rPr>
          <m:t>=</m:t>
        </m:r>
        <m:r>
          <m:t>11</m:t>
        </m:r>
        <m:r>
          <m:rPr>
            <m:sty m:val="p"/>
          </m:rPr>
          <m:t>,</m:t>
        </m:r>
        <m:r>
          <m:t>586</m:t>
        </m:r>
      </m:oMath>
      <w:r>
        <w:t xml:space="preserve">). We report the intraclass correlation</w:t>
      </w:r>
      <w:r>
        <w:t xml:space="preserve"> </w:t>
      </w:r>
      <m:oMath>
        <m:r>
          <m:rPr>
            <m:sty m:val="p"/>
          </m:rPr>
          <m:t>I</m:t>
        </m:r>
        <m:r>
          <m:rPr>
            <m:sty m:val="p"/>
          </m:rPr>
          <m:t>C</m:t>
        </m:r>
        <m:r>
          <m:rPr>
            <m:sty m:val="p"/>
          </m:rPr>
          <m:t>C</m:t>
        </m:r>
        <m:r>
          <m:rPr>
            <m:sty m:val="p"/>
          </m:rPr>
          <m:t>=</m:t>
        </m:r>
        <m:sSup>
          <m:e>
            <m:r>
              <m:t>τ</m:t>
            </m:r>
          </m:e>
          <m:sup>
            <m:r>
              <m:t>2</m:t>
            </m:r>
          </m:sup>
        </m:sSup>
        <m:r>
          <m:rPr>
            <m:sty m:val="p"/>
          </m:rPr>
          <m:t>/</m:t>
        </m:r>
        <m:d>
          <m:dPr>
            <m:begChr m:val="("/>
            <m:endChr m:val=")"/>
            <m:sepChr m:val=""/>
            <m:grow/>
          </m:dPr>
          <m:e>
            <m:sSup>
              <m:e>
                <m:r>
                  <m:t>τ</m:t>
                </m:r>
              </m:e>
              <m:sup>
                <m:r>
                  <m:t>2</m:t>
                </m:r>
              </m:sup>
            </m:sSup>
            <m:r>
              <m:rPr>
                <m:sty m:val="p"/>
              </m:rPr>
              <m:t>+</m:t>
            </m:r>
            <m:sSup>
              <m:e>
                <m:r>
                  <m:t>σ</m:t>
                </m:r>
              </m:e>
              <m:sup>
                <m:r>
                  <m:t>2</m:t>
                </m:r>
              </m:sup>
            </m:sSup>
          </m:e>
        </m:d>
      </m:oMath>
      <w:r>
        <w:t xml:space="preserve">, the marginal and conditional</w:t>
      </w:r>
      <w:r>
        <w:t xml:space="preserve"> </w:t>
      </w:r>
      <m:oMath>
        <m:sSup>
          <m:e>
            <m:r>
              <m:t>R</m:t>
            </m:r>
          </m:e>
          <m:sup>
            <m:r>
              <m:t>2</m:t>
            </m:r>
          </m:sup>
        </m:sSup>
      </m:oMath>
      <w:r>
        <w:t xml:space="preserve"> </w:t>
      </w:r>
      <w:r>
        <w:t xml:space="preserve">of</w:t>
      </w:r>
      <w:r>
        <w:t xml:space="preserve"> </w:t>
      </w:r>
      <w:r>
        <w:t xml:space="preserve">Nakagawa and Schielzeth (2013)</w:t>
      </w:r>
      <w:r>
        <w:t xml:space="preserve">,</w:t>
      </w:r>
      <w:r>
        <w:t xml:space="preserve"> </w:t>
      </w:r>
      <m:oMath>
        <m:sSubSup>
          <m:e>
            <m:r>
              <m:t>R</m:t>
            </m:r>
          </m:e>
          <m:sub>
            <m:r>
              <m:t>m</m:t>
            </m:r>
          </m:sub>
          <m:sup>
            <m:r>
              <m:t>2</m:t>
            </m:r>
          </m:sup>
        </m:sSubSup>
        <m:r>
          <m:rPr>
            <m:sty m:val="p"/>
          </m:rPr>
          <m:t>=</m:t>
        </m:r>
        <m:sSubSup>
          <m:e>
            <m:r>
              <m:t>σ</m:t>
            </m:r>
          </m:e>
          <m:sub>
            <m:r>
              <m:t>f</m:t>
            </m:r>
          </m:sub>
          <m:sup>
            <m:r>
              <m:t>2</m:t>
            </m:r>
          </m:sup>
        </m:sSubSup>
        <m:r>
          <m:rPr>
            <m:sty m:val="p"/>
          </m:rPr>
          <m:t>/</m:t>
        </m:r>
        <m:d>
          <m:dPr>
            <m:begChr m:val="("/>
            <m:endChr m:val=")"/>
            <m:sepChr m:val=""/>
            <m:grow/>
          </m:dPr>
          <m:e>
            <m:sSubSup>
              <m:e>
                <m:r>
                  <m:t>σ</m:t>
                </m:r>
              </m:e>
              <m:sub>
                <m:r>
                  <m:t>f</m:t>
                </m:r>
              </m:sub>
              <m:sup>
                <m:r>
                  <m:t>2</m:t>
                </m:r>
              </m:sup>
            </m:sSubSup>
            <m:r>
              <m:rPr>
                <m:sty m:val="p"/>
              </m:rPr>
              <m:t>+</m:t>
            </m:r>
            <m:sSup>
              <m:e>
                <m:r>
                  <m:t>τ</m:t>
                </m:r>
              </m:e>
              <m:sup>
                <m:r>
                  <m:t>2</m:t>
                </m:r>
              </m:sup>
            </m:sSup>
            <m:r>
              <m:rPr>
                <m:sty m:val="p"/>
              </m:rPr>
              <m:t>+</m:t>
            </m:r>
            <m:sSup>
              <m:e>
                <m:r>
                  <m:t>σ</m:t>
                </m:r>
              </m:e>
              <m:sup>
                <m:r>
                  <m:t>2</m:t>
                </m:r>
              </m:sup>
            </m:sSup>
          </m:e>
        </m:d>
      </m:oMath>
      <w:r>
        <w:t xml:space="preserve"> </w:t>
      </w:r>
      <w:r>
        <w:t xml:space="preserve">and</w:t>
      </w:r>
      <w:r>
        <w:t xml:space="preserve"> </w:t>
      </w:r>
      <m:oMath>
        <m:sSubSup>
          <m:e>
            <m:r>
              <m:t>R</m:t>
            </m:r>
          </m:e>
          <m:sub>
            <m:r>
              <m:t>c</m:t>
            </m:r>
          </m:sub>
          <m:sup>
            <m:r>
              <m:t>2</m:t>
            </m:r>
          </m:sup>
        </m:sSubSup>
        <m:r>
          <m:rPr>
            <m:sty m:val="p"/>
          </m:rPr>
          <m:t>=</m:t>
        </m:r>
        <m:d>
          <m:dPr>
            <m:begChr m:val="("/>
            <m:endChr m:val=")"/>
            <m:sepChr m:val=""/>
            <m:grow/>
          </m:dPr>
          <m:e>
            <m:sSubSup>
              <m:e>
                <m:r>
                  <m:t>σ</m:t>
                </m:r>
              </m:e>
              <m:sub>
                <m:r>
                  <m:t>f</m:t>
                </m:r>
              </m:sub>
              <m:sup>
                <m:r>
                  <m:t>2</m:t>
                </m:r>
              </m:sup>
            </m:sSubSup>
            <m:r>
              <m:rPr>
                <m:sty m:val="p"/>
              </m:rPr>
              <m:t>+</m:t>
            </m:r>
            <m:sSup>
              <m:e>
                <m:r>
                  <m:t>τ</m:t>
                </m:r>
              </m:e>
              <m:sup>
                <m:r>
                  <m:t>2</m:t>
                </m:r>
              </m:sup>
            </m:sSup>
          </m:e>
        </m:d>
        <m:r>
          <m:rPr>
            <m:sty m:val="p"/>
          </m:rPr>
          <m:t>/</m:t>
        </m:r>
        <m:d>
          <m:dPr>
            <m:begChr m:val="("/>
            <m:endChr m:val=")"/>
            <m:sepChr m:val=""/>
            <m:grow/>
          </m:dPr>
          <m:e>
            <m:sSubSup>
              <m:e>
                <m:r>
                  <m:t>σ</m:t>
                </m:r>
              </m:e>
              <m:sub>
                <m:r>
                  <m:t>f</m:t>
                </m:r>
              </m:sub>
              <m:sup>
                <m:r>
                  <m:t>2</m:t>
                </m:r>
              </m:sup>
            </m:sSubSup>
            <m:r>
              <m:rPr>
                <m:sty m:val="p"/>
              </m:rPr>
              <m:t>+</m:t>
            </m:r>
            <m:sSup>
              <m:e>
                <m:r>
                  <m:t>τ</m:t>
                </m:r>
              </m:e>
              <m:sup>
                <m:r>
                  <m:t>2</m:t>
                </m:r>
              </m:sup>
            </m:sSup>
            <m:r>
              <m:rPr>
                <m:sty m:val="p"/>
              </m:rPr>
              <m:t>+</m:t>
            </m:r>
            <m:sSup>
              <m:e>
                <m:r>
                  <m:t>σ</m:t>
                </m:r>
              </m:e>
              <m:sup>
                <m:r>
                  <m:t>2</m:t>
                </m:r>
              </m:sup>
            </m:sSup>
          </m:e>
        </m:d>
      </m:oMath>
      <w:r>
        <w:t xml:space="preserve">, and a likelihood-ratio test of</w:t>
      </w:r>
      <w:r>
        <w:t xml:space="preserve"> </w:t>
      </w:r>
      <m:oMath>
        <m:sSup>
          <m:e>
            <m:r>
              <m:t>τ</m:t>
            </m:r>
          </m:e>
          <m:sup>
            <m:r>
              <m:t>2</m:t>
            </m:r>
          </m:sup>
        </m:sSup>
        <m:r>
          <m:rPr>
            <m:sty m:val="p"/>
          </m:rPr>
          <m:t>=</m:t>
        </m:r>
        <m:r>
          <m:t>0</m:t>
        </m:r>
      </m:oMath>
      <w:r>
        <w:t xml:space="preserve">. The test uses the boundary-corrected reference distribution</w:t>
      </w:r>
      <w:r>
        <w:t xml:space="preserve"> </w:t>
      </w:r>
      <m:oMath>
        <m:f>
          <m:fPr>
            <m:type m:val="lin"/>
          </m:fPr>
          <m:num>
            <m:r>
              <m:t>1</m:t>
            </m:r>
          </m:num>
          <m:den>
            <m:r>
              <m:t>2</m:t>
            </m:r>
          </m:den>
        </m:f>
        <m:sSubSup>
          <m:e>
            <m:r>
              <m:t>χ</m:t>
            </m:r>
          </m:e>
          <m:sub>
            <m:r>
              <m:t>0</m:t>
            </m:r>
          </m:sub>
          <m:sup>
            <m:r>
              <m:t>2</m:t>
            </m:r>
          </m:sup>
        </m:sSubSup>
        <m:r>
          <m:rPr>
            <m:sty m:val="p"/>
          </m:rPr>
          <m:t>+</m:t>
        </m:r>
        <m:f>
          <m:fPr>
            <m:type m:val="lin"/>
          </m:fPr>
          <m:num>
            <m:r>
              <m:t>1</m:t>
            </m:r>
          </m:num>
          <m:den>
            <m:r>
              <m:t>2</m:t>
            </m:r>
          </m:den>
        </m:f>
        <m:sSubSup>
          <m:e>
            <m:r>
              <m:t>χ</m:t>
            </m:r>
          </m:e>
          <m:sub>
            <m:r>
              <m:t>1</m:t>
            </m:r>
          </m:sub>
          <m:sup>
            <m:r>
              <m:t>2</m:t>
            </m:r>
          </m:sup>
        </m:sSubSup>
      </m:oMath>
      <w:r>
        <w:t xml:space="preserve"> </w:t>
      </w:r>
      <w:r>
        <w:t xml:space="preserve">(Self and Liang 1987)</w:t>
      </w:r>
      <w:r>
        <w:t xml:space="preserve">. Country effects are shown as best linear unbiased predictors with conditional standard errors</w:t>
      </w:r>
      <w:r>
        <w:t xml:space="preserve"> </w:t>
      </w:r>
      <m:oMath>
        <m:rad>
          <m:radPr>
            <m:degHide m:val="on"/>
          </m:radPr>
          <m:deg/>
          <m:e>
            <m:sSup>
              <m:e>
                <m:r>
                  <m:t>τ</m:t>
                </m:r>
              </m:e>
              <m:sup>
                <m:r>
                  <m:t>2</m:t>
                </m:r>
              </m:sup>
            </m:sSup>
            <m:sSup>
              <m:e>
                <m:r>
                  <m:t>σ</m:t>
                </m:r>
              </m:e>
              <m:sup>
                <m:r>
                  <m:t>2</m:t>
                </m:r>
              </m:sup>
            </m:sSup>
            <m:r>
              <m:rPr>
                <m:sty m:val="p"/>
              </m:rPr>
              <m:t>/</m:t>
            </m:r>
            <m:d>
              <m:dPr>
                <m:begChr m:val="("/>
                <m:endChr m:val=")"/>
                <m:sepChr m:val=""/>
                <m:grow/>
              </m:dPr>
              <m:e>
                <m:sSub>
                  <m:e>
                    <m:r>
                      <m:t>n</m:t>
                    </m:r>
                  </m:e>
                  <m:sub>
                    <m:r>
                      <m:t>c</m:t>
                    </m:r>
                  </m:sub>
                </m:sSub>
                <m:sSup>
                  <m:e>
                    <m:r>
                      <m:t>τ</m:t>
                    </m:r>
                  </m:e>
                  <m:sup>
                    <m:r>
                      <m:t>2</m:t>
                    </m:r>
                  </m:sup>
                </m:sSup>
                <m:r>
                  <m:rPr>
                    <m:sty m:val="p"/>
                  </m:rPr>
                  <m:t>+</m:t>
                </m:r>
                <m:sSup>
                  <m:e>
                    <m:r>
                      <m:t>σ</m:t>
                    </m:r>
                  </m:e>
                  <m:sup>
                    <m:r>
                      <m:t>2</m:t>
                    </m:r>
                  </m:sup>
                </m:sSup>
              </m:e>
            </m:d>
          </m:e>
        </m:rad>
      </m:oMath>
      <w:r>
        <w:t xml:space="preserve">.</w:t>
      </w:r>
    </w:p>
    <w:bookmarkEnd w:id="57"/>
    <w:bookmarkStart w:id="58" w:name="quantile-regression"/>
    <w:p>
      <w:pPr>
        <w:pStyle w:val="Heading3"/>
      </w:pPr>
      <w:r>
        <w:t xml:space="preserve">Quantile regression</w:t>
      </w:r>
    </w:p>
    <w:p>
      <w:pPr>
        <w:pStyle w:val="FirstParagraph"/>
      </w:pPr>
      <w:r>
        <w:t xml:space="preserve">To test whether the TRFS–TSI relationship is homogeneous across the criterion distribution, we estimated</w:t>
      </w:r>
      <w:r>
        <w:t xml:space="preserve"> </w:t>
      </w:r>
      <m:oMath>
        <m:sSub>
          <m:e>
            <m:r>
              <m:t>Q</m:t>
            </m:r>
          </m:e>
          <m:sub>
            <m:r>
              <m:t>τ</m:t>
            </m:r>
          </m:sub>
        </m:sSub>
        <m:d>
          <m:dPr>
            <m:begChr m:val="("/>
            <m:endChr m:val=")"/>
            <m:sepChr m:val=""/>
            <m:grow/>
          </m:dPr>
          <m:e>
            <m:r>
              <m:rPr>
                <m:sty m:val="p"/>
              </m:rPr>
              <m:t>T</m:t>
            </m:r>
            <m:r>
              <m:rPr>
                <m:sty m:val="p"/>
              </m:rPr>
              <m:t>S</m:t>
            </m:r>
            <m:r>
              <m:rPr>
                <m:sty m:val="p"/>
              </m:rPr>
              <m:t>I</m:t>
            </m:r>
            <m:r>
              <m:rPr>
                <m:sty m:val="p"/>
              </m:rPr>
              <m:t>∣</m:t>
            </m:r>
            <m:r>
              <m:rPr>
                <m:sty m:val="p"/>
              </m:rPr>
              <m:t>T</m:t>
            </m:r>
            <m:r>
              <m:rPr>
                <m:sty m:val="p"/>
              </m:rPr>
              <m:t>R</m:t>
            </m:r>
            <m:r>
              <m:rPr>
                <m:sty m:val="p"/>
              </m:rPr>
              <m:t>F</m:t>
            </m:r>
            <m:r>
              <m:rPr>
                <m:sty m:val="p"/>
              </m:rPr>
              <m:t>S</m:t>
            </m:r>
          </m:e>
        </m:d>
        <m:r>
          <m:rPr>
            <m:sty m:val="p"/>
          </m:rPr>
          <m:t>=</m:t>
        </m:r>
        <m:sSub>
          <m:e>
            <m:r>
              <m:t>β</m:t>
            </m:r>
          </m:e>
          <m:sub>
            <m:r>
              <m:t>0</m:t>
            </m:r>
          </m:sub>
        </m:sSub>
        <m:d>
          <m:dPr>
            <m:begChr m:val="("/>
            <m:endChr m:val=")"/>
            <m:sepChr m:val=""/>
            <m:grow/>
          </m:dPr>
          <m:e>
            <m:r>
              <m:t>τ</m:t>
            </m:r>
          </m:e>
        </m:d>
        <m:r>
          <m:rPr>
            <m:sty m:val="p"/>
          </m:rPr>
          <m:t>+</m:t>
        </m:r>
        <m:sSub>
          <m:e>
            <m:r>
              <m:t>β</m:t>
            </m:r>
          </m:e>
          <m:sub>
            <m:r>
              <m:t>1</m:t>
            </m:r>
          </m:sub>
        </m:sSub>
        <m:d>
          <m:dPr>
            <m:begChr m:val="("/>
            <m:endChr m:val=")"/>
            <m:sepChr m:val=""/>
            <m:grow/>
          </m:dPr>
          <m:e>
            <m:r>
              <m:t>τ</m:t>
            </m:r>
          </m:e>
        </m:d>
        <m:r>
          <m:t> </m:t>
        </m:r>
        <m:r>
          <m:rPr>
            <m:sty m:val="p"/>
          </m:rPr>
          <m:t>T</m:t>
        </m:r>
        <m:r>
          <m:rPr>
            <m:sty m:val="p"/>
          </m:rPr>
          <m:t>R</m:t>
        </m:r>
        <m:r>
          <m:rPr>
            <m:sty m:val="p"/>
          </m:rPr>
          <m:t>F</m:t>
        </m:r>
        <m:r>
          <m:rPr>
            <m:sty m:val="p"/>
          </m:rPr>
          <m:t>S</m:t>
        </m:r>
        <m:r>
          <m:rPr>
            <m:sty m:val="p"/>
          </m:rPr>
          <m:t>/</m:t>
        </m:r>
        <m:r>
          <m:t>10</m:t>
        </m:r>
      </m:oMath>
      <w:r>
        <w:t xml:space="preserve"> </w:t>
      </w:r>
      <w:r>
        <w:t xml:space="preserve">for</w:t>
      </w:r>
      <w:r>
        <w:t xml:space="preserve"> </w:t>
      </w:r>
      <m:oMath>
        <m:r>
          <m:t>τ</m:t>
        </m:r>
        <m:r>
          <m:rPr>
            <m:sty m:val="p"/>
          </m:rPr>
          <m:t>=</m:t>
        </m:r>
        <m:r>
          <m:t>0.10</m:t>
        </m:r>
        <m:r>
          <m:rPr>
            <m:sty m:val="p"/>
          </m:rPr>
          <m:t>,</m:t>
        </m:r>
        <m:r>
          <m:rPr>
            <m:sty m:val="p"/>
          </m:rPr>
          <m:t>…</m:t>
        </m:r>
        <m:r>
          <m:rPr>
            <m:sty m:val="p"/>
          </m:rPr>
          <m:t>,</m:t>
        </m:r>
        <m:r>
          <m:t>0.90</m:t>
        </m:r>
      </m:oMath>
      <w:r>
        <w:t xml:space="preserve"> </w:t>
      </w:r>
      <w:r>
        <w:t xml:space="preserve">by minimising</w:t>
      </w:r>
      <w:r>
        <w:t xml:space="preserve"> </w:t>
      </w:r>
      <m:oMath>
        <m:nary>
          <m:naryPr>
            <m:chr m:val="∑"/>
            <m:limLoc m:val="undOvr"/>
            <m:subHide m:val="off"/>
            <m:supHide m:val="on"/>
          </m:naryPr>
          <m:sub>
            <m:r>
              <m:t>i</m:t>
            </m:r>
          </m:sub>
          <m:sup>
            <m:r>
              <m:t>​</m:t>
            </m:r>
          </m:sup>
          <m:e>
            <m:sSub>
              <m:e>
                <m:r>
                  <m:t>ρ</m:t>
                </m:r>
              </m:e>
              <m:sub>
                <m:r>
                  <m:t>τ</m:t>
                </m:r>
              </m:sub>
            </m:sSub>
          </m:e>
        </m:nary>
        <m:d>
          <m:dPr>
            <m:begChr m:val="("/>
            <m:endChr m:val=")"/>
            <m:sepChr m:val=""/>
            <m:grow/>
          </m:dPr>
          <m:e>
            <m:sSub>
              <m:e>
                <m:r>
                  <m:t>y</m:t>
                </m:r>
              </m:e>
              <m:sub>
                <m:r>
                  <m:t>i</m:t>
                </m:r>
              </m:sub>
            </m:sSub>
            <m:r>
              <m:rPr>
                <m:sty m:val="p"/>
              </m:rPr>
              <m:t>−</m:t>
            </m:r>
            <m:sSubSup>
              <m:e>
                <m:r>
                  <m:rPr>
                    <m:sty m:val="b"/>
                  </m:rPr>
                  <m:t>x</m:t>
                </m:r>
              </m:e>
              <m:sub>
                <m:r>
                  <m:t>i</m:t>
                </m:r>
              </m:sub>
              <m:sup>
                <m:r>
                  <m:rPr>
                    <m:sty m:val="p"/>
                  </m:rPr>
                  <m:t>⊤</m:t>
                </m:r>
              </m:sup>
            </m:sSubSup>
            <m:r>
              <m:rPr>
                <m:sty m:val="b"/>
              </m:rPr>
              <m:t>β</m:t>
            </m:r>
          </m:e>
        </m:d>
      </m:oMath>
      <w:r>
        <w:t xml:space="preserve"> </w:t>
      </w:r>
      <w:r>
        <w:t xml:space="preserve">with</w:t>
      </w:r>
      <w:r>
        <w:t xml:space="preserve"> </w:t>
      </w:r>
      <m:oMath>
        <m:sSub>
          <m:e>
            <m:r>
              <m:t>ρ</m:t>
            </m:r>
          </m:e>
          <m:sub>
            <m:r>
              <m:t>τ</m:t>
            </m:r>
          </m:sub>
        </m:sSub>
        <m:d>
          <m:dPr>
            <m:begChr m:val="("/>
            <m:endChr m:val=")"/>
            <m:sepChr m:val=""/>
            <m:grow/>
          </m:dPr>
          <m:e>
            <m:r>
              <m:t>u</m:t>
            </m:r>
          </m:e>
        </m:d>
        <m:r>
          <m:rPr>
            <m:sty m:val="p"/>
          </m:rPr>
          <m:t>=</m:t>
        </m:r>
        <m:r>
          <m:t>u</m:t>
        </m:r>
        <m:r>
          <m:t> </m:t>
        </m:r>
        <m:d>
          <m:dPr>
            <m:begChr m:val="("/>
            <m:endChr m:val=")"/>
            <m:sepChr m:val=""/>
            <m:grow/>
          </m:dPr>
          <m:e>
            <m:r>
              <m:t>τ</m:t>
            </m:r>
            <m:r>
              <m:rPr>
                <m:sty m:val="p"/>
              </m:rPr>
              <m:t>−</m:t>
            </m:r>
            <m:r>
              <m:rPr>
                <m:sty m:val="p"/>
                <m:scr m:val="double-struck"/>
              </m:rPr>
              <m:t>1</m:t>
            </m:r>
            <m:r>
              <m:rPr>
                <m:sty m:val="p"/>
              </m:rPr>
              <m:t>{</m:t>
            </m:r>
            <m:r>
              <m:t>u</m:t>
            </m:r>
            <m:r>
              <m:rPr>
                <m:sty m:val="p"/>
              </m:rPr>
              <m:t>&lt;</m:t>
            </m:r>
            <m:r>
              <m:t>0</m:t>
            </m:r>
            <m:r>
              <m:rPr>
                <m:sty m:val="p"/>
              </m:rPr>
              <m:t>}</m:t>
            </m:r>
          </m:e>
        </m:d>
      </m:oMath>
      <w:r>
        <w:t xml:space="preserve"> </w:t>
      </w:r>
      <w:r>
        <w:t xml:space="preserve">(Koenker and Bassett 1978)</w:t>
      </w:r>
      <w:r>
        <w:t xml:space="preserve">. The TSI takes only nine values, so we applied the jittering approach of</w:t>
      </w:r>
      <w:r>
        <w:t xml:space="preserve"> </w:t>
      </w:r>
      <w:r>
        <w:t xml:space="preserve">Machado and Santos Silva (2005)</w:t>
      </w:r>
      <w:r>
        <w:t xml:space="preserve">: we added</w:t>
      </w:r>
      <w:r>
        <w:t xml:space="preserve"> </w:t>
      </w:r>
      <m:oMath>
        <m:r>
          <m:t>U</m:t>
        </m:r>
        <m:d>
          <m:dPr>
            <m:begChr m:val="("/>
            <m:endChr m:val=")"/>
            <m:sepChr m:val=""/>
            <m:grow/>
          </m:dPr>
          <m:e>
            <m:r>
              <m:rPr>
                <m:sty m:val="p"/>
              </m:rPr>
              <m:t>−</m:t>
            </m:r>
            <m:r>
              <m:t>6.25</m:t>
            </m:r>
            <m:r>
              <m:rPr>
                <m:sty m:val="p"/>
              </m:rPr>
              <m:t>,</m:t>
            </m:r>
            <m:r>
              <m:t>6.25</m:t>
            </m:r>
          </m:e>
        </m:d>
      </m:oMath>
      <w:r>
        <w:t xml:space="preserve"> </w:t>
      </w:r>
      <w:r>
        <w:t xml:space="preserve">noise (half the TSI step) and averaged the estimates over 20 replications.</w:t>
      </w:r>
    </w:p>
    <w:bookmarkEnd w:id="58"/>
    <w:bookmarkStart w:id="59" w:name="effect-sizes-and-equivalence-tests"/>
    <w:p>
      <w:pPr>
        <w:pStyle w:val="Heading3"/>
      </w:pPr>
      <w:r>
        <w:t xml:space="preserve">Effect sizes and equivalence tests</w:t>
      </w:r>
    </w:p>
    <w:p>
      <w:pPr>
        <w:pStyle w:val="FirstParagraph"/>
      </w:pPr>
      <w:r>
        <w:t xml:space="preserve">For each activity we computed Cohen’s</w:t>
      </w:r>
      <w:r>
        <w:t xml:space="preserve"> </w:t>
      </w:r>
      <m:oMath>
        <m:sSub>
          <m:e>
            <m:r>
              <m:t>d</m:t>
            </m:r>
          </m:e>
          <m:sub>
            <m:r>
              <m:t>z</m:t>
            </m:r>
          </m:sub>
        </m:sSub>
        <m:r>
          <m:rPr>
            <m:sty m:val="p"/>
          </m:rPr>
          <m:t>=</m:t>
        </m:r>
        <m:d>
          <m:dPr>
            <m:begChr m:val="("/>
            <m:endChr m:val=")"/>
            <m:sepChr m:val=""/>
            <m:grow/>
          </m:dPr>
          <m:e>
            <m:acc>
              <m:accPr>
                <m:chr m:val="‾"/>
              </m:accPr>
              <m:e>
                <m:r>
                  <m:t>x</m:t>
                </m:r>
              </m:e>
            </m:acc>
            <m:r>
              <m:rPr>
                <m:sty m:val="p"/>
              </m:rPr>
              <m:t>−</m:t>
            </m:r>
            <m:r>
              <m:t>50</m:t>
            </m:r>
          </m:e>
        </m:d>
        <m:r>
          <m:rPr>
            <m:sty m:val="p"/>
          </m:rPr>
          <m:t>/</m:t>
        </m:r>
        <m:r>
          <m:t>s</m:t>
        </m:r>
      </m:oMath>
      <w:r>
        <w:t xml:space="preserve"> </w:t>
      </w:r>
      <w:r>
        <w:t xml:space="preserve">against the neutral centre of the partial-assistance band, with</w:t>
      </w:r>
      <w:r>
        <w:t xml:space="preserve"> </w:t>
      </w:r>
      <m:oMath>
        <m:r>
          <m:rPr>
            <m:sty m:val="p"/>
          </m:rPr>
          <m:t>S</m:t>
        </m:r>
        <m:r>
          <m:rPr>
            <m:sty m:val="p"/>
          </m:rPr>
          <m:t>E</m:t>
        </m:r>
        <m:d>
          <m:dPr>
            <m:begChr m:val="("/>
            <m:endChr m:val=")"/>
            <m:sepChr m:val=""/>
            <m:grow/>
          </m:dPr>
          <m:e>
            <m:sSub>
              <m:e>
                <m:r>
                  <m:t>d</m:t>
                </m:r>
              </m:e>
              <m:sub>
                <m:r>
                  <m:t>z</m:t>
                </m:r>
              </m:sub>
            </m:sSub>
          </m:e>
        </m:d>
        <m:r>
          <m:rPr>
            <m:sty m:val="p"/>
          </m:rPr>
          <m:t>≈</m:t>
        </m:r>
        <m:rad>
          <m:radPr>
            <m:degHide m:val="on"/>
          </m:radPr>
          <m:deg/>
          <m:e>
            <m:r>
              <m:t>1</m:t>
            </m:r>
            <m:r>
              <m:rPr>
                <m:sty m:val="p"/>
              </m:rPr>
              <m:t>/</m:t>
            </m:r>
            <m:r>
              <m:t>n</m:t>
            </m:r>
            <m:r>
              <m:rPr>
                <m:sty m:val="p"/>
              </m:rPr>
              <m:t>+</m:t>
            </m:r>
            <m:sSubSup>
              <m:e>
                <m:r>
                  <m:t>d</m:t>
                </m:r>
              </m:e>
              <m:sub>
                <m:r>
                  <m:t>z</m:t>
                </m:r>
              </m:sub>
              <m:sup>
                <m:r>
                  <m:t>2</m:t>
                </m:r>
              </m:sup>
            </m:sSubSup>
            <m:r>
              <m:rPr>
                <m:sty m:val="p"/>
              </m:rPr>
              <m:t>/</m:t>
            </m:r>
            <m:d>
              <m:dPr>
                <m:begChr m:val="("/>
                <m:endChr m:val=")"/>
                <m:sepChr m:val=""/>
                <m:grow/>
              </m:dPr>
              <m:e>
                <m:r>
                  <m:t>2</m:t>
                </m:r>
                <m:r>
                  <m:t>n</m:t>
                </m:r>
              </m:e>
            </m:d>
          </m:e>
        </m:rad>
      </m:oMath>
      <w:r>
        <w:t xml:space="preserve">. Because the large sample makes almost every difference</w:t>
      </w:r>
      <w:r>
        <w:t xml:space="preserve"> </w:t>
      </w:r>
      <w:r>
        <w:t xml:space="preserve">“</w:t>
      </w:r>
      <w:r>
        <w:t xml:space="preserve">significant</w:t>
      </w:r>
      <w:r>
        <w:t xml:space="preserve">”</w:t>
      </w:r>
      <w:r>
        <w:t xml:space="preserve">, we also tested</w:t>
      </w:r>
      <w:r>
        <w:t xml:space="preserve"> </w:t>
      </w:r>
      <w:r>
        <w:rPr>
          <w:iCs/>
          <w:i/>
        </w:rPr>
        <w:t xml:space="preserve">practical equivalence</w:t>
      </w:r>
      <w:r>
        <w:t xml:space="preserve"> </w:t>
      </w:r>
      <w:r>
        <w:t xml:space="preserve">to 50 with the two one-sided tests (TOST) procedure</w:t>
      </w:r>
      <w:r>
        <w:t xml:space="preserve"> </w:t>
      </w:r>
      <w:r>
        <w:t xml:space="preserve">(Schuirmann 1987; Lakens 2017)</w:t>
      </w:r>
      <w:r>
        <w:t xml:space="preserve">. The smallest effect size of interest was</w:t>
      </w:r>
      <w:r>
        <w:t xml:space="preserve"> </w:t>
      </w:r>
      <m:oMath>
        <m:r>
          <m:t>Δ</m:t>
        </m:r>
        <m:r>
          <m:rPr>
            <m:sty m:val="p"/>
          </m:rPr>
          <m:t>=</m:t>
        </m:r>
        <m:r>
          <m:rPr>
            <m:sty m:val="p"/>
          </m:rPr>
          <m:t>±</m:t>
        </m:r>
        <m:r>
          <m:t>2</m:t>
        </m:r>
      </m:oMath>
      <w:r>
        <w:t xml:space="preserve"> </w:t>
      </w:r>
      <w:r>
        <w:t xml:space="preserve">TRFS points (2% of the scale). Equivalence is declared when both</w:t>
      </w:r>
      <w:r>
        <w:t xml:space="preserve"> </w:t>
      </w:r>
      <m:oMath>
        <m:sSub>
          <m:e>
            <m:r>
              <m:t>t</m:t>
            </m:r>
          </m:e>
          <m:sub>
            <m:r>
              <m:t>1</m:t>
            </m:r>
          </m:sub>
        </m:sSub>
        <m:r>
          <m:rPr>
            <m:sty m:val="p"/>
          </m:rPr>
          <m:t>=</m:t>
        </m:r>
        <m:d>
          <m:dPr>
            <m:begChr m:val="("/>
            <m:endChr m:val=")"/>
            <m:sepChr m:val=""/>
            <m:grow/>
          </m:dPr>
          <m:e>
            <m:acc>
              <m:accPr>
                <m:chr m:val="‾"/>
              </m:accPr>
              <m:e>
                <m:r>
                  <m:t>x</m:t>
                </m:r>
              </m:e>
            </m:acc>
            <m:r>
              <m:rPr>
                <m:sty m:val="p"/>
              </m:rPr>
              <m:t>−</m:t>
            </m:r>
            <m:d>
              <m:dPr>
                <m:begChr m:val="("/>
                <m:endChr m:val=")"/>
                <m:sepChr m:val=""/>
                <m:grow/>
              </m:dPr>
              <m:e>
                <m:r>
                  <m:t>50</m:t>
                </m:r>
                <m:r>
                  <m:rPr>
                    <m:sty m:val="p"/>
                  </m:rPr>
                  <m:t>−</m:t>
                </m:r>
                <m:r>
                  <m:t>Δ</m:t>
                </m:r>
              </m:e>
            </m:d>
          </m:e>
        </m:d>
        <m:r>
          <m:rPr>
            <m:sty m:val="p"/>
          </m:rPr>
          <m:t>/</m:t>
        </m:r>
        <m:r>
          <m:rPr>
            <m:sty m:val="p"/>
          </m:rPr>
          <m:t>S</m:t>
        </m:r>
        <m:r>
          <m:rPr>
            <m:sty m:val="p"/>
          </m:rPr>
          <m:t>E</m:t>
        </m:r>
      </m:oMath>
      <w:r>
        <w:t xml:space="preserve"> </w:t>
      </w:r>
      <w:r>
        <w:t xml:space="preserve">and</w:t>
      </w:r>
      <w:r>
        <w:t xml:space="preserve"> </w:t>
      </w:r>
      <m:oMath>
        <m:sSub>
          <m:e>
            <m:r>
              <m:t>t</m:t>
            </m:r>
          </m:e>
          <m:sub>
            <m:r>
              <m:t>2</m:t>
            </m:r>
          </m:sub>
        </m:sSub>
        <m:r>
          <m:rPr>
            <m:sty m:val="p"/>
          </m:rPr>
          <m:t>=</m:t>
        </m:r>
        <m:d>
          <m:dPr>
            <m:begChr m:val="("/>
            <m:endChr m:val=")"/>
            <m:sepChr m:val=""/>
            <m:grow/>
          </m:dPr>
          <m:e>
            <m:acc>
              <m:accPr>
                <m:chr m:val="‾"/>
              </m:accPr>
              <m:e>
                <m:r>
                  <m:t>x</m:t>
                </m:r>
              </m:e>
            </m:acc>
            <m:r>
              <m:rPr>
                <m:sty m:val="p"/>
              </m:rPr>
              <m:t>−</m:t>
            </m:r>
            <m:d>
              <m:dPr>
                <m:begChr m:val="("/>
                <m:endChr m:val=")"/>
                <m:sepChr m:val=""/>
                <m:grow/>
              </m:dPr>
              <m:e>
                <m:r>
                  <m:t>50</m:t>
                </m:r>
                <m:r>
                  <m:rPr>
                    <m:sty m:val="p"/>
                  </m:rPr>
                  <m:t>+</m:t>
                </m:r>
                <m:r>
                  <m:t>Δ</m:t>
                </m:r>
              </m:e>
            </m:d>
          </m:e>
        </m:d>
        <m:r>
          <m:rPr>
            <m:sty m:val="p"/>
          </m:rPr>
          <m:t>/</m:t>
        </m:r>
        <m:r>
          <m:rPr>
            <m:sty m:val="p"/>
          </m:rPr>
          <m:t>S</m:t>
        </m:r>
        <m:r>
          <m:rPr>
            <m:sty m:val="p"/>
          </m:rPr>
          <m:t>E</m:t>
        </m:r>
      </m:oMath>
      <w:r>
        <w:t xml:space="preserve"> </w:t>
      </w:r>
      <w:r>
        <w:t xml:space="preserve">reject their one-sided nulls at</w:t>
      </w:r>
      <w:r>
        <w:t xml:space="preserve"> </w:t>
      </w:r>
      <m:oMath>
        <m:r>
          <m:t>α</m:t>
        </m:r>
        <m:r>
          <m:rPr>
            <m:sty m:val="p"/>
          </m:rPr>
          <m:t>=</m:t>
        </m:r>
        <m:r>
          <m:t>0.05</m:t>
        </m:r>
      </m:oMath>
      <w:r>
        <w:t xml:space="preserve">.</w:t>
      </w:r>
    </w:p>
    <w:bookmarkEnd w:id="59"/>
    <w:bookmarkStart w:id="60" w:name="measurement-invariance"/>
    <w:p>
      <w:pPr>
        <w:pStyle w:val="Heading3"/>
      </w:pPr>
      <w:r>
        <w:t xml:space="preserve">Measurement invariance</w:t>
      </w:r>
    </w:p>
    <w:p>
      <w:pPr>
        <w:pStyle w:val="FirstParagraph"/>
      </w:pPr>
      <w:r>
        <w:t xml:space="preserve">We fitted the eight-factor CFA separately by gender, level of study, field of study and questionnaire language (groups with</w:t>
      </w:r>
      <w:r>
        <w:t xml:space="preserve"> </w:t>
      </w:r>
      <m:oMath>
        <m:r>
          <m:t>n</m:t>
        </m:r>
        <m:r>
          <m:rPr>
            <m:sty m:val="p"/>
          </m:rPr>
          <m:t>≥</m:t>
        </m:r>
        <m:r>
          <m:t>300</m:t>
        </m:r>
      </m:oMath>
      <w:r>
        <w:t xml:space="preserve">). For each factor we compared group loadings</w:t>
      </w:r>
      <w:r>
        <w:t xml:space="preserve"> </w:t>
      </w:r>
      <m:oMath>
        <m:sSub>
          <m:e>
            <m:r>
              <m:rPr>
                <m:sty m:val="b"/>
              </m:rPr>
              <m:t>λ</m:t>
            </m:r>
          </m:e>
          <m:sub>
            <m:r>
              <m:t>g</m:t>
            </m:r>
          </m:sub>
        </m:sSub>
      </m:oMath>
      <w:r>
        <w:t xml:space="preserve"> </w:t>
      </w:r>
      <w:r>
        <w:t xml:space="preserve">with pooled loadings</w:t>
      </w:r>
      <w:r>
        <w:t xml:space="preserve"> </w:t>
      </w:r>
      <m:oMath>
        <m:sSub>
          <m:e>
            <m:r>
              <m:rPr>
                <m:sty m:val="b"/>
              </m:rPr>
              <m:t>λ</m:t>
            </m:r>
          </m:e>
          <m:sub>
            <m:r>
              <m:t>0</m:t>
            </m:r>
          </m:sub>
        </m:sSub>
      </m:oMath>
      <w:r>
        <w:t xml:space="preserve"> </w:t>
      </w:r>
      <w:r>
        <w:t xml:space="preserve">using Tucker’s congruence coefficient</w:t>
      </w:r>
    </w:p>
    <w:p>
      <w:pPr>
        <w:pStyle w:val="BodyText"/>
      </w:pPr>
      <m:oMathPara>
        <m:oMathParaPr>
          <m:jc m:val="center"/>
        </m:oMathParaPr>
        <m:oMath>
          <m:r>
            <m:t>φ</m:t>
          </m:r>
          <m:d>
            <m:dPr>
              <m:begChr m:val="("/>
              <m:endChr m:val=")"/>
              <m:sepChr m:val=""/>
              <m:grow/>
            </m:dPr>
            <m:e>
              <m:sSub>
                <m:e>
                  <m:r>
                    <m:rPr>
                      <m:sty m:val="b"/>
                    </m:rPr>
                    <m:t>λ</m:t>
                  </m:r>
                </m:e>
                <m:sub>
                  <m:r>
                    <m:t>g</m:t>
                  </m:r>
                </m:sub>
              </m:sSub>
              <m:r>
                <m:rPr>
                  <m:sty m:val="p"/>
                </m:rPr>
                <m:t>,</m:t>
              </m:r>
              <m:sSub>
                <m:e>
                  <m:r>
                    <m:rPr>
                      <m:sty m:val="b"/>
                    </m:rPr>
                    <m:t>λ</m:t>
                  </m:r>
                </m:e>
                <m:sub>
                  <m:r>
                    <m:t>0</m:t>
                  </m:r>
                </m:sub>
              </m:sSub>
            </m:e>
          </m:d>
          <m:r>
            <m:rPr>
              <m:sty m:val="p"/>
            </m:rPr>
            <m:t>=</m:t>
          </m:r>
          <m:f>
            <m:fPr>
              <m:type m:val="bar"/>
            </m:fPr>
            <m:num>
              <m:nary>
                <m:naryPr>
                  <m:chr m:val="∑"/>
                  <m:limLoc m:val="undOvr"/>
                  <m:subHide m:val="off"/>
                  <m:supHide m:val="on"/>
                </m:naryPr>
                <m:sub>
                  <m:r>
                    <m:t>i</m:t>
                  </m:r>
                </m:sub>
                <m:sup>
                  <m:r>
                    <m:t>​</m:t>
                  </m:r>
                </m:sup>
                <m:e>
                  <m:sSub>
                    <m:e>
                      <m:r>
                        <m:t>λ</m:t>
                      </m:r>
                    </m:e>
                    <m:sub>
                      <m:r>
                        <m:t>g</m:t>
                      </m:r>
                      <m:r>
                        <m:t>i</m:t>
                      </m:r>
                    </m:sub>
                  </m:sSub>
                </m:e>
              </m:nary>
              <m:sSub>
                <m:e>
                  <m:r>
                    <m:t>λ</m:t>
                  </m:r>
                </m:e>
                <m:sub>
                  <m:r>
                    <m:t>0</m:t>
                  </m:r>
                  <m:r>
                    <m:t>i</m:t>
                  </m:r>
                </m:sub>
              </m:sSub>
            </m:num>
            <m:den>
              <m:rad>
                <m:radPr>
                  <m:degHide m:val="on"/>
                </m:radPr>
                <m:deg/>
                <m:e>
                  <m:nary>
                    <m:naryPr>
                      <m:chr m:val="∑"/>
                      <m:limLoc m:val="undOvr"/>
                      <m:subHide m:val="off"/>
                      <m:supHide m:val="on"/>
                    </m:naryPr>
                    <m:sub>
                      <m:r>
                        <m:t>i</m:t>
                      </m:r>
                    </m:sub>
                    <m:sup>
                      <m:r>
                        <m:t>​</m:t>
                      </m:r>
                    </m:sup>
                    <m:e>
                      <m:sSubSup>
                        <m:e>
                          <m:r>
                            <m:t>λ</m:t>
                          </m:r>
                        </m:e>
                        <m:sub>
                          <m:r>
                            <m:t>g</m:t>
                          </m:r>
                          <m:r>
                            <m:t>i</m:t>
                          </m:r>
                        </m:sub>
                        <m:sup>
                          <m:r>
                            <m:t>2</m:t>
                          </m:r>
                        </m:sup>
                      </m:sSubSup>
                    </m:e>
                  </m:nary>
                  <m:nary>
                    <m:naryPr>
                      <m:chr m:val="∑"/>
                      <m:limLoc m:val="undOvr"/>
                      <m:subHide m:val="off"/>
                      <m:supHide m:val="on"/>
                    </m:naryPr>
                    <m:sub>
                      <m:r>
                        <m:t>i</m:t>
                      </m:r>
                    </m:sub>
                    <m:sup>
                      <m:r>
                        <m:t>​</m:t>
                      </m:r>
                    </m:sup>
                    <m:e>
                      <m:sSubSup>
                        <m:e>
                          <m:r>
                            <m:t>λ</m:t>
                          </m:r>
                        </m:e>
                        <m:sub>
                          <m:r>
                            <m:t>0</m:t>
                          </m:r>
                          <m:r>
                            <m:t>i</m:t>
                          </m:r>
                        </m:sub>
                        <m:sup>
                          <m:r>
                            <m:t>2</m:t>
                          </m:r>
                        </m:sup>
                      </m:sSubSup>
                    </m:e>
                  </m:nary>
                </m:e>
              </m:rad>
            </m:den>
          </m:f>
          <m:r>
            <m:rPr>
              <m:sty m:val="p"/>
            </m:rPr>
            <m:t>,</m:t>
          </m:r>
          <m:r>
            <m:t>  </m:t>
          </m:r>
          <m:r>
            <m:t>  </m:t>
          </m:r>
          <m:d>
            <m:dPr>
              <m:begChr m:val="("/>
              <m:endChr m:val=")"/>
              <m:sepChr m:val=""/>
              <m:grow/>
            </m:dPr>
            <m:e>
              <m:r>
                <m:t>8</m:t>
              </m:r>
            </m:e>
          </m:d>
        </m:oMath>
      </m:oMathPara>
    </w:p>
    <w:p>
      <w:pPr>
        <w:pStyle w:val="FirstParagraph"/>
      </w:pPr>
      <w:r>
        <w:t xml:space="preserve">where</w:t>
      </w:r>
      <w:r>
        <w:t xml:space="preserve"> </w:t>
      </w:r>
      <m:oMath>
        <m:r>
          <m:t>φ</m:t>
        </m:r>
        <m:r>
          <m:rPr>
            <m:sty m:val="p"/>
          </m:rPr>
          <m:t>≥</m:t>
        </m:r>
        <m:r>
          <m:t>0.95</m:t>
        </m:r>
      </m:oMath>
      <w:r>
        <w:t xml:space="preserve"> </w:t>
      </w:r>
      <w:r>
        <w:t xml:space="preserve">indicates that the factors can be considered equal</w:t>
      </w:r>
      <w:r>
        <w:t xml:space="preserve"> </w:t>
      </w:r>
      <w:r>
        <w:t xml:space="preserve">(Lorenzo-Seva and ten Berge 2006)</w:t>
      </w:r>
      <w:r>
        <w:t xml:space="preserve">.</w:t>
      </w:r>
    </w:p>
    <w:bookmarkEnd w:id="60"/>
    <w:bookmarkStart w:id="61" w:name="student-typologies"/>
    <w:p>
      <w:pPr>
        <w:pStyle w:val="Heading3"/>
      </w:pPr>
      <w:r>
        <w:t xml:space="preserve">Student typologies</w:t>
      </w:r>
    </w:p>
    <w:p>
      <w:pPr>
        <w:pStyle w:val="FirstParagraph"/>
      </w:pPr>
      <w:r>
        <w:t xml:space="preserve">To identify groups of students with similar activity-capability profiles we applied</w:t>
      </w:r>
      <w:r>
        <w:t xml:space="preserve"> </w:t>
      </w:r>
      <m:oMath>
        <m:r>
          <m:t>k</m:t>
        </m:r>
      </m:oMath>
      <w:r>
        <w:t xml:space="preserve">-means clustering</w:t>
      </w:r>
      <w:r>
        <w:t xml:space="preserve"> </w:t>
      </w:r>
      <w:r>
        <w:t xml:space="preserve">(Lloyd 1982)</w:t>
      </w:r>
      <w:r>
        <w:t xml:space="preserve"> </w:t>
      </w:r>
      <w:r>
        <w:t xml:space="preserve">to the ten standardised activity capabilities for</w:t>
      </w:r>
      <w:r>
        <w:t xml:space="preserve"> </w:t>
      </w:r>
      <m:oMath>
        <m:r>
          <m:t>k</m:t>
        </m:r>
        <m:r>
          <m:rPr>
            <m:sty m:val="p"/>
          </m:rPr>
          <m:t>=</m:t>
        </m:r>
        <m:r>
          <m:t>2</m:t>
        </m:r>
        <m:r>
          <m:rPr>
            <m:sty m:val="p"/>
          </m:rPr>
          <m:t>,</m:t>
        </m:r>
        <m:r>
          <m:rPr>
            <m:sty m:val="p"/>
          </m:rPr>
          <m:t>…</m:t>
        </m:r>
        <m:r>
          <m:rPr>
            <m:sty m:val="p"/>
          </m:rPr>
          <m:t>,</m:t>
        </m:r>
        <m:r>
          <m:t>6</m:t>
        </m:r>
      </m:oMath>
      <w:r>
        <w:t xml:space="preserve">. The number of clusters was fixed by a pre-declared rule: the highest mean silhouette</w:t>
      </w:r>
      <w:r>
        <w:t xml:space="preserve"> </w:t>
      </w:r>
      <m:oMath>
        <m:r>
          <m:t>s</m:t>
        </m:r>
        <m:d>
          <m:dPr>
            <m:begChr m:val="("/>
            <m:endChr m:val=")"/>
            <m:sepChr m:val=""/>
            <m:grow/>
          </m:dPr>
          <m:e>
            <m:r>
              <m:t>i</m:t>
            </m:r>
          </m:e>
        </m:d>
        <m:r>
          <m:rPr>
            <m:sty m:val="p"/>
          </m:rPr>
          <m:t>=</m:t>
        </m:r>
        <m:d>
          <m:dPr>
            <m:begChr m:val="("/>
            <m:endChr m:val=")"/>
            <m:sepChr m:val=""/>
            <m:grow/>
          </m:dPr>
          <m:e>
            <m:sSub>
              <m:e>
                <m:r>
                  <m:t>b</m:t>
                </m:r>
              </m:e>
              <m:sub>
                <m:r>
                  <m:t>i</m:t>
                </m:r>
              </m:sub>
            </m:sSub>
            <m:r>
              <m:rPr>
                <m:sty m:val="p"/>
              </m:rPr>
              <m:t>−</m:t>
            </m:r>
            <m:sSub>
              <m:e>
                <m:r>
                  <m:t>a</m:t>
                </m:r>
              </m:e>
              <m:sub>
                <m:r>
                  <m:t>i</m:t>
                </m:r>
              </m:sub>
            </m:sSub>
          </m:e>
        </m:d>
        <m:r>
          <m:rPr>
            <m:sty m:val="p"/>
          </m:rPr>
          <m:t>/</m:t>
        </m:r>
        <m:r>
          <m:rPr>
            <m:sty m:val="p"/>
          </m:rPr>
          <m:t>max</m:t>
        </m:r>
        <m:d>
          <m:dPr>
            <m:begChr m:val="("/>
            <m:endChr m:val=")"/>
            <m:sepChr m:val=""/>
            <m:grow/>
          </m:dPr>
          <m:e>
            <m:sSub>
              <m:e>
                <m:r>
                  <m:t>a</m:t>
                </m:r>
              </m:e>
              <m:sub>
                <m:r>
                  <m:t>i</m:t>
                </m:r>
              </m:sub>
            </m:sSub>
            <m:r>
              <m:rPr>
                <m:sty m:val="p"/>
              </m:rPr>
              <m:t>,</m:t>
            </m:r>
            <m:sSub>
              <m:e>
                <m:r>
                  <m:t>b</m:t>
                </m:r>
              </m:e>
              <m:sub>
                <m:r>
                  <m:t>i</m:t>
                </m:r>
              </m:sub>
            </m:sSub>
          </m:e>
        </m:d>
      </m:oMath>
      <w:r>
        <w:t xml:space="preserve"> </w:t>
      </w:r>
      <w:r>
        <w:t xml:space="preserve">(Rousseeuw 1987)</w:t>
      </w:r>
      <w:r>
        <w:t xml:space="preserve"> </w:t>
      </w:r>
      <w:r>
        <w:t xml:space="preserve">among solutions whose bootstrap stability, the mean adjusted Rand index</w:t>
      </w:r>
      <w:r>
        <w:t xml:space="preserve"> </w:t>
      </w:r>
      <w:r>
        <w:t xml:space="preserve">(Hubert and Arabie 1985)</w:t>
      </w:r>
      <w:r>
        <w:t xml:space="preserve"> </w:t>
      </w:r>
      <w:r>
        <w:t xml:space="preserve">over 20 resamples, was at least 0.90. Distributions of all activity scores are visualised as raincloud plots</w:t>
      </w:r>
      <w:r>
        <w:t xml:space="preserve"> </w:t>
      </w:r>
      <w:r>
        <w:t xml:space="preserve">(Allen et al. 2019)</w:t>
      </w:r>
      <w:r>
        <w:t xml:space="preserve">.</w:t>
      </w:r>
    </w:p>
    <w:bookmarkEnd w:id="61"/>
    <w:bookmarkEnd w:id="62"/>
    <w:bookmarkStart w:id="63" w:name="subgroup-analysis-and-software"/>
    <w:p>
      <w:pPr>
        <w:pStyle w:val="Heading2"/>
      </w:pPr>
      <w:r>
        <w:rPr>
          <w:rStyle w:val="SectionNumber"/>
        </w:rPr>
        <w:t xml:space="preserve">4.11</w:t>
      </w:r>
      <w:r>
        <w:tab/>
      </w:r>
      <w:r>
        <w:t xml:space="preserve">Subgroup analysis and software</w:t>
      </w:r>
    </w:p>
    <w:p>
      <w:pPr>
        <w:pStyle w:val="FirstParagraph"/>
      </w:pPr>
      <w:r>
        <w:t xml:space="preserve">Differences in TRFS by gender, level of study, field of study, mode of study and ChatGPT version were tested with Kruskal–Wallis tests, with</w:t>
      </w:r>
      <w:r>
        <w:t xml:space="preserve"> </w:t>
      </w:r>
      <m:oMath>
        <m:sSup>
          <m:e>
            <m:r>
              <m:t>ε</m:t>
            </m:r>
          </m:e>
          <m:sup>
            <m:r>
              <m:t>2</m:t>
            </m:r>
          </m:sup>
        </m:sSup>
      </m:oMath>
      <w:r>
        <w:t xml:space="preserve"> </w:t>
      </w:r>
      <w:r>
        <w:t xml:space="preserve">as effect size. All analyses were run in Python 3.13 with NumPy, pandas, SciPy and scikit-learn</w:t>
      </w:r>
      <w:r>
        <w:t xml:space="preserve"> </w:t>
      </w:r>
      <w:r>
        <w:t xml:space="preserve">(Pedregosa et al. 2011)</w:t>
      </w:r>
      <w:r>
        <w:t xml:space="preserve">. The CFA was estimated with a purpose-written maximum-likelihood routine (SciPy L-BFGS-B). A fixed random seed (2024) was used throughout. The complete pipeline, which regenerates every table and figure, is available from the author (see Declarations).</w:t>
      </w:r>
    </w:p>
    <w:bookmarkEnd w:id="63"/>
    <w:bookmarkEnd w:id="64"/>
    <w:bookmarkStart w:id="116" w:name="results"/>
    <w:p>
      <w:pPr>
        <w:pStyle w:val="Heading1"/>
      </w:pPr>
      <w:r>
        <w:rPr>
          <w:rStyle w:val="SectionNumber"/>
        </w:rPr>
        <w:t xml:space="preserve">5</w:t>
      </w:r>
      <w:r>
        <w:tab/>
      </w:r>
      <w:r>
        <w:t xml:space="preserve">Results</w:t>
      </w:r>
    </w:p>
    <w:bookmarkStart w:id="65" w:name="measurement-model"/>
    <w:p>
      <w:pPr>
        <w:pStyle w:val="Heading2"/>
      </w:pPr>
      <w:r>
        <w:rPr>
          <w:rStyle w:val="SectionNumber"/>
        </w:rPr>
        <w:t xml:space="preserve">5.1</w:t>
      </w:r>
      <w:r>
        <w:tab/>
      </w:r>
      <w:r>
        <w:t xml:space="preserve">Measurement model</w:t>
      </w:r>
    </w:p>
    <w:p>
      <w:pPr>
        <w:pStyle w:val="FirstParagraph"/>
      </w:pPr>
      <w:r>
        <w:t xml:space="preserve">The eight-factor CFA fitted the data acceptably:</w:t>
      </w:r>
      <w:r>
        <w:t xml:space="preserve"> </w:t>
      </w:r>
      <m:oMath>
        <m:sSup>
          <m:e>
            <m:r>
              <m:t>χ</m:t>
            </m:r>
          </m:e>
          <m:sup>
            <m:r>
              <m:t>2</m:t>
            </m:r>
          </m:sup>
        </m:sSup>
        <m:d>
          <m:dPr>
            <m:begChr m:val="("/>
            <m:endChr m:val=")"/>
            <m:sepChr m:val=""/>
            <m:grow/>
          </m:dPr>
          <m:e>
            <m:r>
              <m:t>271</m:t>
            </m:r>
          </m:e>
        </m:d>
        <m:r>
          <m:rPr>
            <m:sty m:val="p"/>
          </m:rPr>
          <m:t>=</m:t>
        </m:r>
        <m:r>
          <m:t>9</m:t>
        </m:r>
        <m:r>
          <m:rPr>
            <m:sty m:val="p"/>
          </m:rPr>
          <m:t>,</m:t>
        </m:r>
        <m:r>
          <m:t>046.7</m:t>
        </m:r>
      </m:oMath>
      <w:r>
        <w:t xml:space="preserve"> </w:t>
      </w:r>
      <w:r>
        <w:t xml:space="preserve">(significant, as expected with</w:t>
      </w:r>
      <w:r>
        <w:t xml:space="preserve"> </w:t>
      </w:r>
      <m:oMath>
        <m:r>
          <m:t>N</m:t>
        </m:r>
        <m:r>
          <m:rPr>
            <m:sty m:val="p"/>
          </m:rPr>
          <m:t>&gt;</m:t>
        </m:r>
        <m:r>
          <m:t>10</m:t>
        </m:r>
        <m:r>
          <m:rPr>
            <m:sty m:val="p"/>
          </m:rPr>
          <m:t>,</m:t>
        </m:r>
        <m:r>
          <m:t>000</m:t>
        </m:r>
      </m:oMath>
      <w:r>
        <w:t xml:space="preserve">), CFI </w:t>
      </w:r>
      <m:oMath>
        <m:r>
          <m:rPr>
            <m:sty m:val="p"/>
          </m:rPr>
          <m:t>=</m:t>
        </m:r>
        <m:r>
          <m:t>0.940</m:t>
        </m:r>
      </m:oMath>
      <w:r>
        <w:t xml:space="preserve">, TLI </w:t>
      </w:r>
      <m:oMath>
        <m:r>
          <m:rPr>
            <m:sty m:val="p"/>
          </m:rPr>
          <m:t>=</m:t>
        </m:r>
        <m:r>
          <m:t>0.928</m:t>
        </m:r>
      </m:oMath>
      <w:r>
        <w:t xml:space="preserve">, RMSEA </w:t>
      </w:r>
      <m:oMath>
        <m:r>
          <m:rPr>
            <m:sty m:val="p"/>
          </m:rPr>
          <m:t>=</m:t>
        </m:r>
        <m:r>
          <m:t>0.052</m:t>
        </m:r>
      </m:oMath>
      <w:r>
        <w:t xml:space="preserve">, SRMR </w:t>
      </w:r>
      <m:oMath>
        <m:r>
          <m:rPr>
            <m:sty m:val="p"/>
          </m:rPr>
          <m:t>=</m:t>
        </m:r>
        <m:r>
          <m:t>0.046</m:t>
        </m:r>
      </m:oMath>
      <w:r>
        <w:t xml:space="preserve">. RMSEA and SRMR meet the stricter cut-offs of</w:t>
      </w:r>
      <w:r>
        <w:t xml:space="preserve"> </w:t>
      </w:r>
      <w:r>
        <w:t xml:space="preserve">Hu and Bentler (1999)</w:t>
      </w:r>
      <w:r>
        <w:t xml:space="preserve">, and CFI/TLI exceed the conventional 0.90 benchmark. All standardised loadings were at least 0.53. Cronbach’s</w:t>
      </w:r>
      <w:r>
        <w:t xml:space="preserve"> </w:t>
      </w:r>
      <m:oMath>
        <m:r>
          <m:t>α</m:t>
        </m:r>
      </m:oMath>
      <w:r>
        <w:t xml:space="preserve"> </w:t>
      </w:r>
      <w:r>
        <w:t xml:space="preserve">and CR exceeded 0.70 for every factor (Table 4). AVE was at or above 0.50 for six factors and marginally below it for student engagement and communication. For these two factors CR </w:t>
      </w:r>
      <m:oMath>
        <m:r>
          <m:rPr>
            <m:sty m:val="p"/>
          </m:rPr>
          <m:t>&gt;</m:t>
        </m:r>
        <m:r>
          <m:t>0.70</m:t>
        </m:r>
      </m:oMath>
      <w:r>
        <w:t xml:space="preserve"> </w:t>
      </w:r>
      <w:r>
        <w:t xml:space="preserve">still indicates adequate convergent validity</w:t>
      </w:r>
      <w:r>
        <w:t xml:space="preserve"> </w:t>
      </w:r>
      <w:r>
        <w:t xml:space="preserve">(Fornell and Larcker 1981)</w:t>
      </w:r>
      <w:r>
        <w:t xml:space="preserve">. All HTMT ratios were below 0.85 (maximum 0.81; Table 5), supporting discriminant validity. The stricter Fornell–Larcker criterion was not met for the three learning-outcome factors (SE, P and AC), whose latent correlations reached 0.79; we return to this in Section 7. Harman’s first factor explained 30.5% of the item variance, well below 50%, so common-method variance is unlikely to dominate the results.</w:t>
      </w:r>
    </w:p>
    <w:p>
      <w:pPr>
        <w:pStyle w:val="TableCaption"/>
      </w:pPr>
      <w:r>
        <w:t xml:space="preserve">Table 4. Operationalisation of the eight evaluation factors and measurement-model results (standardised CFA loadings</w:t>
      </w:r>
      <w:r>
        <w:t xml:space="preserve"> </w:t>
      </w:r>
      <m:oMath>
        <m:r>
          <m:t>λ</m:t>
        </m:r>
      </m:oMath>
      <w:r>
        <w:t xml:space="preserve">, Cronbach’s</w:t>
      </w:r>
      <w:r>
        <w:t xml:space="preserve"> </w:t>
      </w:r>
      <m:oMath>
        <m:r>
          <m:t>α</m:t>
        </m:r>
      </m:oMath>
      <w:r>
        <w:t xml:space="preserve">, composite reliability CR, average variance extracted AVE). Items marked (R) are reverse-coded. CFA fit:</w:t>
      </w:r>
      <w:r>
        <w:t xml:space="preserve"> </w:t>
      </w:r>
      <m:oMath>
        <m:sSup>
          <m:e>
            <m:r>
              <m:t>χ</m:t>
            </m:r>
          </m:e>
          <m:sup>
            <m:r>
              <m:t>2</m:t>
            </m:r>
          </m:sup>
        </m:sSup>
        <m:d>
          <m:dPr>
            <m:begChr m:val="("/>
            <m:endChr m:val=")"/>
            <m:sepChr m:val=""/>
            <m:grow/>
          </m:dPr>
          <m:e>
            <m:r>
              <m:t>271</m:t>
            </m:r>
          </m:e>
        </m:d>
        <m:r>
          <m:rPr>
            <m:sty m:val="p"/>
          </m:rPr>
          <m:t>=</m:t>
        </m:r>
        <m:r>
          <m:t>9</m:t>
        </m:r>
        <m:r>
          <m:rPr>
            <m:sty m:val="p"/>
          </m:rPr>
          <m:t>,</m:t>
        </m:r>
        <m:r>
          <m:t>046.7</m:t>
        </m:r>
      </m:oMath>
      <w:r>
        <w:t xml:space="preserve">, CFI </w:t>
      </w:r>
      <m:oMath>
        <m:r>
          <m:rPr>
            <m:sty m:val="p"/>
          </m:rPr>
          <m:t>=</m:t>
        </m:r>
        <m:r>
          <m:t>0.940</m:t>
        </m:r>
      </m:oMath>
      <w:r>
        <w:t xml:space="preserve">, TLI </w:t>
      </w:r>
      <m:oMath>
        <m:r>
          <m:rPr>
            <m:sty m:val="p"/>
          </m:rPr>
          <m:t>=</m:t>
        </m:r>
        <m:r>
          <m:t>0.928</m:t>
        </m:r>
      </m:oMath>
      <w:r>
        <w:t xml:space="preserve">, RMSEA </w:t>
      </w:r>
      <m:oMath>
        <m:r>
          <m:rPr>
            <m:sty m:val="p"/>
          </m:rPr>
          <m:t>=</m:t>
        </m:r>
        <m:r>
          <m:t>0.052</m:t>
        </m:r>
      </m:oMath>
      <w:r>
        <w:t xml:space="preserve">, SRMR </w:t>
      </w:r>
      <m:oMath>
        <m:r>
          <m:rPr>
            <m:sty m:val="p"/>
          </m:rPr>
          <m:t>=</m:t>
        </m:r>
        <m:r>
          <m:t>0.046</m:t>
        </m:r>
      </m:oMath>
      <w:r>
        <w:t xml:space="preserve">.</w:t>
      </w:r>
    </w:p>
    <w:tbl>
      <w:tblPr>
        <w:tblStyle w:val="Table"/>
        <w:tblLook w:firstRow="1" w:lastRow="0" w:firstColumn="0" w:lastColumn="0" w:noHBand="0" w:noVBand="0" w:val="0020"/>
        <w:jc w:val="start"/>
        <w:tblCaption w:val="Table 4. Operationalisation of the eight evaluation factors and measurement-model results (standardised CFA loadings \lambda, Cronbach’s \alpha, composite reliability CR, average variance extracted AVE). Items marked (R) are reverse-coded. CFA fit: \chi^2(271)=9,046.7, CFI =0.940, TLI =0.928, RMSEA =0.052, SRMR =0.046."/>
        <w:tblW w:w="5000" w:type="pct"/>
        <w:tblLayout w:type="autofit"/>
        <w:tblBorders>
          <w:top w:val="single" w:sz="12" w:space="0" w:color="000000"/>
          <w:bottom w:val="single" w:sz="12" w:space="0" w:color="000000"/>
        </w:tblBorders>
      </w:tblPr>
      <w:tblGrid>
        <w:gridCol/>
        <w:gridCol/>
        <w:gridCol/>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Factor</w:t>
            </w:r>
          </w:p>
        </w:tc>
        <w:tc>
          <w:tcPr>
            <w:tcBorders>
              <w:bottom w:val="single" w:sz="6" w:space="0" w:color="000000"/>
            </w:tcBorders>
          </w:tcPr>
          <w:p>
            <w:pPr>
              <w:pStyle w:val="Compact"/>
              <w:spacing w:after="0" w:before="0" w:line="240" w:lineRule="auto"/>
              <w:jc w:val="left"/>
            </w:pPr>
            <w:r>
              <w:rPr>
                <w:b/>
                <w:sz w:val="16"/>
              </w:rPr>
              <w:t xml:space="preserve">Item</w:t>
            </w:r>
          </w:p>
        </w:tc>
        <w:tc>
          <w:tcPr>
            <w:tcBorders>
              <w:bottom w:val="single" w:sz="6" w:space="0" w:color="000000"/>
            </w:tcBorders>
          </w:tcPr>
          <w:p>
            <w:pPr>
              <w:pStyle w:val="Compact"/>
              <w:spacing w:after="0" w:before="0" w:line="240" w:lineRule="auto"/>
              <w:jc w:val="left"/>
            </w:pPr>
            <w:r>
              <w:rPr>
                <w:b/>
                <w:sz w:val="16"/>
              </w:rPr>
              <w:t xml:space="preserve">Wording (abridged)</w:t>
            </w:r>
          </w:p>
        </w:tc>
        <w:tc>
          <w:tcPr>
            <w:tcBorders>
              <w:bottom w:val="single" w:sz="6" w:space="0" w:color="000000"/>
            </w:tcBorders>
          </w:tcPr>
          <w:p>
            <w:pPr>
              <w:pStyle w:val="Compact"/>
              <w:spacing w:after="0" w:before="0" w:line="240" w:lineRule="auto"/>
              <w:jc w:val="center"/>
            </w:pPr>
            <m:oMath>
              <m:r>
                <m:t>λ</m:t>
              </m:r>
            </m:oMath>
          </w:p>
        </w:tc>
        <w:tc>
          <w:tcPr>
            <w:tcBorders>
              <w:bottom w:val="single" w:sz="6" w:space="0" w:color="000000"/>
            </w:tcBorders>
          </w:tcPr>
          <w:p>
            <w:pPr>
              <w:pStyle w:val="Compact"/>
              <w:spacing w:after="0" w:before="0" w:line="240" w:lineRule="auto"/>
              <w:jc w:val="center"/>
            </w:pPr>
            <m:oMath>
              <m:r>
                <m:t>α</m:t>
              </m:r>
            </m:oMath>
          </w:p>
        </w:tc>
        <w:tc>
          <w:tcPr>
            <w:tcBorders>
              <w:bottom w:val="single" w:sz="6" w:space="0" w:color="000000"/>
            </w:tcBorders>
          </w:tcPr>
          <w:p>
            <w:pPr>
              <w:pStyle w:val="Compact"/>
              <w:spacing w:after="0" w:before="0" w:line="240" w:lineRule="auto"/>
              <w:jc w:val="center"/>
            </w:pPr>
            <w:r>
              <w:rPr>
                <w:b/>
                <w:sz w:val="16"/>
              </w:rPr>
              <w:t xml:space="preserve">CR</w:t>
            </w:r>
          </w:p>
        </w:tc>
        <w:tc>
          <w:tcPr>
            <w:tcBorders>
              <w:bottom w:val="single" w:sz="6" w:space="0" w:color="000000"/>
            </w:tcBorders>
          </w:tcPr>
          <w:p>
            <w:pPr>
              <w:pStyle w:val="Compact"/>
              <w:spacing w:after="0" w:before="0" w:line="240" w:lineRule="auto"/>
              <w:jc w:val="center"/>
            </w:pPr>
            <w:r>
              <w:rPr>
                <w:b/>
                <w:sz w:val="16"/>
              </w:rPr>
              <w:t xml:space="preserve">AVE</w:t>
            </w:r>
          </w:p>
        </w:tc>
      </w:tr>
      <w:tr>
        <w:tc>
          <w:tcPr/>
          <w:p>
            <w:pPr>
              <w:pStyle w:val="Compact"/>
              <w:spacing w:after="0" w:before="0" w:line="240" w:lineRule="auto"/>
              <w:jc w:val="left"/>
            </w:pPr>
            <w:r>
              <w:rPr>
                <w:sz w:val="16"/>
              </w:rPr>
              <w:t xml:space="preserve">Teaching effectiveness (TE)</w:t>
            </w:r>
          </w:p>
        </w:tc>
        <w:tc>
          <w:tcPr/>
          <w:p>
            <w:pPr>
              <w:pStyle w:val="Compact"/>
              <w:spacing w:after="0" w:before="0" w:line="240" w:lineRule="auto"/>
              <w:jc w:val="left"/>
            </w:pPr>
            <w:r>
              <w:rPr>
                <w:sz w:val="16"/>
              </w:rPr>
              <w:t xml:space="preserve">Q19d</w:t>
            </w:r>
          </w:p>
        </w:tc>
        <w:tc>
          <w:tcPr/>
          <w:p>
            <w:pPr>
              <w:pStyle w:val="Compact"/>
              <w:spacing w:after="0" w:before="0" w:line="240" w:lineRule="auto"/>
              <w:jc w:val="left"/>
            </w:pPr>
            <w:r>
              <w:rPr>
                <w:sz w:val="16"/>
              </w:rPr>
              <w:t xml:space="preserve">ChatGPT can provide information efficiently</w:t>
            </w:r>
          </w:p>
        </w:tc>
        <w:tc>
          <w:tcPr/>
          <w:p>
            <w:pPr>
              <w:pStyle w:val="Compact"/>
              <w:spacing w:after="0" w:before="0" w:line="240" w:lineRule="auto"/>
              <w:jc w:val="center"/>
            </w:pPr>
            <w:r>
              <w:rPr>
                <w:sz w:val="16"/>
              </w:rPr>
              <w:t xml:space="preserve">0.647</w:t>
            </w:r>
          </w:p>
        </w:tc>
        <w:tc>
          <w:tcPr/>
          <w:p>
            <w:pPr>
              <w:pStyle w:val="Compact"/>
              <w:spacing w:after="0" w:before="0" w:line="240" w:lineRule="auto"/>
              <w:jc w:val="center"/>
            </w:pPr>
            <w:r>
              <w:rPr>
                <w:sz w:val="16"/>
              </w:rPr>
              <w:t xml:space="preserve">0.741</w:t>
            </w:r>
          </w:p>
        </w:tc>
        <w:tc>
          <w:tcPr/>
          <w:p>
            <w:pPr>
              <w:pStyle w:val="Compact"/>
              <w:spacing w:after="0" w:before="0" w:line="240" w:lineRule="auto"/>
              <w:jc w:val="center"/>
            </w:pPr>
            <w:r>
              <w:rPr>
                <w:sz w:val="16"/>
              </w:rPr>
              <w:t xml:space="preserve">0.750</w:t>
            </w:r>
          </w:p>
        </w:tc>
        <w:tc>
          <w:tcPr/>
          <w:p>
            <w:pPr>
              <w:pStyle w:val="Compact"/>
              <w:spacing w:after="0" w:before="0" w:line="240" w:lineRule="auto"/>
              <w:jc w:val="center"/>
            </w:pPr>
            <w:r>
              <w:rPr>
                <w:sz w:val="16"/>
              </w:rPr>
              <w:t xml:space="preserve">0.501</w:t>
            </w:r>
          </w:p>
        </w:tc>
      </w:tr>
      <w:tr>
        <w:tc>
          <w:tcPr/>
          <w:p>
            <w:pPr>
              <w:pStyle w:val="Compact"/>
              <w:spacing w:after="0" w:before="0" w:line="240" w:lineRule="auto"/>
            </w:pPr>
          </w:p>
        </w:tc>
        <w:tc>
          <w:tcPr/>
          <w:p>
            <w:pPr>
              <w:pStyle w:val="Compact"/>
              <w:spacing w:after="0" w:before="0" w:line="240" w:lineRule="auto"/>
              <w:jc w:val="left"/>
            </w:pPr>
            <w:r>
              <w:rPr>
                <w:sz w:val="16"/>
              </w:rPr>
              <w:t xml:space="preserve">Q19f</w:t>
            </w:r>
          </w:p>
        </w:tc>
        <w:tc>
          <w:tcPr/>
          <w:p>
            <w:pPr>
              <w:pStyle w:val="Compact"/>
              <w:spacing w:after="0" w:before="0" w:line="240" w:lineRule="auto"/>
              <w:jc w:val="left"/>
            </w:pPr>
            <w:r>
              <w:rPr>
                <w:sz w:val="16"/>
              </w:rPr>
              <w:t xml:space="preserve">ChatGPT can summarize extensive information</w:t>
            </w:r>
          </w:p>
        </w:tc>
        <w:tc>
          <w:tcPr/>
          <w:p>
            <w:pPr>
              <w:pStyle w:val="Compact"/>
              <w:spacing w:after="0" w:before="0" w:line="240" w:lineRule="auto"/>
              <w:jc w:val="center"/>
            </w:pPr>
            <w:r>
              <w:rPr>
                <w:sz w:val="16"/>
              </w:rPr>
              <w:t xml:space="preserve">0.730</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Q19g</w:t>
            </w:r>
          </w:p>
        </w:tc>
        <w:tc>
          <w:tcPr/>
          <w:p>
            <w:pPr>
              <w:pStyle w:val="Compact"/>
              <w:spacing w:after="0" w:before="0" w:line="240" w:lineRule="auto"/>
              <w:jc w:val="left"/>
            </w:pPr>
            <w:r>
              <w:rPr>
                <w:sz w:val="16"/>
              </w:rPr>
              <w:t xml:space="preserve">ChatGPT can simplify complex information</w:t>
            </w:r>
          </w:p>
        </w:tc>
        <w:tc>
          <w:tcPr/>
          <w:p>
            <w:pPr>
              <w:pStyle w:val="Compact"/>
              <w:spacing w:after="0" w:before="0" w:line="240" w:lineRule="auto"/>
              <w:jc w:val="center"/>
            </w:pPr>
            <w:r>
              <w:rPr>
                <w:sz w:val="16"/>
              </w:rPr>
              <w:t xml:space="preserve">0.742</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Student engagement (SE)</w:t>
            </w:r>
          </w:p>
        </w:tc>
        <w:tc>
          <w:tcPr/>
          <w:p>
            <w:pPr>
              <w:pStyle w:val="Compact"/>
              <w:spacing w:after="0" w:before="0" w:line="240" w:lineRule="auto"/>
              <w:jc w:val="left"/>
            </w:pPr>
            <w:r>
              <w:rPr>
                <w:sz w:val="16"/>
              </w:rPr>
              <w:t xml:space="preserve">Q25b</w:t>
            </w:r>
          </w:p>
        </w:tc>
        <w:tc>
          <w:tcPr/>
          <w:p>
            <w:pPr>
              <w:pStyle w:val="Compact"/>
              <w:spacing w:after="0" w:before="0" w:line="240" w:lineRule="auto"/>
              <w:jc w:val="left"/>
            </w:pPr>
            <w:r>
              <w:rPr>
                <w:sz w:val="16"/>
              </w:rPr>
              <w:t xml:space="preserve">Using ChatGPT is interesting to me</w:t>
            </w:r>
          </w:p>
        </w:tc>
        <w:tc>
          <w:tcPr/>
          <w:p>
            <w:pPr>
              <w:pStyle w:val="Compact"/>
              <w:spacing w:after="0" w:before="0" w:line="240" w:lineRule="auto"/>
              <w:jc w:val="center"/>
            </w:pPr>
            <w:r>
              <w:rPr>
                <w:sz w:val="16"/>
              </w:rPr>
              <w:t xml:space="preserve">0.676</w:t>
            </w:r>
          </w:p>
        </w:tc>
        <w:tc>
          <w:tcPr/>
          <w:p>
            <w:pPr>
              <w:pStyle w:val="Compact"/>
              <w:spacing w:after="0" w:before="0" w:line="240" w:lineRule="auto"/>
              <w:jc w:val="center"/>
            </w:pPr>
            <w:r>
              <w:rPr>
                <w:sz w:val="16"/>
              </w:rPr>
              <w:t xml:space="preserve">0.742</w:t>
            </w:r>
          </w:p>
        </w:tc>
        <w:tc>
          <w:tcPr/>
          <w:p>
            <w:pPr>
              <w:pStyle w:val="Compact"/>
              <w:spacing w:after="0" w:before="0" w:line="240" w:lineRule="auto"/>
              <w:jc w:val="center"/>
            </w:pPr>
            <w:r>
              <w:rPr>
                <w:sz w:val="16"/>
              </w:rPr>
              <w:t xml:space="preserve">0.746</w:t>
            </w:r>
          </w:p>
        </w:tc>
        <w:tc>
          <w:tcPr/>
          <w:p>
            <w:pPr>
              <w:pStyle w:val="Compact"/>
              <w:spacing w:after="0" w:before="0" w:line="240" w:lineRule="auto"/>
              <w:jc w:val="center"/>
            </w:pPr>
            <w:r>
              <w:rPr>
                <w:sz w:val="16"/>
              </w:rPr>
              <w:t xml:space="preserve">0.495</w:t>
            </w:r>
          </w:p>
        </w:tc>
      </w:tr>
      <w:tr>
        <w:tc>
          <w:tcPr/>
          <w:p>
            <w:pPr>
              <w:pStyle w:val="Compact"/>
              <w:spacing w:after="0" w:before="0" w:line="240" w:lineRule="auto"/>
            </w:pPr>
          </w:p>
        </w:tc>
        <w:tc>
          <w:tcPr/>
          <w:p>
            <w:pPr>
              <w:pStyle w:val="Compact"/>
              <w:spacing w:after="0" w:before="0" w:line="240" w:lineRule="auto"/>
              <w:jc w:val="left"/>
            </w:pPr>
            <w:r>
              <w:rPr>
                <w:sz w:val="16"/>
              </w:rPr>
              <w:t xml:space="preserve">Q25c</w:t>
            </w:r>
          </w:p>
        </w:tc>
        <w:tc>
          <w:tcPr/>
          <w:p>
            <w:pPr>
              <w:pStyle w:val="Compact"/>
              <w:spacing w:after="0" w:before="0" w:line="240" w:lineRule="auto"/>
              <w:jc w:val="left"/>
            </w:pPr>
            <w:r>
              <w:rPr>
                <w:sz w:val="16"/>
              </w:rPr>
              <w:t xml:space="preserve">Being able to use ChatGPT is important to me</w:t>
            </w:r>
          </w:p>
        </w:tc>
        <w:tc>
          <w:tcPr/>
          <w:p>
            <w:pPr>
              <w:pStyle w:val="Compact"/>
              <w:spacing w:after="0" w:before="0" w:line="240" w:lineRule="auto"/>
              <w:jc w:val="center"/>
            </w:pPr>
            <w:r>
              <w:rPr>
                <w:sz w:val="16"/>
              </w:rPr>
              <w:t xml:space="preserve">0.747</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Q25d</w:t>
            </w:r>
          </w:p>
        </w:tc>
        <w:tc>
          <w:tcPr/>
          <w:p>
            <w:pPr>
              <w:pStyle w:val="Compact"/>
              <w:spacing w:after="0" w:before="0" w:line="240" w:lineRule="auto"/>
              <w:jc w:val="left"/>
            </w:pPr>
            <w:r>
              <w:rPr>
                <w:sz w:val="16"/>
              </w:rPr>
              <w:t xml:space="preserve">ChatGPT can help with things in everyday life</w:t>
            </w:r>
          </w:p>
        </w:tc>
        <w:tc>
          <w:tcPr/>
          <w:p>
            <w:pPr>
              <w:pStyle w:val="Compact"/>
              <w:spacing w:after="0" w:before="0" w:line="240" w:lineRule="auto"/>
              <w:jc w:val="center"/>
            </w:pPr>
            <w:r>
              <w:rPr>
                <w:sz w:val="16"/>
              </w:rPr>
              <w:t xml:space="preserve">0.685</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Personalization (P)</w:t>
            </w:r>
          </w:p>
        </w:tc>
        <w:tc>
          <w:tcPr/>
          <w:p>
            <w:pPr>
              <w:pStyle w:val="Compact"/>
              <w:spacing w:after="0" w:before="0" w:line="240" w:lineRule="auto"/>
              <w:jc w:val="left"/>
            </w:pPr>
            <w:r>
              <w:rPr>
                <w:sz w:val="16"/>
              </w:rPr>
              <w:t xml:space="preserve">Q26d</w:t>
            </w:r>
          </w:p>
        </w:tc>
        <w:tc>
          <w:tcPr/>
          <w:p>
            <w:pPr>
              <w:pStyle w:val="Compact"/>
              <w:spacing w:after="0" w:before="0" w:line="240" w:lineRule="auto"/>
              <w:jc w:val="left"/>
            </w:pPr>
            <w:r>
              <w:rPr>
                <w:sz w:val="16"/>
              </w:rPr>
              <w:t xml:space="preserve">ChatGPT can provide me with personalized education</w:t>
            </w:r>
          </w:p>
        </w:tc>
        <w:tc>
          <w:tcPr/>
          <w:p>
            <w:pPr>
              <w:pStyle w:val="Compact"/>
              <w:spacing w:after="0" w:before="0" w:line="240" w:lineRule="auto"/>
              <w:jc w:val="center"/>
            </w:pPr>
            <w:r>
              <w:rPr>
                <w:sz w:val="16"/>
              </w:rPr>
              <w:t xml:space="preserve">0.707</w:t>
            </w:r>
          </w:p>
        </w:tc>
        <w:tc>
          <w:tcPr/>
          <w:p>
            <w:pPr>
              <w:pStyle w:val="Compact"/>
              <w:spacing w:after="0" w:before="0" w:line="240" w:lineRule="auto"/>
              <w:jc w:val="center"/>
            </w:pPr>
            <w:r>
              <w:rPr>
                <w:sz w:val="16"/>
              </w:rPr>
              <w:t xml:space="preserve">0.772</w:t>
            </w:r>
          </w:p>
        </w:tc>
        <w:tc>
          <w:tcPr/>
          <w:p>
            <w:pPr>
              <w:pStyle w:val="Compact"/>
              <w:spacing w:after="0" w:before="0" w:line="240" w:lineRule="auto"/>
              <w:jc w:val="center"/>
            </w:pPr>
            <w:r>
              <w:rPr>
                <w:sz w:val="16"/>
              </w:rPr>
              <w:t xml:space="preserve">0.779</w:t>
            </w:r>
          </w:p>
        </w:tc>
        <w:tc>
          <w:tcPr/>
          <w:p>
            <w:pPr>
              <w:pStyle w:val="Compact"/>
              <w:spacing w:after="0" w:before="0" w:line="240" w:lineRule="auto"/>
              <w:jc w:val="center"/>
            </w:pPr>
            <w:r>
              <w:rPr>
                <w:sz w:val="16"/>
              </w:rPr>
              <w:t xml:space="preserve">0.541</w:t>
            </w:r>
          </w:p>
        </w:tc>
      </w:tr>
      <w:tr>
        <w:tc>
          <w:tcPr/>
          <w:p>
            <w:pPr>
              <w:pStyle w:val="Compact"/>
              <w:spacing w:after="0" w:before="0" w:line="240" w:lineRule="auto"/>
            </w:pPr>
          </w:p>
        </w:tc>
        <w:tc>
          <w:tcPr/>
          <w:p>
            <w:pPr>
              <w:pStyle w:val="Compact"/>
              <w:spacing w:after="0" w:before="0" w:line="240" w:lineRule="auto"/>
              <w:jc w:val="left"/>
            </w:pPr>
            <w:r>
              <w:rPr>
                <w:sz w:val="16"/>
              </w:rPr>
              <w:t xml:space="preserve">Q26a</w:t>
            </w:r>
          </w:p>
        </w:tc>
        <w:tc>
          <w:tcPr/>
          <w:p>
            <w:pPr>
              <w:pStyle w:val="Compact"/>
              <w:spacing w:after="0" w:before="0" w:line="240" w:lineRule="auto"/>
              <w:jc w:val="left"/>
            </w:pPr>
            <w:r>
              <w:rPr>
                <w:sz w:val="16"/>
              </w:rPr>
              <w:t xml:space="preserve">ChatGPT can enhance my access to sources of knowledge</w:t>
            </w:r>
          </w:p>
        </w:tc>
        <w:tc>
          <w:tcPr/>
          <w:p>
            <w:pPr>
              <w:pStyle w:val="Compact"/>
              <w:spacing w:after="0" w:before="0" w:line="240" w:lineRule="auto"/>
              <w:jc w:val="center"/>
            </w:pPr>
            <w:r>
              <w:rPr>
                <w:sz w:val="16"/>
              </w:rPr>
              <w:t xml:space="preserve">0.712</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Q26c</w:t>
            </w:r>
          </w:p>
        </w:tc>
        <w:tc>
          <w:tcPr/>
          <w:p>
            <w:pPr>
              <w:pStyle w:val="Compact"/>
              <w:spacing w:after="0" w:before="0" w:line="240" w:lineRule="auto"/>
              <w:jc w:val="left"/>
            </w:pPr>
            <w:r>
              <w:rPr>
                <w:sz w:val="16"/>
              </w:rPr>
              <w:t xml:space="preserve">ChatGPT can improve my specific knowledge</w:t>
            </w:r>
          </w:p>
        </w:tc>
        <w:tc>
          <w:tcPr/>
          <w:p>
            <w:pPr>
              <w:pStyle w:val="Compact"/>
              <w:spacing w:after="0" w:before="0" w:line="240" w:lineRule="auto"/>
              <w:jc w:val="center"/>
            </w:pPr>
            <w:r>
              <w:rPr>
                <w:sz w:val="16"/>
              </w:rPr>
              <w:t xml:space="preserve">0.786</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Assessment capability (AC)</w:t>
            </w:r>
          </w:p>
        </w:tc>
        <w:tc>
          <w:tcPr/>
          <w:p>
            <w:pPr>
              <w:pStyle w:val="Compact"/>
              <w:spacing w:after="0" w:before="0" w:line="240" w:lineRule="auto"/>
              <w:jc w:val="left"/>
            </w:pPr>
            <w:r>
              <w:rPr>
                <w:sz w:val="16"/>
              </w:rPr>
              <w:t xml:space="preserve">Q27a</w:t>
            </w:r>
          </w:p>
        </w:tc>
        <w:tc>
          <w:tcPr/>
          <w:p>
            <w:pPr>
              <w:pStyle w:val="Compact"/>
              <w:spacing w:after="0" w:before="0" w:line="240" w:lineRule="auto"/>
              <w:jc w:val="left"/>
            </w:pPr>
            <w:r>
              <w:rPr>
                <w:sz w:val="16"/>
              </w:rPr>
              <w:t xml:space="preserve">ChatGPT can improve my readiness for exams</w:t>
            </w:r>
          </w:p>
        </w:tc>
        <w:tc>
          <w:tcPr/>
          <w:p>
            <w:pPr>
              <w:pStyle w:val="Compact"/>
              <w:spacing w:after="0" w:before="0" w:line="240" w:lineRule="auto"/>
              <w:jc w:val="center"/>
            </w:pPr>
            <w:r>
              <w:rPr>
                <w:sz w:val="16"/>
              </w:rPr>
              <w:t xml:space="preserve">0.795</w:t>
            </w:r>
          </w:p>
        </w:tc>
        <w:tc>
          <w:tcPr/>
          <w:p>
            <w:pPr>
              <w:pStyle w:val="Compact"/>
              <w:spacing w:after="0" w:before="0" w:line="240" w:lineRule="auto"/>
              <w:jc w:val="center"/>
            </w:pPr>
            <w:r>
              <w:rPr>
                <w:sz w:val="16"/>
              </w:rPr>
              <w:t xml:space="preserve">0.817</w:t>
            </w:r>
          </w:p>
        </w:tc>
        <w:tc>
          <w:tcPr/>
          <w:p>
            <w:pPr>
              <w:pStyle w:val="Compact"/>
              <w:spacing w:after="0" w:before="0" w:line="240" w:lineRule="auto"/>
              <w:jc w:val="center"/>
            </w:pPr>
            <w:r>
              <w:rPr>
                <w:sz w:val="16"/>
              </w:rPr>
              <w:t xml:space="preserve">0.819</w:t>
            </w:r>
          </w:p>
        </w:tc>
        <w:tc>
          <w:tcPr/>
          <w:p>
            <w:pPr>
              <w:pStyle w:val="Compact"/>
              <w:spacing w:after="0" w:before="0" w:line="240" w:lineRule="auto"/>
              <w:jc w:val="center"/>
            </w:pPr>
            <w:r>
              <w:rPr>
                <w:sz w:val="16"/>
              </w:rPr>
              <w:t xml:space="preserve">0.602</w:t>
            </w:r>
          </w:p>
        </w:tc>
      </w:tr>
      <w:tr>
        <w:tc>
          <w:tcPr/>
          <w:p>
            <w:pPr>
              <w:pStyle w:val="Compact"/>
              <w:spacing w:after="0" w:before="0" w:line="240" w:lineRule="auto"/>
            </w:pPr>
          </w:p>
        </w:tc>
        <w:tc>
          <w:tcPr/>
          <w:p>
            <w:pPr>
              <w:pStyle w:val="Compact"/>
              <w:spacing w:after="0" w:before="0" w:line="240" w:lineRule="auto"/>
              <w:jc w:val="left"/>
            </w:pPr>
            <w:r>
              <w:rPr>
                <w:sz w:val="16"/>
              </w:rPr>
              <w:t xml:space="preserve">Q27b</w:t>
            </w:r>
          </w:p>
        </w:tc>
        <w:tc>
          <w:tcPr/>
          <w:p>
            <w:pPr>
              <w:pStyle w:val="Compact"/>
              <w:spacing w:after="0" w:before="0" w:line="240" w:lineRule="auto"/>
              <w:jc w:val="left"/>
            </w:pPr>
            <w:r>
              <w:rPr>
                <w:sz w:val="16"/>
              </w:rPr>
              <w:t xml:space="preserve">ChatGPT can improve my grades</w:t>
            </w:r>
          </w:p>
        </w:tc>
        <w:tc>
          <w:tcPr/>
          <w:p>
            <w:pPr>
              <w:pStyle w:val="Compact"/>
              <w:spacing w:after="0" w:before="0" w:line="240" w:lineRule="auto"/>
              <w:jc w:val="center"/>
            </w:pPr>
            <w:r>
              <w:rPr>
                <w:sz w:val="16"/>
              </w:rPr>
              <w:t xml:space="preserve">0.789</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Q26j</w:t>
            </w:r>
          </w:p>
        </w:tc>
        <w:tc>
          <w:tcPr/>
          <w:p>
            <w:pPr>
              <w:pStyle w:val="Compact"/>
              <w:spacing w:after="0" w:before="0" w:line="240" w:lineRule="auto"/>
              <w:jc w:val="left"/>
            </w:pPr>
            <w:r>
              <w:rPr>
                <w:sz w:val="16"/>
              </w:rPr>
              <w:t xml:space="preserve">ChatGPT can improve the quality of my assignments</w:t>
            </w:r>
          </w:p>
        </w:tc>
        <w:tc>
          <w:tcPr/>
          <w:p>
            <w:pPr>
              <w:pStyle w:val="Compact"/>
              <w:spacing w:after="0" w:before="0" w:line="240" w:lineRule="auto"/>
              <w:jc w:val="center"/>
            </w:pPr>
            <w:r>
              <w:rPr>
                <w:sz w:val="16"/>
              </w:rPr>
              <w:t xml:space="preserve">0.743</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Communication (C)</w:t>
            </w:r>
          </w:p>
        </w:tc>
        <w:tc>
          <w:tcPr/>
          <w:p>
            <w:pPr>
              <w:pStyle w:val="Compact"/>
              <w:spacing w:after="0" w:before="0" w:line="240" w:lineRule="auto"/>
              <w:jc w:val="left"/>
            </w:pPr>
            <w:r>
              <w:rPr>
                <w:sz w:val="16"/>
              </w:rPr>
              <w:t xml:space="preserve">Q19a</w:t>
            </w:r>
          </w:p>
        </w:tc>
        <w:tc>
          <w:tcPr/>
          <w:p>
            <w:pPr>
              <w:pStyle w:val="Compact"/>
              <w:spacing w:after="0" w:before="0" w:line="240" w:lineRule="auto"/>
              <w:jc w:val="left"/>
            </w:pPr>
            <w:r>
              <w:rPr>
                <w:sz w:val="16"/>
              </w:rPr>
              <w:t xml:space="preserve">ChatGPT can understand indications given in human language</w:t>
            </w:r>
          </w:p>
        </w:tc>
        <w:tc>
          <w:tcPr/>
          <w:p>
            <w:pPr>
              <w:pStyle w:val="Compact"/>
              <w:spacing w:after="0" w:before="0" w:line="240" w:lineRule="auto"/>
              <w:jc w:val="center"/>
            </w:pPr>
            <w:r>
              <w:rPr>
                <w:sz w:val="16"/>
              </w:rPr>
              <w:t xml:space="preserve">0.743</w:t>
            </w:r>
          </w:p>
        </w:tc>
        <w:tc>
          <w:tcPr/>
          <w:p>
            <w:pPr>
              <w:pStyle w:val="Compact"/>
              <w:spacing w:after="0" w:before="0" w:line="240" w:lineRule="auto"/>
              <w:jc w:val="center"/>
            </w:pPr>
            <w:r>
              <w:rPr>
                <w:sz w:val="16"/>
              </w:rPr>
              <w:t xml:space="preserve">0.714</w:t>
            </w:r>
          </w:p>
        </w:tc>
        <w:tc>
          <w:tcPr/>
          <w:p>
            <w:pPr>
              <w:pStyle w:val="Compact"/>
              <w:spacing w:after="0" w:before="0" w:line="240" w:lineRule="auto"/>
              <w:jc w:val="center"/>
            </w:pPr>
            <w:r>
              <w:rPr>
                <w:sz w:val="16"/>
              </w:rPr>
              <w:t xml:space="preserve">0.734</w:t>
            </w:r>
          </w:p>
        </w:tc>
        <w:tc>
          <w:tcPr/>
          <w:p>
            <w:pPr>
              <w:pStyle w:val="Compact"/>
              <w:spacing w:after="0" w:before="0" w:line="240" w:lineRule="auto"/>
              <w:jc w:val="center"/>
            </w:pPr>
            <w:r>
              <w:rPr>
                <w:sz w:val="16"/>
              </w:rPr>
              <w:t xml:space="preserve">0.484</w:t>
            </w:r>
          </w:p>
        </w:tc>
      </w:tr>
      <w:tr>
        <w:tc>
          <w:tcPr/>
          <w:p>
            <w:pPr>
              <w:pStyle w:val="Compact"/>
              <w:spacing w:after="0" w:before="0" w:line="240" w:lineRule="auto"/>
            </w:pPr>
          </w:p>
        </w:tc>
        <w:tc>
          <w:tcPr/>
          <w:p>
            <w:pPr>
              <w:pStyle w:val="Compact"/>
              <w:spacing w:after="0" w:before="0" w:line="240" w:lineRule="auto"/>
              <w:jc w:val="left"/>
            </w:pPr>
            <w:r>
              <w:rPr>
                <w:sz w:val="16"/>
              </w:rPr>
              <w:t xml:space="preserve">Q19b</w:t>
            </w:r>
          </w:p>
        </w:tc>
        <w:tc>
          <w:tcPr/>
          <w:p>
            <w:pPr>
              <w:pStyle w:val="Compact"/>
              <w:spacing w:after="0" w:before="0" w:line="240" w:lineRule="auto"/>
              <w:jc w:val="left"/>
            </w:pPr>
            <w:r>
              <w:rPr>
                <w:sz w:val="16"/>
              </w:rPr>
              <w:t xml:space="preserve">ChatGPT can respond in human language</w:t>
            </w:r>
          </w:p>
        </w:tc>
        <w:tc>
          <w:tcPr/>
          <w:p>
            <w:pPr>
              <w:pStyle w:val="Compact"/>
              <w:spacing w:after="0" w:before="0" w:line="240" w:lineRule="auto"/>
              <w:jc w:val="center"/>
            </w:pPr>
            <w:r>
              <w:rPr>
                <w:sz w:val="16"/>
              </w:rPr>
              <w:t xml:space="preserve">0.769</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Q19c</w:t>
            </w:r>
          </w:p>
        </w:tc>
        <w:tc>
          <w:tcPr/>
          <w:p>
            <w:pPr>
              <w:pStyle w:val="Compact"/>
              <w:spacing w:after="0" w:before="0" w:line="240" w:lineRule="auto"/>
              <w:jc w:val="left"/>
            </w:pPr>
            <w:r>
              <w:rPr>
                <w:sz w:val="16"/>
              </w:rPr>
              <w:t xml:space="preserve">ChatGPT can hold a pleasant conversation</w:t>
            </w:r>
          </w:p>
        </w:tc>
        <w:tc>
          <w:tcPr/>
          <w:p>
            <w:pPr>
              <w:pStyle w:val="Compact"/>
              <w:spacing w:after="0" w:before="0" w:line="240" w:lineRule="auto"/>
              <w:jc w:val="center"/>
            </w:pPr>
            <w:r>
              <w:rPr>
                <w:sz w:val="16"/>
              </w:rPr>
              <w:t xml:space="preserve">0.554</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Adaptability (A)</w:t>
            </w:r>
          </w:p>
        </w:tc>
        <w:tc>
          <w:tcPr/>
          <w:p>
            <w:pPr>
              <w:pStyle w:val="Compact"/>
              <w:spacing w:after="0" w:before="0" w:line="240" w:lineRule="auto"/>
              <w:jc w:val="left"/>
            </w:pPr>
            <w:r>
              <w:rPr>
                <w:sz w:val="16"/>
              </w:rPr>
              <w:t xml:space="preserve">Q19h</w:t>
            </w:r>
          </w:p>
        </w:tc>
        <w:tc>
          <w:tcPr/>
          <w:p>
            <w:pPr>
              <w:pStyle w:val="Compact"/>
              <w:spacing w:after="0" w:before="0" w:line="240" w:lineRule="auto"/>
              <w:jc w:val="left"/>
            </w:pPr>
            <w:r>
              <w:rPr>
                <w:sz w:val="16"/>
              </w:rPr>
              <w:t xml:space="preserve">ChatGPT can facilitate traditional (classroom) learning</w:t>
            </w:r>
          </w:p>
        </w:tc>
        <w:tc>
          <w:tcPr/>
          <w:p>
            <w:pPr>
              <w:pStyle w:val="Compact"/>
              <w:spacing w:after="0" w:before="0" w:line="240" w:lineRule="auto"/>
              <w:jc w:val="center"/>
            </w:pPr>
            <w:r>
              <w:rPr>
                <w:sz w:val="16"/>
              </w:rPr>
              <w:t xml:space="preserve">0.719</w:t>
            </w:r>
          </w:p>
        </w:tc>
        <w:tc>
          <w:tcPr/>
          <w:p>
            <w:pPr>
              <w:pStyle w:val="Compact"/>
              <w:spacing w:after="0" w:before="0" w:line="240" w:lineRule="auto"/>
              <w:jc w:val="center"/>
            </w:pPr>
            <w:r>
              <w:rPr>
                <w:sz w:val="16"/>
              </w:rPr>
              <w:t xml:space="preserve">0.858</w:t>
            </w:r>
          </w:p>
        </w:tc>
        <w:tc>
          <w:tcPr/>
          <w:p>
            <w:pPr>
              <w:pStyle w:val="Compact"/>
              <w:spacing w:after="0" w:before="0" w:line="240" w:lineRule="auto"/>
              <w:jc w:val="center"/>
            </w:pPr>
            <w:r>
              <w:rPr>
                <w:sz w:val="16"/>
              </w:rPr>
              <w:t xml:space="preserve">0.864</w:t>
            </w:r>
          </w:p>
        </w:tc>
        <w:tc>
          <w:tcPr/>
          <w:p>
            <w:pPr>
              <w:pStyle w:val="Compact"/>
              <w:spacing w:after="0" w:before="0" w:line="240" w:lineRule="auto"/>
              <w:jc w:val="center"/>
            </w:pPr>
            <w:r>
              <w:rPr>
                <w:sz w:val="16"/>
              </w:rPr>
              <w:t xml:space="preserve">0.682</w:t>
            </w:r>
          </w:p>
        </w:tc>
      </w:tr>
      <w:tr>
        <w:tc>
          <w:tcPr/>
          <w:p>
            <w:pPr>
              <w:pStyle w:val="Compact"/>
              <w:spacing w:after="0" w:before="0" w:line="240" w:lineRule="auto"/>
            </w:pPr>
          </w:p>
        </w:tc>
        <w:tc>
          <w:tcPr/>
          <w:p>
            <w:pPr>
              <w:pStyle w:val="Compact"/>
              <w:spacing w:after="0" w:before="0" w:line="240" w:lineRule="auto"/>
              <w:jc w:val="left"/>
            </w:pPr>
            <w:r>
              <w:rPr>
                <w:sz w:val="16"/>
              </w:rPr>
              <w:t xml:space="preserve">Q19i</w:t>
            </w:r>
          </w:p>
        </w:tc>
        <w:tc>
          <w:tcPr/>
          <w:p>
            <w:pPr>
              <w:pStyle w:val="Compact"/>
              <w:spacing w:after="0" w:before="0" w:line="240" w:lineRule="auto"/>
              <w:jc w:val="left"/>
            </w:pPr>
            <w:r>
              <w:rPr>
                <w:sz w:val="16"/>
              </w:rPr>
              <w:t xml:space="preserve">ChatGPT can facilitate online learning</w:t>
            </w:r>
          </w:p>
        </w:tc>
        <w:tc>
          <w:tcPr/>
          <w:p>
            <w:pPr>
              <w:pStyle w:val="Compact"/>
              <w:spacing w:after="0" w:before="0" w:line="240" w:lineRule="auto"/>
              <w:jc w:val="center"/>
            </w:pPr>
            <w:r>
              <w:rPr>
                <w:sz w:val="16"/>
              </w:rPr>
              <w:t xml:space="preserve">0.866</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Q19j</w:t>
            </w:r>
          </w:p>
        </w:tc>
        <w:tc>
          <w:tcPr/>
          <w:p>
            <w:pPr>
              <w:pStyle w:val="Compact"/>
              <w:spacing w:after="0" w:before="0" w:line="240" w:lineRule="auto"/>
              <w:jc w:val="left"/>
            </w:pPr>
            <w:r>
              <w:rPr>
                <w:sz w:val="16"/>
              </w:rPr>
              <w:t xml:space="preserve">ChatGPT can facilitate blended (hybrid) learning</w:t>
            </w:r>
          </w:p>
        </w:tc>
        <w:tc>
          <w:tcPr/>
          <w:p>
            <w:pPr>
              <w:pStyle w:val="Compact"/>
              <w:spacing w:after="0" w:before="0" w:line="240" w:lineRule="auto"/>
              <w:jc w:val="center"/>
            </w:pPr>
            <w:r>
              <w:rPr>
                <w:sz w:val="16"/>
              </w:rPr>
              <w:t xml:space="preserve">0.882</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Reliability (R)</w:t>
            </w:r>
          </w:p>
        </w:tc>
        <w:tc>
          <w:tcPr/>
          <w:p>
            <w:pPr>
              <w:pStyle w:val="Compact"/>
              <w:spacing w:after="0" w:before="0" w:line="240" w:lineRule="auto"/>
              <w:jc w:val="left"/>
            </w:pPr>
            <w:r>
              <w:rPr>
                <w:sz w:val="16"/>
              </w:rPr>
              <w:t xml:space="preserve">Q19e</w:t>
            </w:r>
          </w:p>
        </w:tc>
        <w:tc>
          <w:tcPr/>
          <w:p>
            <w:pPr>
              <w:pStyle w:val="Compact"/>
              <w:spacing w:after="0" w:before="0" w:line="240" w:lineRule="auto"/>
              <w:jc w:val="left"/>
            </w:pPr>
            <w:r>
              <w:rPr>
                <w:sz w:val="16"/>
              </w:rPr>
              <w:t xml:space="preserve">ChatGPT can provide reliable information</w:t>
            </w:r>
          </w:p>
        </w:tc>
        <w:tc>
          <w:tcPr/>
          <w:p>
            <w:pPr>
              <w:pStyle w:val="Compact"/>
              <w:spacing w:after="0" w:before="0" w:line="240" w:lineRule="auto"/>
              <w:jc w:val="center"/>
            </w:pPr>
            <w:r>
              <w:rPr>
                <w:sz w:val="16"/>
              </w:rPr>
              <w:t xml:space="preserve">0.610</w:t>
            </w:r>
          </w:p>
        </w:tc>
        <w:tc>
          <w:tcPr/>
          <w:p>
            <w:pPr>
              <w:pStyle w:val="Compact"/>
              <w:spacing w:after="0" w:before="0" w:line="240" w:lineRule="auto"/>
              <w:jc w:val="center"/>
            </w:pPr>
            <w:r>
              <w:rPr>
                <w:sz w:val="16"/>
              </w:rPr>
              <w:t xml:space="preserve">0.813</w:t>
            </w:r>
          </w:p>
        </w:tc>
        <w:tc>
          <w:tcPr/>
          <w:p>
            <w:pPr>
              <w:pStyle w:val="Compact"/>
              <w:spacing w:after="0" w:before="0" w:line="240" w:lineRule="auto"/>
              <w:jc w:val="center"/>
            </w:pPr>
            <w:r>
              <w:rPr>
                <w:sz w:val="16"/>
              </w:rPr>
              <w:t xml:space="preserve">0.827</w:t>
            </w:r>
          </w:p>
        </w:tc>
        <w:tc>
          <w:tcPr/>
          <w:p>
            <w:pPr>
              <w:pStyle w:val="Compact"/>
              <w:spacing w:after="0" w:before="0" w:line="240" w:lineRule="auto"/>
              <w:jc w:val="center"/>
            </w:pPr>
            <w:r>
              <w:rPr>
                <w:sz w:val="16"/>
              </w:rPr>
              <w:t xml:space="preserve">0.619</w:t>
            </w:r>
          </w:p>
        </w:tc>
      </w:tr>
      <w:tr>
        <w:tc>
          <w:tcPr/>
          <w:p>
            <w:pPr>
              <w:pStyle w:val="Compact"/>
              <w:spacing w:after="0" w:before="0" w:line="240" w:lineRule="auto"/>
            </w:pPr>
          </w:p>
        </w:tc>
        <w:tc>
          <w:tcPr/>
          <w:p>
            <w:pPr>
              <w:pStyle w:val="Compact"/>
              <w:spacing w:after="0" w:before="0" w:line="240" w:lineRule="auto"/>
              <w:jc w:val="left"/>
            </w:pPr>
            <w:r>
              <w:rPr>
                <w:sz w:val="16"/>
              </w:rPr>
              <w:t xml:space="preserve">Q24f</w:t>
            </w:r>
          </w:p>
        </w:tc>
        <w:tc>
          <w:tcPr/>
          <w:p>
            <w:pPr>
              <w:pStyle w:val="Compact"/>
              <w:spacing w:after="0" w:before="0" w:line="240" w:lineRule="auto"/>
              <w:jc w:val="left"/>
            </w:pPr>
            <w:r>
              <w:rPr>
                <w:sz w:val="16"/>
              </w:rPr>
              <w:t xml:space="preserve">Satisfied with the quality of information provided</w:t>
            </w:r>
          </w:p>
        </w:tc>
        <w:tc>
          <w:tcPr/>
          <w:p>
            <w:pPr>
              <w:pStyle w:val="Compact"/>
              <w:spacing w:after="0" w:before="0" w:line="240" w:lineRule="auto"/>
              <w:jc w:val="center"/>
            </w:pPr>
            <w:r>
              <w:rPr>
                <w:sz w:val="16"/>
              </w:rPr>
              <w:t xml:space="preserve">0.867</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Q24g</w:t>
            </w:r>
          </w:p>
        </w:tc>
        <w:tc>
          <w:tcPr/>
          <w:p>
            <w:pPr>
              <w:pStyle w:val="Compact"/>
              <w:spacing w:after="0" w:before="0" w:line="240" w:lineRule="auto"/>
              <w:jc w:val="left"/>
            </w:pPr>
            <w:r>
              <w:rPr>
                <w:sz w:val="16"/>
              </w:rPr>
              <w:t xml:space="preserve">Satisfied with the accuracy of information provided</w:t>
            </w:r>
          </w:p>
        </w:tc>
        <w:tc>
          <w:tcPr/>
          <w:p>
            <w:pPr>
              <w:pStyle w:val="Compact"/>
              <w:spacing w:after="0" w:before="0" w:line="240" w:lineRule="auto"/>
              <w:jc w:val="center"/>
            </w:pPr>
            <w:r>
              <w:rPr>
                <w:sz w:val="16"/>
              </w:rPr>
              <w:t xml:space="preserve">0.857</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jc w:val="left"/>
            </w:pPr>
            <w:r>
              <w:rPr>
                <w:sz w:val="16"/>
              </w:rPr>
              <w:t xml:space="preserve">Ethical suitability (E)</w:t>
            </w:r>
          </w:p>
        </w:tc>
        <w:tc>
          <w:tcPr/>
          <w:p>
            <w:pPr>
              <w:pStyle w:val="Compact"/>
              <w:spacing w:after="0" w:before="0" w:line="240" w:lineRule="auto"/>
              <w:jc w:val="left"/>
            </w:pPr>
            <w:r>
              <w:rPr>
                <w:sz w:val="16"/>
              </w:rPr>
              <w:t xml:space="preserve">Q22a</w:t>
            </w:r>
          </w:p>
        </w:tc>
        <w:tc>
          <w:tcPr/>
          <w:p>
            <w:pPr>
              <w:pStyle w:val="Compact"/>
              <w:spacing w:after="0" w:before="0" w:line="240" w:lineRule="auto"/>
              <w:jc w:val="left"/>
            </w:pPr>
            <w:r>
              <w:rPr>
                <w:sz w:val="16"/>
              </w:rPr>
              <w:t xml:space="preserve">ChatGPT might encourage unethical behaviour (R)</w:t>
            </w:r>
          </w:p>
        </w:tc>
        <w:tc>
          <w:tcPr/>
          <w:p>
            <w:pPr>
              <w:pStyle w:val="Compact"/>
              <w:spacing w:after="0" w:before="0" w:line="240" w:lineRule="auto"/>
              <w:jc w:val="center"/>
            </w:pPr>
            <w:r>
              <w:rPr>
                <w:sz w:val="16"/>
              </w:rPr>
              <w:t xml:space="preserve">0.647</w:t>
            </w:r>
          </w:p>
        </w:tc>
        <w:tc>
          <w:tcPr/>
          <w:p>
            <w:pPr>
              <w:pStyle w:val="Compact"/>
              <w:spacing w:after="0" w:before="0" w:line="240" w:lineRule="auto"/>
              <w:jc w:val="center"/>
            </w:pPr>
            <w:r>
              <w:rPr>
                <w:sz w:val="16"/>
              </w:rPr>
              <w:t xml:space="preserve">0.867</w:t>
            </w:r>
          </w:p>
        </w:tc>
        <w:tc>
          <w:tcPr/>
          <w:p>
            <w:pPr>
              <w:pStyle w:val="Compact"/>
              <w:spacing w:after="0" w:before="0" w:line="240" w:lineRule="auto"/>
              <w:jc w:val="center"/>
            </w:pPr>
            <w:r>
              <w:rPr>
                <w:sz w:val="16"/>
              </w:rPr>
              <w:t xml:space="preserve">0.870</w:t>
            </w:r>
          </w:p>
        </w:tc>
        <w:tc>
          <w:tcPr/>
          <w:p>
            <w:pPr>
              <w:pStyle w:val="Compact"/>
              <w:spacing w:after="0" w:before="0" w:line="240" w:lineRule="auto"/>
              <w:jc w:val="center"/>
            </w:pPr>
            <w:r>
              <w:rPr>
                <w:sz w:val="16"/>
              </w:rPr>
              <w:t xml:space="preserve">0.579</w:t>
            </w:r>
          </w:p>
        </w:tc>
      </w:tr>
      <w:tr>
        <w:tc>
          <w:tcPr/>
          <w:p>
            <w:pPr>
              <w:pStyle w:val="Compact"/>
              <w:spacing w:after="0" w:before="0" w:line="240" w:lineRule="auto"/>
            </w:pPr>
          </w:p>
        </w:tc>
        <w:tc>
          <w:tcPr/>
          <w:p>
            <w:pPr>
              <w:pStyle w:val="Compact"/>
              <w:spacing w:after="0" w:before="0" w:line="240" w:lineRule="auto"/>
              <w:jc w:val="left"/>
            </w:pPr>
            <w:r>
              <w:rPr>
                <w:sz w:val="16"/>
              </w:rPr>
              <w:t xml:space="preserve">Q22b</w:t>
            </w:r>
          </w:p>
        </w:tc>
        <w:tc>
          <w:tcPr/>
          <w:p>
            <w:pPr>
              <w:pStyle w:val="Compact"/>
              <w:spacing w:after="0" w:before="0" w:line="240" w:lineRule="auto"/>
              <w:jc w:val="left"/>
            </w:pPr>
            <w:r>
              <w:rPr>
                <w:sz w:val="16"/>
              </w:rPr>
              <w:t xml:space="preserve">ChatGPT might encourage students to cheat (R)</w:t>
            </w:r>
          </w:p>
        </w:tc>
        <w:tc>
          <w:tcPr/>
          <w:p>
            <w:pPr>
              <w:pStyle w:val="Compact"/>
              <w:spacing w:after="0" w:before="0" w:line="240" w:lineRule="auto"/>
              <w:jc w:val="center"/>
            </w:pPr>
            <w:r>
              <w:rPr>
                <w:sz w:val="16"/>
              </w:rPr>
              <w:t xml:space="preserve">0.882</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Q22c</w:t>
            </w:r>
          </w:p>
        </w:tc>
        <w:tc>
          <w:tcPr/>
          <w:p>
            <w:pPr>
              <w:pStyle w:val="Compact"/>
              <w:spacing w:after="0" w:before="0" w:line="240" w:lineRule="auto"/>
              <w:jc w:val="left"/>
            </w:pPr>
            <w:r>
              <w:rPr>
                <w:sz w:val="16"/>
              </w:rPr>
              <w:t xml:space="preserve">ChatGPT might encourage students to plagiarize (R)</w:t>
            </w:r>
          </w:p>
        </w:tc>
        <w:tc>
          <w:tcPr/>
          <w:p>
            <w:pPr>
              <w:pStyle w:val="Compact"/>
              <w:spacing w:after="0" w:before="0" w:line="240" w:lineRule="auto"/>
              <w:jc w:val="center"/>
            </w:pPr>
            <w:r>
              <w:rPr>
                <w:sz w:val="16"/>
              </w:rPr>
              <w:t xml:space="preserve">0.877</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Q22d</w:t>
            </w:r>
          </w:p>
        </w:tc>
        <w:tc>
          <w:tcPr/>
          <w:p>
            <w:pPr>
              <w:pStyle w:val="Compact"/>
              <w:spacing w:after="0" w:before="0" w:line="240" w:lineRule="auto"/>
              <w:jc w:val="left"/>
            </w:pPr>
            <w:r>
              <w:rPr>
                <w:sz w:val="16"/>
              </w:rPr>
              <w:t xml:space="preserve">ChatGPT might threaten the ethics of the study (R)</w:t>
            </w:r>
          </w:p>
        </w:tc>
        <w:tc>
          <w:tcPr/>
          <w:p>
            <w:pPr>
              <w:pStyle w:val="Compact"/>
              <w:spacing w:after="0" w:before="0" w:line="240" w:lineRule="auto"/>
              <w:jc w:val="center"/>
            </w:pPr>
            <w:r>
              <w:rPr>
                <w:sz w:val="16"/>
              </w:rPr>
              <w:t xml:space="preserve">0.800</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r>
        <w:tc>
          <w:tcPr/>
          <w:p>
            <w:pPr>
              <w:pStyle w:val="Compact"/>
              <w:spacing w:after="0" w:before="0" w:line="240" w:lineRule="auto"/>
            </w:pPr>
          </w:p>
        </w:tc>
        <w:tc>
          <w:tcPr/>
          <w:p>
            <w:pPr>
              <w:pStyle w:val="Compact"/>
              <w:spacing w:after="0" w:before="0" w:line="240" w:lineRule="auto"/>
              <w:jc w:val="left"/>
            </w:pPr>
            <w:r>
              <w:rPr>
                <w:sz w:val="16"/>
              </w:rPr>
              <w:t xml:space="preserve">Q22f</w:t>
            </w:r>
          </w:p>
        </w:tc>
        <w:tc>
          <w:tcPr/>
          <w:p>
            <w:pPr>
              <w:pStyle w:val="Compact"/>
              <w:spacing w:after="0" w:before="0" w:line="240" w:lineRule="auto"/>
              <w:jc w:val="left"/>
            </w:pPr>
            <w:r>
              <w:rPr>
                <w:sz w:val="16"/>
              </w:rPr>
              <w:t xml:space="preserve">ChatGPT might invade privacy (R)</w:t>
            </w:r>
          </w:p>
        </w:tc>
        <w:tc>
          <w:tcPr/>
          <w:p>
            <w:pPr>
              <w:pStyle w:val="Compact"/>
              <w:spacing w:after="0" w:before="0" w:line="240" w:lineRule="auto"/>
              <w:jc w:val="center"/>
            </w:pPr>
            <w:r>
              <w:rPr>
                <w:sz w:val="16"/>
              </w:rPr>
              <w:t xml:space="preserve">0.538</w:t>
            </w:r>
          </w:p>
        </w:tc>
        <w:tc>
          <w:tcPr/>
          <w:p>
            <w:pPr>
              <w:pStyle w:val="Compact"/>
              <w:spacing w:after="0" w:before="0" w:line="240" w:lineRule="auto"/>
            </w:pPr>
          </w:p>
        </w:tc>
        <w:tc>
          <w:tcPr/>
          <w:p>
            <w:pPr>
              <w:pStyle w:val="Compact"/>
              <w:spacing w:after="0" w:before="0" w:line="240" w:lineRule="auto"/>
            </w:pPr>
          </w:p>
        </w:tc>
        <w:tc>
          <w:tcPr/>
          <w:p>
            <w:pPr>
              <w:pStyle w:val="Compact"/>
              <w:spacing w:after="0" w:before="0" w:line="240" w:lineRule="auto"/>
            </w:pPr>
          </w:p>
        </w:tc>
      </w:tr>
    </w:tbl>
    <w:p/>
    <w:p>
      <w:pPr>
        <w:pStyle w:val="TableCaption"/>
      </w:pPr>
      <w:r>
        <w:t xml:space="preserve">Table 5. Discriminant validity. Lower triangle: HTMT ratios; diagonal (bold):</w:t>
      </w:r>
      <w:r>
        <w:t xml:space="preserve"> </w:t>
      </w:r>
      <m:oMath>
        <m:rad>
          <m:radPr>
            <m:degHide m:val="on"/>
          </m:radPr>
          <m:deg/>
          <m:e>
            <m:r>
              <m:rPr>
                <m:sty m:val="p"/>
              </m:rPr>
              <m:t>A</m:t>
            </m:r>
            <m:r>
              <m:rPr>
                <m:sty m:val="p"/>
              </m:rPr>
              <m:t>V</m:t>
            </m:r>
            <m:r>
              <m:rPr>
                <m:sty m:val="p"/>
              </m:rPr>
              <m:t>E</m:t>
            </m:r>
          </m:e>
        </m:rad>
      </m:oMath>
      <w:r>
        <w:t xml:space="preserve">; upper triangle (italic): latent CFA correlations.</w:t>
      </w:r>
    </w:p>
    <w:tbl>
      <w:tblPr>
        <w:tblStyle w:val="Table"/>
        <w:tblLook w:firstRow="1" w:lastRow="0" w:firstColumn="0" w:lastColumn="0" w:noHBand="0" w:noVBand="0" w:val="0020"/>
        <w:jc w:val="start"/>
        <w:tblCaption w:val="Table 5. Discriminant validity. Lower triangle: HTMT ratios; diagonal (bold): \sqrt{\mathrm{AVE}}; upper triangle (italic): latent CFA correlations."/>
        <w:tblW w:w="5000" w:type="pct"/>
        <w:tblLayout w:type="autofit"/>
        <w:tblBorders>
          <w:top w:val="single" w:sz="12" w:space="0" w:color="000000"/>
          <w:bottom w:val="single" w:sz="12" w:space="0" w:color="000000"/>
        </w:tblBorders>
      </w:tblPr>
      <w:tblGrid>
        <w:gridCol/>
        <w:gridCol/>
        <w:gridCol/>
        <w:gridCol/>
        <w:gridCol/>
        <w:gridCol/>
        <w:gridCol/>
        <w:gridCol/>
        <w:gridCol/>
      </w:tblGrid>
      <w:tr>
        <w:trPr>
          <w:tblHeader w:val="true"/>
        </w:trPr>
        <w:tc>
          <w:tcPr>
            <w:tcBorders>
              <w:bottom w:val="single" w:sz="6" w:space="0" w:color="000000"/>
            </w:tcBorders>
          </w:tcPr>
          <w:p>
            <w:pPr>
              <w:pStyle w:val="Compact"/>
              <w:spacing w:after="0" w:before="0" w:line="240" w:lineRule="auto"/>
            </w:pPr>
          </w:p>
        </w:tc>
        <w:tc>
          <w:tcPr>
            <w:tcBorders>
              <w:bottom w:val="single" w:sz="6" w:space="0" w:color="000000"/>
            </w:tcBorders>
          </w:tcPr>
          <w:p>
            <w:pPr>
              <w:pStyle w:val="Compact"/>
              <w:spacing w:after="0" w:before="0" w:line="240" w:lineRule="auto"/>
              <w:jc w:val="center"/>
            </w:pPr>
            <w:r>
              <w:rPr>
                <w:b/>
                <w:sz w:val="16"/>
              </w:rPr>
              <w:t xml:space="preserve">TE</w:t>
            </w:r>
          </w:p>
        </w:tc>
        <w:tc>
          <w:tcPr>
            <w:tcBorders>
              <w:bottom w:val="single" w:sz="6" w:space="0" w:color="000000"/>
            </w:tcBorders>
          </w:tcPr>
          <w:p>
            <w:pPr>
              <w:pStyle w:val="Compact"/>
              <w:spacing w:after="0" w:before="0" w:line="240" w:lineRule="auto"/>
              <w:jc w:val="center"/>
            </w:pPr>
            <w:r>
              <w:rPr>
                <w:b/>
                <w:sz w:val="16"/>
              </w:rPr>
              <w:t xml:space="preserve">SE</w:t>
            </w:r>
          </w:p>
        </w:tc>
        <w:tc>
          <w:tcPr>
            <w:tcBorders>
              <w:bottom w:val="single" w:sz="6" w:space="0" w:color="000000"/>
            </w:tcBorders>
          </w:tcPr>
          <w:p>
            <w:pPr>
              <w:pStyle w:val="Compact"/>
              <w:spacing w:after="0" w:before="0" w:line="240" w:lineRule="auto"/>
              <w:jc w:val="center"/>
            </w:pPr>
            <w:r>
              <w:rPr>
                <w:b/>
                <w:sz w:val="16"/>
              </w:rPr>
              <w:t xml:space="preserve">P</w:t>
            </w:r>
          </w:p>
        </w:tc>
        <w:tc>
          <w:tcPr>
            <w:tcBorders>
              <w:bottom w:val="single" w:sz="6" w:space="0" w:color="000000"/>
            </w:tcBorders>
          </w:tcPr>
          <w:p>
            <w:pPr>
              <w:pStyle w:val="Compact"/>
              <w:spacing w:after="0" w:before="0" w:line="240" w:lineRule="auto"/>
              <w:jc w:val="center"/>
            </w:pPr>
            <w:r>
              <w:rPr>
                <w:b/>
                <w:sz w:val="16"/>
              </w:rPr>
              <w:t xml:space="preserve">AC</w:t>
            </w:r>
          </w:p>
        </w:tc>
        <w:tc>
          <w:tcPr>
            <w:tcBorders>
              <w:bottom w:val="single" w:sz="6" w:space="0" w:color="000000"/>
            </w:tcBorders>
          </w:tcPr>
          <w:p>
            <w:pPr>
              <w:pStyle w:val="Compact"/>
              <w:spacing w:after="0" w:before="0" w:line="240" w:lineRule="auto"/>
              <w:jc w:val="center"/>
            </w:pPr>
            <w:r>
              <w:rPr>
                <w:b/>
                <w:sz w:val="16"/>
              </w:rPr>
              <w:t xml:space="preserve">C</w:t>
            </w:r>
          </w:p>
        </w:tc>
        <w:tc>
          <w:tcPr>
            <w:tcBorders>
              <w:bottom w:val="single" w:sz="6" w:space="0" w:color="000000"/>
            </w:tcBorders>
          </w:tcPr>
          <w:p>
            <w:pPr>
              <w:pStyle w:val="Compact"/>
              <w:spacing w:after="0" w:before="0" w:line="240" w:lineRule="auto"/>
              <w:jc w:val="center"/>
            </w:pPr>
            <w:r>
              <w:rPr>
                <w:b/>
                <w:sz w:val="16"/>
              </w:rPr>
              <w:t xml:space="preserve">A</w:t>
            </w:r>
          </w:p>
        </w:tc>
        <w:tc>
          <w:tcPr>
            <w:tcBorders>
              <w:bottom w:val="single" w:sz="6" w:space="0" w:color="000000"/>
            </w:tcBorders>
          </w:tcPr>
          <w:p>
            <w:pPr>
              <w:pStyle w:val="Compact"/>
              <w:spacing w:after="0" w:before="0" w:line="240" w:lineRule="auto"/>
              <w:jc w:val="center"/>
            </w:pPr>
            <w:r>
              <w:rPr>
                <w:b/>
                <w:sz w:val="16"/>
              </w:rPr>
              <w:t xml:space="preserve">R</w:t>
            </w:r>
          </w:p>
        </w:tc>
        <w:tc>
          <w:tcPr>
            <w:tcBorders>
              <w:bottom w:val="single" w:sz="6" w:space="0" w:color="000000"/>
            </w:tcBorders>
          </w:tcPr>
          <w:p>
            <w:pPr>
              <w:pStyle w:val="Compact"/>
              <w:spacing w:after="0" w:before="0" w:line="240" w:lineRule="auto"/>
              <w:jc w:val="center"/>
            </w:pPr>
            <w:r>
              <w:rPr>
                <w:b/>
                <w:sz w:val="16"/>
              </w:rPr>
              <w:t xml:space="preserve">E</w:t>
            </w:r>
          </w:p>
        </w:tc>
      </w:tr>
      <w:tr>
        <w:tc>
          <w:tcPr/>
          <w:p>
            <w:pPr>
              <w:pStyle w:val="Compact"/>
              <w:spacing w:after="0" w:before="0" w:line="240" w:lineRule="auto"/>
              <w:jc w:val="left"/>
            </w:pPr>
            <w:r>
              <w:rPr>
                <w:sz w:val="16"/>
              </w:rPr>
              <w:t xml:space="preserve">TE</w:t>
            </w:r>
          </w:p>
        </w:tc>
        <w:tc>
          <w:tcPr/>
          <w:p>
            <w:pPr>
              <w:pStyle w:val="Compact"/>
              <w:spacing w:after="0" w:before="0" w:line="240" w:lineRule="auto"/>
              <w:jc w:val="center"/>
            </w:pPr>
            <w:r>
              <w:rPr>
                <w:bCs/>
                <w:b/>
                <w:sz w:val="16"/>
              </w:rPr>
              <w:t xml:space="preserve">0.71</w:t>
            </w:r>
          </w:p>
        </w:tc>
        <w:tc>
          <w:tcPr/>
          <w:p>
            <w:pPr>
              <w:pStyle w:val="Compact"/>
              <w:spacing w:after="0" w:before="0" w:line="240" w:lineRule="auto"/>
              <w:jc w:val="center"/>
            </w:pPr>
            <w:r>
              <w:rPr>
                <w:iCs/>
                <w:i/>
                <w:sz w:val="16"/>
              </w:rPr>
              <w:t xml:space="preserve">0.49</w:t>
            </w:r>
          </w:p>
        </w:tc>
        <w:tc>
          <w:tcPr/>
          <w:p>
            <w:pPr>
              <w:pStyle w:val="Compact"/>
              <w:spacing w:after="0" w:before="0" w:line="240" w:lineRule="auto"/>
              <w:jc w:val="center"/>
            </w:pPr>
            <w:r>
              <w:rPr>
                <w:iCs/>
                <w:i/>
                <w:sz w:val="16"/>
              </w:rPr>
              <w:t xml:space="preserve">0.54</w:t>
            </w:r>
          </w:p>
        </w:tc>
        <w:tc>
          <w:tcPr/>
          <w:p>
            <w:pPr>
              <w:pStyle w:val="Compact"/>
              <w:spacing w:after="0" w:before="0" w:line="240" w:lineRule="auto"/>
              <w:jc w:val="center"/>
            </w:pPr>
            <w:r>
              <w:rPr>
                <w:iCs/>
                <w:i/>
                <w:sz w:val="16"/>
              </w:rPr>
              <w:t xml:space="preserve">0.49</w:t>
            </w:r>
          </w:p>
        </w:tc>
        <w:tc>
          <w:tcPr/>
          <w:p>
            <w:pPr>
              <w:pStyle w:val="Compact"/>
              <w:spacing w:after="0" w:before="0" w:line="240" w:lineRule="auto"/>
              <w:jc w:val="center"/>
            </w:pPr>
            <w:r>
              <w:rPr>
                <w:iCs/>
                <w:i/>
                <w:sz w:val="16"/>
              </w:rPr>
              <w:t xml:space="preserve">0.60</w:t>
            </w:r>
          </w:p>
        </w:tc>
        <w:tc>
          <w:tcPr/>
          <w:p>
            <w:pPr>
              <w:pStyle w:val="Compact"/>
              <w:spacing w:after="0" w:before="0" w:line="240" w:lineRule="auto"/>
              <w:jc w:val="center"/>
            </w:pPr>
            <w:r>
              <w:rPr>
                <w:iCs/>
                <w:i/>
                <w:sz w:val="16"/>
              </w:rPr>
              <w:t xml:space="preserve">0.58</w:t>
            </w:r>
          </w:p>
        </w:tc>
        <w:tc>
          <w:tcPr/>
          <w:p>
            <w:pPr>
              <w:pStyle w:val="Compact"/>
              <w:spacing w:after="0" w:before="0" w:line="240" w:lineRule="auto"/>
              <w:jc w:val="center"/>
            </w:pPr>
            <w:r>
              <w:rPr>
                <w:iCs/>
                <w:i/>
                <w:sz w:val="16"/>
              </w:rPr>
              <w:t xml:space="preserve">0.55</w:t>
            </w:r>
          </w:p>
        </w:tc>
        <w:tc>
          <w:tcPr/>
          <w:p>
            <w:pPr>
              <w:pStyle w:val="Compact"/>
              <w:spacing w:after="0" w:before="0" w:line="240" w:lineRule="auto"/>
              <w:jc w:val="center"/>
            </w:pPr>
            <w:r>
              <w:rPr>
                <w:iCs/>
                <w:i/>
                <w:sz w:val="16"/>
              </w:rPr>
              <w:t xml:space="preserve">0.09</w:t>
            </w:r>
          </w:p>
        </w:tc>
      </w:tr>
      <w:tr>
        <w:tc>
          <w:tcPr/>
          <w:p>
            <w:pPr>
              <w:pStyle w:val="Compact"/>
              <w:spacing w:after="0" w:before="0" w:line="240" w:lineRule="auto"/>
              <w:jc w:val="left"/>
            </w:pPr>
            <w:r>
              <w:rPr>
                <w:sz w:val="16"/>
              </w:rPr>
              <w:t xml:space="preserve">SE</w:t>
            </w:r>
          </w:p>
        </w:tc>
        <w:tc>
          <w:tcPr/>
          <w:p>
            <w:pPr>
              <w:pStyle w:val="Compact"/>
              <w:spacing w:after="0" w:before="0" w:line="240" w:lineRule="auto"/>
              <w:jc w:val="center"/>
            </w:pPr>
            <w:r>
              <w:rPr>
                <w:sz w:val="16"/>
              </w:rPr>
              <w:t xml:space="preserve">0.51</w:t>
            </w:r>
          </w:p>
        </w:tc>
        <w:tc>
          <w:tcPr/>
          <w:p>
            <w:pPr>
              <w:pStyle w:val="Compact"/>
              <w:spacing w:after="0" w:before="0" w:line="240" w:lineRule="auto"/>
              <w:jc w:val="center"/>
            </w:pPr>
            <w:r>
              <w:rPr>
                <w:bCs/>
                <w:b/>
                <w:sz w:val="16"/>
              </w:rPr>
              <w:t xml:space="preserve">0.70</w:t>
            </w:r>
          </w:p>
        </w:tc>
        <w:tc>
          <w:tcPr/>
          <w:p>
            <w:pPr>
              <w:pStyle w:val="Compact"/>
              <w:spacing w:after="0" w:before="0" w:line="240" w:lineRule="auto"/>
              <w:jc w:val="center"/>
            </w:pPr>
            <w:r>
              <w:rPr>
                <w:iCs/>
                <w:i/>
                <w:sz w:val="16"/>
              </w:rPr>
              <w:t xml:space="preserve">0.75</w:t>
            </w:r>
          </w:p>
        </w:tc>
        <w:tc>
          <w:tcPr/>
          <w:p>
            <w:pPr>
              <w:pStyle w:val="Compact"/>
              <w:spacing w:after="0" w:before="0" w:line="240" w:lineRule="auto"/>
              <w:jc w:val="center"/>
            </w:pPr>
            <w:r>
              <w:rPr>
                <w:iCs/>
                <w:i/>
                <w:sz w:val="16"/>
              </w:rPr>
              <w:t xml:space="preserve">0.71</w:t>
            </w:r>
          </w:p>
        </w:tc>
        <w:tc>
          <w:tcPr/>
          <w:p>
            <w:pPr>
              <w:pStyle w:val="Compact"/>
              <w:spacing w:after="0" w:before="0" w:line="240" w:lineRule="auto"/>
              <w:jc w:val="center"/>
            </w:pPr>
            <w:r>
              <w:rPr>
                <w:iCs/>
                <w:i/>
                <w:sz w:val="16"/>
              </w:rPr>
              <w:t xml:space="preserve">0.44</w:t>
            </w:r>
          </w:p>
        </w:tc>
        <w:tc>
          <w:tcPr/>
          <w:p>
            <w:pPr>
              <w:pStyle w:val="Compact"/>
              <w:spacing w:after="0" w:before="0" w:line="240" w:lineRule="auto"/>
              <w:jc w:val="center"/>
            </w:pPr>
            <w:r>
              <w:rPr>
                <w:iCs/>
                <w:i/>
                <w:sz w:val="16"/>
              </w:rPr>
              <w:t xml:space="preserve">0.52</w:t>
            </w:r>
          </w:p>
        </w:tc>
        <w:tc>
          <w:tcPr/>
          <w:p>
            <w:pPr>
              <w:pStyle w:val="Compact"/>
              <w:spacing w:after="0" w:before="0" w:line="240" w:lineRule="auto"/>
              <w:jc w:val="center"/>
            </w:pPr>
            <w:r>
              <w:rPr>
                <w:iCs/>
                <w:i/>
                <w:sz w:val="16"/>
              </w:rPr>
              <w:t xml:space="preserve">0.52</w:t>
            </w:r>
          </w:p>
        </w:tc>
        <w:tc>
          <w:tcPr/>
          <w:p>
            <w:pPr>
              <w:pStyle w:val="Compact"/>
              <w:spacing w:after="0" w:before="0" w:line="240" w:lineRule="auto"/>
              <w:jc w:val="center"/>
            </w:pPr>
            <w:r>
              <w:rPr>
                <w:iCs/>
                <w:i/>
                <w:sz w:val="16"/>
              </w:rPr>
              <w:t xml:space="preserve">0.18</w:t>
            </w:r>
          </w:p>
        </w:tc>
      </w:tr>
      <w:tr>
        <w:tc>
          <w:tcPr/>
          <w:p>
            <w:pPr>
              <w:pStyle w:val="Compact"/>
              <w:spacing w:after="0" w:before="0" w:line="240" w:lineRule="auto"/>
              <w:jc w:val="left"/>
            </w:pPr>
            <w:r>
              <w:rPr>
                <w:sz w:val="16"/>
              </w:rPr>
              <w:t xml:space="preserve">P</w:t>
            </w:r>
          </w:p>
        </w:tc>
        <w:tc>
          <w:tcPr/>
          <w:p>
            <w:pPr>
              <w:pStyle w:val="Compact"/>
              <w:spacing w:after="0" w:before="0" w:line="240" w:lineRule="auto"/>
              <w:jc w:val="center"/>
            </w:pPr>
            <w:r>
              <w:rPr>
                <w:sz w:val="16"/>
              </w:rPr>
              <w:t xml:space="preserve">0.55</w:t>
            </w:r>
          </w:p>
        </w:tc>
        <w:tc>
          <w:tcPr/>
          <w:p>
            <w:pPr>
              <w:pStyle w:val="Compact"/>
              <w:spacing w:after="0" w:before="0" w:line="240" w:lineRule="auto"/>
              <w:jc w:val="center"/>
            </w:pPr>
            <w:r>
              <w:rPr>
                <w:sz w:val="16"/>
              </w:rPr>
              <w:t xml:space="preserve">0.76</w:t>
            </w:r>
          </w:p>
        </w:tc>
        <w:tc>
          <w:tcPr/>
          <w:p>
            <w:pPr>
              <w:pStyle w:val="Compact"/>
              <w:spacing w:after="0" w:before="0" w:line="240" w:lineRule="auto"/>
              <w:jc w:val="center"/>
            </w:pPr>
            <w:r>
              <w:rPr>
                <w:bCs/>
                <w:b/>
                <w:sz w:val="16"/>
              </w:rPr>
              <w:t xml:space="preserve">0.74</w:t>
            </w:r>
          </w:p>
        </w:tc>
        <w:tc>
          <w:tcPr/>
          <w:p>
            <w:pPr>
              <w:pStyle w:val="Compact"/>
              <w:spacing w:after="0" w:before="0" w:line="240" w:lineRule="auto"/>
              <w:jc w:val="center"/>
            </w:pPr>
            <w:r>
              <w:rPr>
                <w:iCs/>
                <w:i/>
                <w:sz w:val="16"/>
              </w:rPr>
              <w:t xml:space="preserve">0.79</w:t>
            </w:r>
          </w:p>
        </w:tc>
        <w:tc>
          <w:tcPr/>
          <w:p>
            <w:pPr>
              <w:pStyle w:val="Compact"/>
              <w:spacing w:after="0" w:before="0" w:line="240" w:lineRule="auto"/>
              <w:jc w:val="center"/>
            </w:pPr>
            <w:r>
              <w:rPr>
                <w:iCs/>
                <w:i/>
                <w:sz w:val="16"/>
              </w:rPr>
              <w:t xml:space="preserve">0.40</w:t>
            </w:r>
          </w:p>
        </w:tc>
        <w:tc>
          <w:tcPr/>
          <w:p>
            <w:pPr>
              <w:pStyle w:val="Compact"/>
              <w:spacing w:after="0" w:before="0" w:line="240" w:lineRule="auto"/>
              <w:jc w:val="center"/>
            </w:pPr>
            <w:r>
              <w:rPr>
                <w:iCs/>
                <w:i/>
                <w:sz w:val="16"/>
              </w:rPr>
              <w:t xml:space="preserve">0.53</w:t>
            </w:r>
          </w:p>
        </w:tc>
        <w:tc>
          <w:tcPr/>
          <w:p>
            <w:pPr>
              <w:pStyle w:val="Compact"/>
              <w:spacing w:after="0" w:before="0" w:line="240" w:lineRule="auto"/>
              <w:jc w:val="center"/>
            </w:pPr>
            <w:r>
              <w:rPr>
                <w:iCs/>
                <w:i/>
                <w:sz w:val="16"/>
              </w:rPr>
              <w:t xml:space="preserve">0.61</w:t>
            </w:r>
          </w:p>
        </w:tc>
        <w:tc>
          <w:tcPr/>
          <w:p>
            <w:pPr>
              <w:pStyle w:val="Compact"/>
              <w:spacing w:after="0" w:before="0" w:line="240" w:lineRule="auto"/>
              <w:jc w:val="center"/>
            </w:pPr>
            <w:r>
              <w:rPr>
                <w:iCs/>
                <w:i/>
                <w:sz w:val="16"/>
              </w:rPr>
              <w:t xml:space="preserve">0.18</w:t>
            </w:r>
          </w:p>
        </w:tc>
      </w:tr>
      <w:tr>
        <w:tc>
          <w:tcPr/>
          <w:p>
            <w:pPr>
              <w:pStyle w:val="Compact"/>
              <w:spacing w:after="0" w:before="0" w:line="240" w:lineRule="auto"/>
              <w:jc w:val="left"/>
            </w:pPr>
            <w:r>
              <w:rPr>
                <w:sz w:val="16"/>
              </w:rPr>
              <w:t xml:space="preserve">AC</w:t>
            </w:r>
          </w:p>
        </w:tc>
        <w:tc>
          <w:tcPr/>
          <w:p>
            <w:pPr>
              <w:pStyle w:val="Compact"/>
              <w:spacing w:after="0" w:before="0" w:line="240" w:lineRule="auto"/>
              <w:jc w:val="center"/>
            </w:pPr>
            <w:r>
              <w:rPr>
                <w:sz w:val="16"/>
              </w:rPr>
              <w:t xml:space="preserve">0.51</w:t>
            </w:r>
          </w:p>
        </w:tc>
        <w:tc>
          <w:tcPr/>
          <w:p>
            <w:pPr>
              <w:pStyle w:val="Compact"/>
              <w:spacing w:after="0" w:before="0" w:line="240" w:lineRule="auto"/>
              <w:jc w:val="center"/>
            </w:pPr>
            <w:r>
              <w:rPr>
                <w:sz w:val="16"/>
              </w:rPr>
              <w:t xml:space="preserve">0.72</w:t>
            </w:r>
          </w:p>
        </w:tc>
        <w:tc>
          <w:tcPr/>
          <w:p>
            <w:pPr>
              <w:pStyle w:val="Compact"/>
              <w:spacing w:after="0" w:before="0" w:line="240" w:lineRule="auto"/>
              <w:jc w:val="center"/>
            </w:pPr>
            <w:r>
              <w:rPr>
                <w:sz w:val="16"/>
              </w:rPr>
              <w:t xml:space="preserve">0.81</w:t>
            </w:r>
          </w:p>
        </w:tc>
        <w:tc>
          <w:tcPr/>
          <w:p>
            <w:pPr>
              <w:pStyle w:val="Compact"/>
              <w:spacing w:after="0" w:before="0" w:line="240" w:lineRule="auto"/>
              <w:jc w:val="center"/>
            </w:pPr>
            <w:r>
              <w:rPr>
                <w:bCs/>
                <w:b/>
                <w:sz w:val="16"/>
              </w:rPr>
              <w:t xml:space="preserve">0.78</w:t>
            </w:r>
          </w:p>
        </w:tc>
        <w:tc>
          <w:tcPr/>
          <w:p>
            <w:pPr>
              <w:pStyle w:val="Compact"/>
              <w:spacing w:after="0" w:before="0" w:line="240" w:lineRule="auto"/>
              <w:jc w:val="center"/>
            </w:pPr>
            <w:r>
              <w:rPr>
                <w:iCs/>
                <w:i/>
                <w:sz w:val="16"/>
              </w:rPr>
              <w:t xml:space="preserve">0.36</w:t>
            </w:r>
          </w:p>
        </w:tc>
        <w:tc>
          <w:tcPr/>
          <w:p>
            <w:pPr>
              <w:pStyle w:val="Compact"/>
              <w:spacing w:after="0" w:before="0" w:line="240" w:lineRule="auto"/>
              <w:jc w:val="center"/>
            </w:pPr>
            <w:r>
              <w:rPr>
                <w:iCs/>
                <w:i/>
                <w:sz w:val="16"/>
              </w:rPr>
              <w:t xml:space="preserve">0.55</w:t>
            </w:r>
          </w:p>
        </w:tc>
        <w:tc>
          <w:tcPr/>
          <w:p>
            <w:pPr>
              <w:pStyle w:val="Compact"/>
              <w:spacing w:after="0" w:before="0" w:line="240" w:lineRule="auto"/>
              <w:jc w:val="center"/>
            </w:pPr>
            <w:r>
              <w:rPr>
                <w:iCs/>
                <w:i/>
                <w:sz w:val="16"/>
              </w:rPr>
              <w:t xml:space="preserve">0.55</w:t>
            </w:r>
          </w:p>
        </w:tc>
        <w:tc>
          <w:tcPr/>
          <w:p>
            <w:pPr>
              <w:pStyle w:val="Compact"/>
              <w:spacing w:after="0" w:before="0" w:line="240" w:lineRule="auto"/>
              <w:jc w:val="center"/>
            </w:pPr>
            <w:r>
              <w:rPr>
                <w:iCs/>
                <w:i/>
                <w:sz w:val="16"/>
              </w:rPr>
              <w:t xml:space="preserve">0.19</w:t>
            </w:r>
          </w:p>
        </w:tc>
      </w:tr>
      <w:tr>
        <w:tc>
          <w:tcPr/>
          <w:p>
            <w:pPr>
              <w:pStyle w:val="Compact"/>
              <w:spacing w:after="0" w:before="0" w:line="240" w:lineRule="auto"/>
              <w:jc w:val="left"/>
            </w:pPr>
            <w:r>
              <w:rPr>
                <w:sz w:val="16"/>
              </w:rPr>
              <w:t xml:space="preserve">C</w:t>
            </w:r>
          </w:p>
        </w:tc>
        <w:tc>
          <w:tcPr/>
          <w:p>
            <w:pPr>
              <w:pStyle w:val="Compact"/>
              <w:spacing w:after="0" w:before="0" w:line="240" w:lineRule="auto"/>
              <w:jc w:val="center"/>
            </w:pPr>
            <w:r>
              <w:rPr>
                <w:sz w:val="16"/>
              </w:rPr>
              <w:t xml:space="preserve">0.65</w:t>
            </w:r>
          </w:p>
        </w:tc>
        <w:tc>
          <w:tcPr/>
          <w:p>
            <w:pPr>
              <w:pStyle w:val="Compact"/>
              <w:spacing w:after="0" w:before="0" w:line="240" w:lineRule="auto"/>
              <w:jc w:val="center"/>
            </w:pPr>
            <w:r>
              <w:rPr>
                <w:sz w:val="16"/>
              </w:rPr>
              <w:t xml:space="preserve">0.49</w:t>
            </w:r>
          </w:p>
        </w:tc>
        <w:tc>
          <w:tcPr/>
          <w:p>
            <w:pPr>
              <w:pStyle w:val="Compact"/>
              <w:spacing w:after="0" w:before="0" w:line="240" w:lineRule="auto"/>
              <w:jc w:val="center"/>
            </w:pPr>
            <w:r>
              <w:rPr>
                <w:sz w:val="16"/>
              </w:rPr>
              <w:t xml:space="preserve">0.45</w:t>
            </w:r>
          </w:p>
        </w:tc>
        <w:tc>
          <w:tcPr/>
          <w:p>
            <w:pPr>
              <w:pStyle w:val="Compact"/>
              <w:spacing w:after="0" w:before="0" w:line="240" w:lineRule="auto"/>
              <w:jc w:val="center"/>
            </w:pPr>
            <w:r>
              <w:rPr>
                <w:sz w:val="16"/>
              </w:rPr>
              <w:t xml:space="preserve">0.40</w:t>
            </w:r>
          </w:p>
        </w:tc>
        <w:tc>
          <w:tcPr/>
          <w:p>
            <w:pPr>
              <w:pStyle w:val="Compact"/>
              <w:spacing w:after="0" w:before="0" w:line="240" w:lineRule="auto"/>
              <w:jc w:val="center"/>
            </w:pPr>
            <w:r>
              <w:rPr>
                <w:bCs/>
                <w:b/>
                <w:sz w:val="16"/>
              </w:rPr>
              <w:t xml:space="preserve">0.70</w:t>
            </w:r>
          </w:p>
        </w:tc>
        <w:tc>
          <w:tcPr/>
          <w:p>
            <w:pPr>
              <w:pStyle w:val="Compact"/>
              <w:spacing w:after="0" w:before="0" w:line="240" w:lineRule="auto"/>
              <w:jc w:val="center"/>
            </w:pPr>
            <w:r>
              <w:rPr>
                <w:iCs/>
                <w:i/>
                <w:sz w:val="16"/>
              </w:rPr>
              <w:t xml:space="preserve">0.43</w:t>
            </w:r>
          </w:p>
        </w:tc>
        <w:tc>
          <w:tcPr/>
          <w:p>
            <w:pPr>
              <w:pStyle w:val="Compact"/>
              <w:spacing w:after="0" w:before="0" w:line="240" w:lineRule="auto"/>
              <w:jc w:val="center"/>
            </w:pPr>
            <w:r>
              <w:rPr>
                <w:iCs/>
                <w:i/>
                <w:sz w:val="16"/>
              </w:rPr>
              <w:t xml:space="preserve">0.36</w:t>
            </w:r>
          </w:p>
        </w:tc>
        <w:tc>
          <w:tcPr/>
          <w:p>
            <w:pPr>
              <w:pStyle w:val="Compact"/>
              <w:spacing w:after="0" w:before="0" w:line="240" w:lineRule="auto"/>
              <w:jc w:val="center"/>
            </w:pPr>
            <w:r>
              <w:rPr>
                <w:iCs/>
                <w:i/>
                <w:sz w:val="16"/>
              </w:rPr>
              <w:t xml:space="preserve">0.04</w:t>
            </w:r>
          </w:p>
        </w:tc>
      </w:tr>
      <w:tr>
        <w:tc>
          <w:tcPr/>
          <w:p>
            <w:pPr>
              <w:pStyle w:val="Compact"/>
              <w:spacing w:after="0" w:before="0" w:line="240" w:lineRule="auto"/>
              <w:jc w:val="left"/>
            </w:pPr>
            <w:r>
              <w:rPr>
                <w:sz w:val="16"/>
              </w:rPr>
              <w:t xml:space="preserve">A</w:t>
            </w:r>
          </w:p>
        </w:tc>
        <w:tc>
          <w:tcPr/>
          <w:p>
            <w:pPr>
              <w:pStyle w:val="Compact"/>
              <w:spacing w:after="0" w:before="0" w:line="240" w:lineRule="auto"/>
              <w:jc w:val="center"/>
            </w:pPr>
            <w:r>
              <w:rPr>
                <w:sz w:val="16"/>
              </w:rPr>
              <w:t xml:space="preserve">0.60</w:t>
            </w:r>
          </w:p>
        </w:tc>
        <w:tc>
          <w:tcPr/>
          <w:p>
            <w:pPr>
              <w:pStyle w:val="Compact"/>
              <w:spacing w:after="0" w:before="0" w:line="240" w:lineRule="auto"/>
              <w:jc w:val="center"/>
            </w:pPr>
            <w:r>
              <w:rPr>
                <w:sz w:val="16"/>
              </w:rPr>
              <w:t xml:space="preserve">0.53</w:t>
            </w:r>
          </w:p>
        </w:tc>
        <w:tc>
          <w:tcPr/>
          <w:p>
            <w:pPr>
              <w:pStyle w:val="Compact"/>
              <w:spacing w:after="0" w:before="0" w:line="240" w:lineRule="auto"/>
              <w:jc w:val="center"/>
            </w:pPr>
            <w:r>
              <w:rPr>
                <w:sz w:val="16"/>
              </w:rPr>
              <w:t xml:space="preserve">0.55</w:t>
            </w:r>
          </w:p>
        </w:tc>
        <w:tc>
          <w:tcPr/>
          <w:p>
            <w:pPr>
              <w:pStyle w:val="Compact"/>
              <w:spacing w:after="0" w:before="0" w:line="240" w:lineRule="auto"/>
              <w:jc w:val="center"/>
            </w:pPr>
            <w:r>
              <w:rPr>
                <w:sz w:val="16"/>
              </w:rPr>
              <w:t xml:space="preserve">0.56</w:t>
            </w:r>
          </w:p>
        </w:tc>
        <w:tc>
          <w:tcPr/>
          <w:p>
            <w:pPr>
              <w:pStyle w:val="Compact"/>
              <w:spacing w:after="0" w:before="0" w:line="240" w:lineRule="auto"/>
              <w:jc w:val="center"/>
            </w:pPr>
            <w:r>
              <w:rPr>
                <w:sz w:val="16"/>
              </w:rPr>
              <w:t xml:space="preserve">0.47</w:t>
            </w:r>
          </w:p>
        </w:tc>
        <w:tc>
          <w:tcPr/>
          <w:p>
            <w:pPr>
              <w:pStyle w:val="Compact"/>
              <w:spacing w:after="0" w:before="0" w:line="240" w:lineRule="auto"/>
              <w:jc w:val="center"/>
            </w:pPr>
            <w:r>
              <w:rPr>
                <w:bCs/>
                <w:b/>
                <w:sz w:val="16"/>
              </w:rPr>
              <w:t xml:space="preserve">0.83</w:t>
            </w:r>
          </w:p>
        </w:tc>
        <w:tc>
          <w:tcPr/>
          <w:p>
            <w:pPr>
              <w:pStyle w:val="Compact"/>
              <w:spacing w:after="0" w:before="0" w:line="240" w:lineRule="auto"/>
              <w:jc w:val="center"/>
            </w:pPr>
            <w:r>
              <w:rPr>
                <w:iCs/>
                <w:i/>
                <w:sz w:val="16"/>
              </w:rPr>
              <w:t xml:space="preserve">0.43</w:t>
            </w:r>
          </w:p>
        </w:tc>
        <w:tc>
          <w:tcPr/>
          <w:p>
            <w:pPr>
              <w:pStyle w:val="Compact"/>
              <w:spacing w:after="0" w:before="0" w:line="240" w:lineRule="auto"/>
              <w:jc w:val="center"/>
            </w:pPr>
            <w:r>
              <w:rPr>
                <w:iCs/>
                <w:i/>
                <w:sz w:val="16"/>
              </w:rPr>
              <w:t xml:space="preserve">0.14</w:t>
            </w:r>
          </w:p>
        </w:tc>
      </w:tr>
      <w:tr>
        <w:tc>
          <w:tcPr/>
          <w:p>
            <w:pPr>
              <w:pStyle w:val="Compact"/>
              <w:spacing w:after="0" w:before="0" w:line="240" w:lineRule="auto"/>
              <w:jc w:val="left"/>
            </w:pPr>
            <w:r>
              <w:rPr>
                <w:sz w:val="16"/>
              </w:rPr>
              <w:t xml:space="preserve">R</w:t>
            </w:r>
          </w:p>
        </w:tc>
        <w:tc>
          <w:tcPr/>
          <w:p>
            <w:pPr>
              <w:pStyle w:val="Compact"/>
              <w:spacing w:after="0" w:before="0" w:line="240" w:lineRule="auto"/>
              <w:jc w:val="center"/>
            </w:pPr>
            <w:r>
              <w:rPr>
                <w:sz w:val="16"/>
              </w:rPr>
              <w:t xml:space="preserve">0.67</w:t>
            </w:r>
          </w:p>
        </w:tc>
        <w:tc>
          <w:tcPr/>
          <w:p>
            <w:pPr>
              <w:pStyle w:val="Compact"/>
              <w:spacing w:after="0" w:before="0" w:line="240" w:lineRule="auto"/>
              <w:jc w:val="center"/>
            </w:pPr>
            <w:r>
              <w:rPr>
                <w:sz w:val="16"/>
              </w:rPr>
              <w:t xml:space="preserve">0.51</w:t>
            </w:r>
          </w:p>
        </w:tc>
        <w:tc>
          <w:tcPr/>
          <w:p>
            <w:pPr>
              <w:pStyle w:val="Compact"/>
              <w:spacing w:after="0" w:before="0" w:line="240" w:lineRule="auto"/>
              <w:jc w:val="center"/>
            </w:pPr>
            <w:r>
              <w:rPr>
                <w:sz w:val="16"/>
              </w:rPr>
              <w:t xml:space="preserve">0.64</w:t>
            </w:r>
          </w:p>
        </w:tc>
        <w:tc>
          <w:tcPr/>
          <w:p>
            <w:pPr>
              <w:pStyle w:val="Compact"/>
              <w:spacing w:after="0" w:before="0" w:line="240" w:lineRule="auto"/>
              <w:jc w:val="center"/>
            </w:pPr>
            <w:r>
              <w:rPr>
                <w:sz w:val="16"/>
              </w:rPr>
              <w:t xml:space="preserve">0.57</w:t>
            </w:r>
          </w:p>
        </w:tc>
        <w:tc>
          <w:tcPr/>
          <w:p>
            <w:pPr>
              <w:pStyle w:val="Compact"/>
              <w:spacing w:after="0" w:before="0" w:line="240" w:lineRule="auto"/>
              <w:jc w:val="center"/>
            </w:pPr>
            <w:r>
              <w:rPr>
                <w:sz w:val="16"/>
              </w:rPr>
              <w:t xml:space="preserve">0.43</w:t>
            </w:r>
          </w:p>
        </w:tc>
        <w:tc>
          <w:tcPr/>
          <w:p>
            <w:pPr>
              <w:pStyle w:val="Compact"/>
              <w:spacing w:after="0" w:before="0" w:line="240" w:lineRule="auto"/>
              <w:jc w:val="center"/>
            </w:pPr>
            <w:r>
              <w:rPr>
                <w:sz w:val="16"/>
              </w:rPr>
              <w:t xml:space="preserve">0.49</w:t>
            </w:r>
          </w:p>
        </w:tc>
        <w:tc>
          <w:tcPr/>
          <w:p>
            <w:pPr>
              <w:pStyle w:val="Compact"/>
              <w:spacing w:after="0" w:before="0" w:line="240" w:lineRule="auto"/>
              <w:jc w:val="center"/>
            </w:pPr>
            <w:r>
              <w:rPr>
                <w:bCs/>
                <w:b/>
                <w:sz w:val="16"/>
              </w:rPr>
              <w:t xml:space="preserve">0.79</w:t>
            </w:r>
          </w:p>
        </w:tc>
        <w:tc>
          <w:tcPr/>
          <w:p>
            <w:pPr>
              <w:pStyle w:val="Compact"/>
              <w:spacing w:after="0" w:before="0" w:line="240" w:lineRule="auto"/>
              <w:jc w:val="center"/>
            </w:pPr>
            <w:r>
              <w:rPr>
                <w:iCs/>
                <w:i/>
                <w:sz w:val="16"/>
              </w:rPr>
              <w:t xml:space="preserve">0.17</w:t>
            </w:r>
          </w:p>
        </w:tc>
      </w:tr>
      <w:tr>
        <w:tc>
          <w:tcPr/>
          <w:p>
            <w:pPr>
              <w:pStyle w:val="Compact"/>
              <w:spacing w:after="0" w:before="0" w:line="240" w:lineRule="auto"/>
              <w:jc w:val="left"/>
            </w:pPr>
            <w:r>
              <w:rPr>
                <w:sz w:val="16"/>
              </w:rPr>
              <w:t xml:space="preserve">E</w:t>
            </w:r>
          </w:p>
        </w:tc>
        <w:tc>
          <w:tcPr/>
          <w:p>
            <w:pPr>
              <w:pStyle w:val="Compact"/>
              <w:spacing w:after="0" w:before="0" w:line="240" w:lineRule="auto"/>
              <w:jc w:val="center"/>
            </w:pPr>
            <w:r>
              <w:rPr>
                <w:sz w:val="16"/>
              </w:rPr>
              <w:t xml:space="preserve">0.13</w:t>
            </w:r>
          </w:p>
        </w:tc>
        <w:tc>
          <w:tcPr/>
          <w:p>
            <w:pPr>
              <w:pStyle w:val="Compact"/>
              <w:spacing w:after="0" w:before="0" w:line="240" w:lineRule="auto"/>
              <w:jc w:val="center"/>
            </w:pPr>
            <w:r>
              <w:rPr>
                <w:sz w:val="16"/>
              </w:rPr>
              <w:t xml:space="preserve">0.20</w:t>
            </w:r>
          </w:p>
        </w:tc>
        <w:tc>
          <w:tcPr/>
          <w:p>
            <w:pPr>
              <w:pStyle w:val="Compact"/>
              <w:spacing w:after="0" w:before="0" w:line="240" w:lineRule="auto"/>
              <w:jc w:val="center"/>
            </w:pPr>
            <w:r>
              <w:rPr>
                <w:sz w:val="16"/>
              </w:rPr>
              <w:t xml:space="preserve">0.20</w:t>
            </w:r>
          </w:p>
        </w:tc>
        <w:tc>
          <w:tcPr/>
          <w:p>
            <w:pPr>
              <w:pStyle w:val="Compact"/>
              <w:spacing w:after="0" w:before="0" w:line="240" w:lineRule="auto"/>
              <w:jc w:val="center"/>
            </w:pPr>
            <w:r>
              <w:rPr>
                <w:sz w:val="16"/>
              </w:rPr>
              <w:t xml:space="preserve">0.21</w:t>
            </w:r>
          </w:p>
        </w:tc>
        <w:tc>
          <w:tcPr/>
          <w:p>
            <w:pPr>
              <w:pStyle w:val="Compact"/>
              <w:spacing w:after="0" w:before="0" w:line="240" w:lineRule="auto"/>
              <w:jc w:val="center"/>
            </w:pPr>
            <w:r>
              <w:rPr>
                <w:sz w:val="16"/>
              </w:rPr>
              <w:t xml:space="preserve">0.09</w:t>
            </w:r>
          </w:p>
        </w:tc>
        <w:tc>
          <w:tcPr/>
          <w:p>
            <w:pPr>
              <w:pStyle w:val="Compact"/>
              <w:spacing w:after="0" w:before="0" w:line="240" w:lineRule="auto"/>
              <w:jc w:val="center"/>
            </w:pPr>
            <w:r>
              <w:rPr>
                <w:sz w:val="16"/>
              </w:rPr>
              <w:t xml:space="preserve">0.16</w:t>
            </w:r>
          </w:p>
        </w:tc>
        <w:tc>
          <w:tcPr/>
          <w:p>
            <w:pPr>
              <w:pStyle w:val="Compact"/>
              <w:spacing w:after="0" w:before="0" w:line="240" w:lineRule="auto"/>
              <w:jc w:val="center"/>
            </w:pPr>
            <w:r>
              <w:rPr>
                <w:sz w:val="16"/>
              </w:rPr>
              <w:t xml:space="preserve">0.20</w:t>
            </w:r>
          </w:p>
        </w:tc>
        <w:tc>
          <w:tcPr/>
          <w:p>
            <w:pPr>
              <w:pStyle w:val="Compact"/>
              <w:spacing w:after="0" w:before="0" w:line="240" w:lineRule="auto"/>
              <w:jc w:val="center"/>
            </w:pPr>
            <w:r>
              <w:rPr>
                <w:bCs/>
                <w:b/>
                <w:sz w:val="16"/>
              </w:rPr>
              <w:t xml:space="preserve">0.76</w:t>
            </w:r>
          </w:p>
        </w:tc>
      </w:tr>
    </w:tbl>
    <w:bookmarkEnd w:id="65"/>
    <w:bookmarkStart w:id="69" w:name="factor-profile"/>
    <w:p>
      <w:pPr>
        <w:pStyle w:val="Heading2"/>
      </w:pPr>
      <w:r>
        <w:rPr>
          <w:rStyle w:val="SectionNumber"/>
        </w:rPr>
        <w:t xml:space="preserve">5.2</w:t>
      </w:r>
      <w:r>
        <w:tab/>
      </w:r>
      <w:r>
        <w:t xml:space="preserve">Factor profile</w:t>
      </w:r>
    </w:p>
    <w:p>
      <w:pPr>
        <w:pStyle w:val="FirstParagraph"/>
      </w:pPr>
      <w:r>
        <w:t xml:space="preserve">Students rated ChatGPT’s teaching effectiveness highest (Fig. 4a). This factor captures summarising, simplifying and efficiently providing information. Student engagement, personalization and communication followed. Reliability and ethical suitability received the lowest scores, close to the scale midpoint. The latent correlations (Fig. 4b) show a tight cluster of learning-outcome factors (SE, P, AC). Ethical suitability was almost unrelated to perceived capability (</w:t>
      </w:r>
      <m:oMath>
        <m:r>
          <m:t>r</m:t>
        </m:r>
        <m:r>
          <m:rPr>
            <m:sty m:val="p"/>
          </m:rPr>
          <m:t>≤</m:t>
        </m:r>
        <m:r>
          <m:t>0.20</m:t>
        </m:r>
      </m:oMath>
      <w:r>
        <w:t xml:space="preserve">): students who consider ChatGPT capable do not necessarily consider it ethically unproblematic.</w:t>
      </w:r>
    </w:p>
    <w:p>
      <w:pPr>
        <w:pStyle w:val="CaptionedFigure"/>
      </w:pPr>
      <w:r>
        <w:drawing>
          <wp:inline>
            <wp:extent cx="5334000" cy="1999942"/>
            <wp:effectExtent b="0" l="0" r="0" t="0"/>
            <wp:docPr descr="" title="" id="67" name="Picture"/>
            <a:graphic>
              <a:graphicData uri="http://schemas.openxmlformats.org/drawingml/2006/picture">
                <pic:pic>
                  <pic:nvPicPr>
                    <pic:cNvPr descr="/home/user/Data-Visualization/ai-teacher-feasibility/results/figures/fig4_factor_profile.png" id="68" name="Picture"/>
                    <pic:cNvPicPr>
                      <a:picLocks noChangeArrowheads="1" noChangeAspect="1"/>
                    </pic:cNvPicPr>
                  </pic:nvPicPr>
                  <pic:blipFill>
                    <a:blip r:embed="rId66"/>
                    <a:stretch>
                      <a:fillRect/>
                    </a:stretch>
                  </pic:blipFill>
                  <pic:spPr bwMode="auto">
                    <a:xfrm>
                      <a:off x="0" y="0"/>
                      <a:ext cx="5334000" cy="1999942"/>
                    </a:xfrm>
                    <a:prstGeom prst="rect">
                      <a:avLst/>
                    </a:prstGeom>
                    <a:noFill/>
                    <a:ln w="9525">
                      <a:noFill/>
                      <a:headEnd/>
                      <a:tailEnd/>
                    </a:ln>
                  </pic:spPr>
                </pic:pic>
              </a:graphicData>
            </a:graphic>
          </wp:inline>
        </w:drawing>
      </w:r>
    </w:p>
    <w:p>
      <w:pPr>
        <w:pStyle w:val="ImageCaption"/>
      </w:pPr>
      <w:r>
        <w:t xml:space="preserve">Fig. 4. (a) Mean (</w:t>
      </w:r>
      <m:oMath>
        <m:r>
          <m:rPr>
            <m:sty m:val="p"/>
          </m:rPr>
          <m:t>±</m:t>
        </m:r>
      </m:oMath>
      <w:r>
        <w:t xml:space="preserve"> </w:t>
      </w:r>
      <w:r>
        <w:t xml:space="preserve">SD) scores of the eight evaluation factors; the dashed line marks the neutral midpoint. (b) Latent factor correlations from the CFA.</w:t>
      </w:r>
    </w:p>
    <w:bookmarkEnd w:id="69"/>
    <w:bookmarkStart w:id="73" w:name="X0001f99f301f0c534ec7c4a29c993946a82bd63"/>
    <w:p>
      <w:pPr>
        <w:pStyle w:val="Heading2"/>
      </w:pPr>
      <w:r>
        <w:rPr>
          <w:rStyle w:val="SectionNumber"/>
        </w:rPr>
        <w:t xml:space="preserve">5.3</w:t>
      </w:r>
      <w:r>
        <w:tab/>
      </w:r>
      <w:r>
        <w:t xml:space="preserve">Overall feasibility score and its validity (RQ3)</w:t>
      </w:r>
    </w:p>
    <w:p>
      <w:pPr>
        <w:pStyle w:val="FirstParagraph"/>
      </w:pPr>
      <w:r>
        <w:t xml:space="preserve">The mean overall TRFS was 50.5 (SD 19.7, median 50.0). The first-level outputs were 61.2 for pedagogical capability, 58.6 for interaction quality and 49.8 for trustworthiness: students credit AI with considerable pedagogical capability but only moderate trustworthiness. At the respondent level, 28.1% of students fell into the full-replacement band, 46.1% into partial assistance and 25.8% into human involvement (Fig. 5a). The multimodal distribution is a known property of centroid defuzzification with few output terms: respondents whose inputs fire the same rules receive similar crisp scores.</w:t>
      </w:r>
    </w:p>
    <w:p>
      <w:pPr>
        <w:pStyle w:val="BodyText"/>
      </w:pPr>
      <w:r>
        <w:t xml:space="preserve">The fuzzy score behaved as a valid measure (Fig. 5b). Although no TSI information entered the fuzzy system, the TRFS correlated positively with the TSI (</w:t>
      </w:r>
      <m:oMath>
        <m:r>
          <m:t>ρ</m:t>
        </m:r>
        <m:r>
          <m:rPr>
            <m:sty m:val="p"/>
          </m:rPr>
          <m:t>=</m:t>
        </m:r>
        <m:r>
          <m:t>0.39</m:t>
        </m:r>
      </m:oMath>
      <w:r>
        <w:t xml:space="preserve">). It also correlated with satisfaction with ChatGPT’s assistance (</w:t>
      </w:r>
      <m:oMath>
        <m:r>
          <m:t>ρ</m:t>
        </m:r>
        <m:r>
          <m:rPr>
            <m:sty m:val="p"/>
          </m:rPr>
          <m:t>=</m:t>
        </m:r>
        <m:r>
          <m:t>0.55</m:t>
        </m:r>
      </m:oMath>
      <w:r>
        <w:t xml:space="preserve">), overall experience (</w:t>
      </w:r>
      <m:oMath>
        <m:r>
          <m:t>ρ</m:t>
        </m:r>
        <m:r>
          <m:rPr>
            <m:sty m:val="p"/>
          </m:rPr>
          <m:t>=</m:t>
        </m:r>
        <m:r>
          <m:t>0.45</m:t>
        </m:r>
      </m:oMath>
      <w:r>
        <w:t xml:space="preserve">) and intensity of use (</w:t>
      </w:r>
      <m:oMath>
        <m:r>
          <m:t>ρ</m:t>
        </m:r>
        <m:r>
          <m:rPr>
            <m:sty m:val="p"/>
          </m:rPr>
          <m:t>=</m:t>
        </m:r>
        <m:r>
          <m:t>0.30</m:t>
        </m:r>
      </m:oMath>
      <w:r>
        <w:t xml:space="preserve">; Kruskal–Wallis</w:t>
      </w:r>
      <w:r>
        <w:t xml:space="preserve"> </w:t>
      </w:r>
      <m:oMath>
        <m:r>
          <m:t>H</m:t>
        </m:r>
        <m:r>
          <m:rPr>
            <m:sty m:val="p"/>
          </m:rPr>
          <m:t>=</m:t>
        </m:r>
        <m:r>
          <m:t>1</m:t>
        </m:r>
        <m:r>
          <m:rPr>
            <m:sty m:val="p"/>
          </m:rPr>
          <m:t>,</m:t>
        </m:r>
        <m:r>
          <m:t>116.7</m:t>
        </m:r>
      </m:oMath>
      <w:r>
        <w:t xml:space="preserve">,</w:t>
      </w:r>
      <w:r>
        <w:t xml:space="preserve"> </w:t>
      </w:r>
      <m:oMath>
        <m:r>
          <m:t>p</m:t>
        </m:r>
        <m:r>
          <m:rPr>
            <m:sty m:val="p"/>
          </m:rPr>
          <m:t>&lt;</m:t>
        </m:r>
        <m:r>
          <m:t>0.001</m:t>
        </m:r>
      </m:oMath>
      <w:r>
        <w:t xml:space="preserve">). It was unrelated to the concern that ChatGPT</w:t>
      </w:r>
      <w:r>
        <w:t xml:space="preserve"> </w:t>
      </w:r>
      <w:r>
        <w:t xml:space="preserve">“</w:t>
      </w:r>
      <w:r>
        <w:t xml:space="preserve">might replace formal education</w:t>
      </w:r>
      <w:r>
        <w:t xml:space="preserve">”</w:t>
      </w:r>
      <w:r>
        <w:t xml:space="preserve"> </w:t>
      </w:r>
      <w:r>
        <w:t xml:space="preserve">(</w:t>
      </w:r>
      <m:oMath>
        <m:r>
          <m:t>ρ</m:t>
        </m:r>
        <m:r>
          <m:rPr>
            <m:sty m:val="p"/>
          </m:rPr>
          <m:t>=</m:t>
        </m:r>
        <m:r>
          <m:rPr>
            <m:sty m:val="p"/>
          </m:rPr>
          <m:t>−</m:t>
        </m:r>
        <m:r>
          <m:t>0.013</m:t>
        </m:r>
      </m:oMath>
      <w:r>
        <w:t xml:space="preserve">,</w:t>
      </w:r>
      <w:r>
        <w:t xml:space="preserve"> </w:t>
      </w:r>
      <m:oMath>
        <m:r>
          <m:t>p</m:t>
        </m:r>
        <m:r>
          <m:rPr>
            <m:sty m:val="p"/>
          </m:rPr>
          <m:t>=</m:t>
        </m:r>
        <m:r>
          <m:t>0.16</m:t>
        </m:r>
      </m:oMath>
      <w:r>
        <w:t xml:space="preserve">). This discriminant result shows that the TRFS captures perceived task capability rather than general anxiety about AI displacing education.</w:t>
      </w:r>
    </w:p>
    <w:p>
      <w:pPr>
        <w:pStyle w:val="CaptionedFigure"/>
      </w:pPr>
      <w:r>
        <w:drawing>
          <wp:inline>
            <wp:extent cx="5334000" cy="1703438"/>
            <wp:effectExtent b="0" l="0" r="0" t="0"/>
            <wp:docPr descr="" title="" id="71" name="Picture"/>
            <a:graphic>
              <a:graphicData uri="http://schemas.openxmlformats.org/drawingml/2006/picture">
                <pic:pic>
                  <pic:nvPicPr>
                    <pic:cNvPr descr="/home/user/Data-Visualization/ai-teacher-feasibility/results/figures/fig5_trfs_distribution_validity.png" id="72" name="Picture"/>
                    <pic:cNvPicPr>
                      <a:picLocks noChangeArrowheads="1" noChangeAspect="1"/>
                    </pic:cNvPicPr>
                  </pic:nvPicPr>
                  <pic:blipFill>
                    <a:blip r:embed="rId70"/>
                    <a:stretch>
                      <a:fillRect/>
                    </a:stretch>
                  </pic:blipFill>
                  <pic:spPr bwMode="auto">
                    <a:xfrm>
                      <a:off x="0" y="0"/>
                      <a:ext cx="5334000" cy="1703438"/>
                    </a:xfrm>
                    <a:prstGeom prst="rect">
                      <a:avLst/>
                    </a:prstGeom>
                    <a:noFill/>
                    <a:ln w="9525">
                      <a:noFill/>
                      <a:headEnd/>
                      <a:tailEnd/>
                    </a:ln>
                  </pic:spPr>
                </pic:pic>
              </a:graphicData>
            </a:graphic>
          </wp:inline>
        </w:drawing>
      </w:r>
    </w:p>
    <w:p>
      <w:pPr>
        <w:pStyle w:val="ImageCaption"/>
      </w:pPr>
      <w:r>
        <w:t xml:space="preserve">Fig. 5. (a) Distribution of the overall TRFS, coloured by decision category. (b) TRFS against the independent Teacher Substitution Index; points are binned (hexagons) and the line connects TRFS-decile means.</w:t>
      </w:r>
    </w:p>
    <w:bookmarkEnd w:id="73"/>
    <w:bookmarkStart w:id="77" w:name="X477accf11c30280d8424cdc59f5cc561a719c7b"/>
    <w:p>
      <w:pPr>
        <w:pStyle w:val="Heading2"/>
      </w:pPr>
      <w:r>
        <w:rPr>
          <w:rStyle w:val="SectionNumber"/>
        </w:rPr>
        <w:t xml:space="preserve">5.4</w:t>
      </w:r>
      <w:r>
        <w:tab/>
      </w:r>
      <w:r>
        <w:t xml:space="preserve">Feasibility of individual teaching activities (RQ1, RQ4)</w:t>
      </w:r>
    </w:p>
    <w:p>
      <w:pPr>
        <w:pStyle w:val="FirstParagraph"/>
      </w:pPr>
      <w:r>
        <w:t xml:space="preserve">Table 6 and Fig. 6 present the activity-level results. Activities differed significantly (Friedman</w:t>
      </w:r>
      <w:r>
        <w:t xml:space="preserve"> </w:t>
      </w:r>
      <m:oMath>
        <m:sSup>
          <m:e>
            <m:r>
              <m:t>χ</m:t>
            </m:r>
          </m:e>
          <m:sup>
            <m:r>
              <m:t>2</m:t>
            </m:r>
          </m:sup>
        </m:sSup>
        <m:d>
          <m:dPr>
            <m:begChr m:val="("/>
            <m:endChr m:val=")"/>
            <m:sepChr m:val=""/>
            <m:grow/>
          </m:dPr>
          <m:e>
            <m:r>
              <m:t>9</m:t>
            </m:r>
          </m:e>
        </m:d>
        <m:r>
          <m:rPr>
            <m:sty m:val="p"/>
          </m:rPr>
          <m:t>=</m:t>
        </m:r>
        <m:r>
          <m:t>5</m:t>
        </m:r>
        <m:r>
          <m:rPr>
            <m:sty m:val="p"/>
          </m:rPr>
          <m:t>,</m:t>
        </m:r>
        <m:r>
          <m:t>164.5</m:t>
        </m:r>
      </m:oMath>
      <w:r>
        <w:t xml:space="preserve">,</w:t>
      </w:r>
      <w:r>
        <w:t xml:space="preserve"> </w:t>
      </w:r>
      <m:oMath>
        <m:r>
          <m:t>p</m:t>
        </m:r>
        <m:r>
          <m:rPr>
            <m:sty m:val="p"/>
          </m:rPr>
          <m:t>&lt;</m:t>
        </m:r>
        <m:r>
          <m:t>0.001</m:t>
        </m:r>
      </m:oMath>
      <w:r>
        <w:t xml:space="preserve">). The effect was small (Kendall’s</w:t>
      </w:r>
      <w:r>
        <w:t xml:space="preserve"> </w:t>
      </w:r>
      <m:oMath>
        <m:r>
          <m:t>W</m:t>
        </m:r>
        <m:r>
          <m:rPr>
            <m:sty m:val="p"/>
          </m:rPr>
          <m:t>=</m:t>
        </m:r>
        <m:r>
          <m:t>0.048</m:t>
        </m:r>
      </m:oMath>
      <w:r>
        <w:t xml:space="preserve">), so the differences are systematic but modest compared with the variation between students. After Holm correction all adjacent pairs in the ranking differed significantly. The only exception in substance is classroom communication versus emotional and social support, whose mean difference was negligible (0.01 points, rank-biserial</w:t>
      </w:r>
      <w:r>
        <w:t xml:space="preserve"> </w:t>
      </w:r>
      <m:oMath>
        <m:r>
          <m:t>r</m:t>
        </m:r>
        <m:r>
          <m:rPr>
            <m:sty m:val="p"/>
          </m:rPr>
          <m:t>=</m:t>
        </m:r>
        <m:r>
          <m:rPr>
            <m:sty m:val="p"/>
          </m:rPr>
          <m:t>−</m:t>
        </m:r>
        <m:r>
          <m:t>0.04</m:t>
        </m:r>
      </m:oMath>
      <w:r>
        <w:t xml:space="preserve">); these two activities are effectively tied.</w:t>
      </w:r>
    </w:p>
    <w:p>
      <w:pPr>
        <w:pStyle w:val="BodyText"/>
      </w:pPr>
      <w:r>
        <w:rPr>
          <w:iCs/>
          <w:i/>
        </w:rPr>
        <w:t xml:space="preserve">Content explanation</w:t>
      </w:r>
      <w:r>
        <w:t xml:space="preserve"> </w:t>
      </w:r>
      <w:r>
        <w:t xml:space="preserve">(54.7, 95% CI [54.3, 55.0]) and</w:t>
      </w:r>
      <w:r>
        <w:t xml:space="preserve"> </w:t>
      </w:r>
      <w:r>
        <w:rPr>
          <w:iCs/>
          <w:i/>
        </w:rPr>
        <w:t xml:space="preserve">question answering</w:t>
      </w:r>
      <w:r>
        <w:t xml:space="preserve"> </w:t>
      </w:r>
      <w:r>
        <w:t xml:space="preserve">(53.3) ranked highest. For these two activities the share of students placing AI in the full-replacement band (31.6% and 28.7%) clearly exceeded the share requiring human involvement (16.3% and 17.9%).</w:t>
      </w:r>
      <w:r>
        <w:t xml:space="preserve"> </w:t>
      </w:r>
      <w:r>
        <w:rPr>
          <w:iCs/>
          <w:i/>
        </w:rPr>
        <w:t xml:space="preserve">Personalized learning</w:t>
      </w:r>
      <w:r>
        <w:t xml:space="preserve"> </w:t>
      </w:r>
      <w:r>
        <w:t xml:space="preserve">(50.9) also lay reliably above the neutral centre.</w:t>
      </w:r>
      <w:r>
        <w:t xml:space="preserve"> </w:t>
      </w:r>
      <w:r>
        <w:rPr>
          <w:iCs/>
          <w:i/>
        </w:rPr>
        <w:t xml:space="preserve">Assignment feedback</w:t>
      </w:r>
      <w:r>
        <w:t xml:space="preserve"> </w:t>
      </w:r>
      <w:r>
        <w:t xml:space="preserve">(50.3) was balanced.</w:t>
      </w:r>
      <w:r>
        <w:t xml:space="preserve"> </w:t>
      </w:r>
      <w:r>
        <w:rPr>
          <w:iCs/>
          <w:i/>
        </w:rPr>
        <w:t xml:space="preserve">Student assessment</w:t>
      </w:r>
      <w:r>
        <w:t xml:space="preserve">,</w:t>
      </w:r>
      <w:r>
        <w:t xml:space="preserve"> </w:t>
      </w:r>
      <w:r>
        <w:rPr>
          <w:iCs/>
          <w:i/>
        </w:rPr>
        <w:t xml:space="preserve">student motivation</w:t>
      </w:r>
      <w:r>
        <w:t xml:space="preserve">,</w:t>
      </w:r>
      <w:r>
        <w:t xml:space="preserve"> </w:t>
      </w:r>
      <w:r>
        <w:rPr>
          <w:iCs/>
          <w:i/>
        </w:rPr>
        <w:t xml:space="preserve">academic guidance</w:t>
      </w:r>
      <w:r>
        <w:t xml:space="preserve">,</w:t>
      </w:r>
      <w:r>
        <w:t xml:space="preserve"> </w:t>
      </w:r>
      <w:r>
        <w:rPr>
          <w:iCs/>
          <w:i/>
        </w:rPr>
        <w:t xml:space="preserve">emotional and social support</w:t>
      </w:r>
      <w:r>
        <w:t xml:space="preserve">,</w:t>
      </w:r>
      <w:r>
        <w:t xml:space="preserve"> </w:t>
      </w:r>
      <w:r>
        <w:rPr>
          <w:iCs/>
          <w:i/>
        </w:rPr>
        <w:t xml:space="preserve">classroom communication</w:t>
      </w:r>
      <w:r>
        <w:t xml:space="preserve"> </w:t>
      </w:r>
      <w:r>
        <w:t xml:space="preserve">and</w:t>
      </w:r>
      <w:r>
        <w:t xml:space="preserve"> </w:t>
      </w:r>
      <w:r>
        <w:rPr>
          <w:iCs/>
          <w:i/>
        </w:rPr>
        <w:t xml:space="preserve">problem solving</w:t>
      </w:r>
      <w:r>
        <w:t xml:space="preserve"> </w:t>
      </w:r>
      <w:r>
        <w:t xml:space="preserve">lay reliably below the neutral centre. Problem solving ranked lowest (46.5) and had the largest human-involvement share (31.1%).</w:t>
      </w:r>
    </w:p>
    <w:p>
      <w:pPr>
        <w:pStyle w:val="BodyText"/>
      </w:pPr>
      <w:r>
        <w:t xml:space="preserve">The central result for RQ4 is that</w:t>
      </w:r>
      <w:r>
        <w:t xml:space="preserve"> </w:t>
      </w:r>
      <w:r>
        <w:rPr>
          <w:iCs/>
          <w:i/>
        </w:rPr>
        <w:t xml:space="preserve">no activity reached the full-replacement band</w:t>
      </w:r>
      <w:r>
        <w:t xml:space="preserve">: all ten mean scores fall in the partial-assistance range (35–65). Within this range, the bootstrap confidence intervals separate an</w:t>
      </w:r>
      <w:r>
        <w:t xml:space="preserve"> </w:t>
      </w:r>
      <w:r>
        <w:rPr>
          <w:iCs/>
          <w:i/>
        </w:rPr>
        <w:t xml:space="preserve">AI-leaning</w:t>
      </w:r>
      <w:r>
        <w:t xml:space="preserve"> </w:t>
      </w:r>
      <w:r>
        <w:t xml:space="preserve">group (explanation, question answering, personalised learning) from a</w:t>
      </w:r>
      <w:r>
        <w:t xml:space="preserve"> </w:t>
      </w:r>
      <w:r>
        <w:rPr>
          <w:iCs/>
          <w:i/>
        </w:rPr>
        <w:t xml:space="preserve">human-leaning</w:t>
      </w:r>
      <w:r>
        <w:t xml:space="preserve"> </w:t>
      </w:r>
      <w:r>
        <w:t xml:space="preserve">group (assessment, motivation, guidance, socio-emotional support, classroom communication and higher-order problem solving).</w:t>
      </w:r>
    </w:p>
    <w:p>
      <w:pPr>
        <w:pStyle w:val="TableCaption"/>
      </w:pPr>
      <w:r>
        <w:t xml:space="preserve">Table 6. Activity-level Teacher Replacement Feasibility Scores. Capability is the mean of the activity’s items (1–5); TRFS is the mean activity-FIS output with a bootstrap 95% CI (2000 resamples); the next three columns give the share of respondents whose individual score falls in each decision category (Full</w:t>
      </w:r>
      <w:r>
        <w:t xml:space="preserve"> </w:t>
      </w:r>
      <m:oMath>
        <m:r>
          <m:rPr>
            <m:sty m:val="p"/>
          </m:rPr>
          <m:t>≥</m:t>
        </m:r>
      </m:oMath>
      <w:r>
        <w:t xml:space="preserve"> </w:t>
      </w:r>
      <w:r>
        <w:t xml:space="preserve">65, Partial 35–65, Human &lt; 35). All ten activity means fall in the</w:t>
      </w:r>
      <w:r>
        <w:t xml:space="preserve"> </w:t>
      </w:r>
      <w:r>
        <w:rPr>
          <w:iCs/>
          <w:i/>
        </w:rPr>
        <w:t xml:space="preserve">Partial AI assistance</w:t>
      </w:r>
      <w:r>
        <w:t xml:space="preserve"> </w:t>
      </w:r>
      <w:r>
        <w:t xml:space="preserve">band; the tier indicates whether the CI lies above, across or below the neutral centre (50) of that band.</w:t>
      </w:r>
    </w:p>
    <w:tbl>
      <w:tblPr>
        <w:tblStyle w:val="Table"/>
        <w:tblLook w:firstRow="1" w:lastRow="0" w:firstColumn="0" w:lastColumn="0" w:noHBand="0" w:noVBand="0" w:val="0020"/>
        <w:jc w:val="start"/>
        <w:tblCaption w:val="Table 6. Activity-level Teacher Replacement Feasibility Scores. Capability is the mean of the activity’s items (1–5); TRFS is the mean activity-FIS output with a bootstrap 95% CI (2000 resamples); the next three columns give the share of respondents whose individual score falls in each decision category (Full \geq 65, Partial 35–65, Human &lt; 35). All ten activity means fall in the Partial AI assistance band; the tier indicates whether the CI lies above, across or below the neutral centre (50) of that band."/>
        <w:tblW w:w="5000" w:type="pct"/>
        <w:tblLayout w:type="autofit"/>
        <w:tblBorders>
          <w:top w:val="single" w:sz="12" w:space="0" w:color="000000"/>
          <w:bottom w:val="single" w:sz="12" w:space="0" w:color="000000"/>
        </w:tblBorders>
      </w:tblPr>
      <w:tblGrid>
        <w:gridCol/>
        <w:gridCol/>
        <w:gridCol/>
        <w:gridCol/>
        <w:gridCol/>
        <w:gridCol/>
        <w:gridCol/>
        <w:gridCol/>
        <w:gridCol/>
        <w:gridCol/>
      </w:tblGrid>
      <w:tr>
        <w:trPr>
          <w:tblHeader w:val="true"/>
        </w:trPr>
        <w:tc>
          <w:tcPr>
            <w:tcBorders>
              <w:bottom w:val="single" w:sz="6" w:space="0" w:color="000000"/>
            </w:tcBorders>
          </w:tcPr>
          <w:p>
            <w:pPr>
              <w:pStyle w:val="Compact"/>
              <w:spacing w:after="0" w:before="0" w:line="240" w:lineRule="auto"/>
              <w:jc w:val="right"/>
            </w:pPr>
            <w:r>
              <w:rPr>
                <w:b/>
                <w:sz w:val="16"/>
              </w:rPr>
              <w:t xml:space="preserve">Rank</w:t>
            </w:r>
          </w:p>
        </w:tc>
        <w:tc>
          <w:tcPr>
            <w:tcBorders>
              <w:bottom w:val="single" w:sz="6" w:space="0" w:color="000000"/>
            </w:tcBorders>
          </w:tcPr>
          <w:p>
            <w:pPr>
              <w:pStyle w:val="Compact"/>
              <w:spacing w:after="0" w:before="0" w:line="240" w:lineRule="auto"/>
              <w:jc w:val="left"/>
            </w:pPr>
            <w:r>
              <w:rPr>
                <w:b/>
                <w:sz w:val="16"/>
              </w:rPr>
              <w:t xml:space="preserve">Teaching activity</w:t>
            </w:r>
          </w:p>
        </w:tc>
        <w:tc>
          <w:tcPr>
            <w:tcBorders>
              <w:bottom w:val="single" w:sz="6" w:space="0" w:color="000000"/>
            </w:tcBorders>
          </w:tcPr>
          <w:p>
            <w:pPr>
              <w:pStyle w:val="Compact"/>
              <w:spacing w:after="0" w:before="0" w:line="240" w:lineRule="auto"/>
              <w:jc w:val="left"/>
            </w:pPr>
            <w:r>
              <w:rPr>
                <w:b/>
                <w:sz w:val="16"/>
              </w:rPr>
              <w:t xml:space="preserve">Items</w:t>
            </w:r>
          </w:p>
        </w:tc>
        <w:tc>
          <w:tcPr>
            <w:tcBorders>
              <w:bottom w:val="single" w:sz="6" w:space="0" w:color="000000"/>
            </w:tcBorders>
          </w:tcPr>
          <w:p>
            <w:pPr>
              <w:pStyle w:val="Compact"/>
              <w:spacing w:after="0" w:before="0" w:line="240" w:lineRule="auto"/>
              <w:jc w:val="center"/>
            </w:pPr>
            <w:r>
              <w:rPr>
                <w:b/>
                <w:sz w:val="16"/>
              </w:rPr>
              <w:t xml:space="preserve">Capability</w:t>
            </w:r>
          </w:p>
        </w:tc>
        <w:tc>
          <w:tcPr>
            <w:tcBorders>
              <w:bottom w:val="single" w:sz="6" w:space="0" w:color="000000"/>
            </w:tcBorders>
          </w:tcPr>
          <w:p>
            <w:pPr>
              <w:pStyle w:val="Compact"/>
              <w:spacing w:after="0" w:before="0" w:line="240" w:lineRule="auto"/>
              <w:jc w:val="center"/>
            </w:pPr>
            <w:r>
              <w:rPr>
                <w:b/>
                <w:sz w:val="16"/>
              </w:rPr>
              <w:t xml:space="preserve">TRFS [95% CI]</w:t>
            </w:r>
          </w:p>
        </w:tc>
        <w:tc>
          <w:tcPr>
            <w:tcBorders>
              <w:bottom w:val="single" w:sz="6" w:space="0" w:color="000000"/>
            </w:tcBorders>
          </w:tcPr>
          <w:p>
            <w:pPr>
              <w:pStyle w:val="Compact"/>
              <w:spacing w:after="0" w:before="0" w:line="240" w:lineRule="auto"/>
              <w:jc w:val="center"/>
            </w:pPr>
            <w:r>
              <w:rPr>
                <w:b/>
                <w:sz w:val="16"/>
              </w:rPr>
              <w:t xml:space="preserve">% Full</w:t>
            </w:r>
          </w:p>
        </w:tc>
        <w:tc>
          <w:tcPr>
            <w:tcBorders>
              <w:bottom w:val="single" w:sz="6" w:space="0" w:color="000000"/>
            </w:tcBorders>
          </w:tcPr>
          <w:p>
            <w:pPr>
              <w:pStyle w:val="Compact"/>
              <w:spacing w:after="0" w:before="0" w:line="240" w:lineRule="auto"/>
              <w:jc w:val="center"/>
            </w:pPr>
            <w:r>
              <w:rPr>
                <w:b/>
                <w:sz w:val="16"/>
              </w:rPr>
              <w:t xml:space="preserve">% Partial</w:t>
            </w:r>
          </w:p>
        </w:tc>
        <w:tc>
          <w:tcPr>
            <w:tcBorders>
              <w:bottom w:val="single" w:sz="6" w:space="0" w:color="000000"/>
            </w:tcBorders>
          </w:tcPr>
          <w:p>
            <w:pPr>
              <w:pStyle w:val="Compact"/>
              <w:spacing w:after="0" w:before="0" w:line="240" w:lineRule="auto"/>
              <w:jc w:val="center"/>
            </w:pPr>
            <w:r>
              <w:rPr>
                <w:b/>
                <w:sz w:val="16"/>
              </w:rPr>
              <w:t xml:space="preserve">% Human</w:t>
            </w:r>
          </w:p>
        </w:tc>
        <w:tc>
          <w:tcPr>
            <w:tcBorders>
              <w:bottom w:val="single" w:sz="6" w:space="0" w:color="000000"/>
            </w:tcBorders>
          </w:tcPr>
          <w:p>
            <w:pPr>
              <w:pStyle w:val="Compact"/>
              <w:spacing w:after="0" w:before="0" w:line="240" w:lineRule="auto"/>
              <w:jc w:val="center"/>
            </w:pPr>
            <w:r>
              <w:rPr>
                <w:b/>
                <w:sz w:val="16"/>
              </w:rPr>
              <w:t xml:space="preserve">Tier</w:t>
            </w:r>
          </w:p>
        </w:tc>
        <w:tc>
          <w:tcPr>
            <w:tcBorders>
              <w:bottom w:val="single" w:sz="6" w:space="0" w:color="000000"/>
            </w:tcBorders>
          </w:tcPr>
          <w:p>
            <w:pPr>
              <w:pStyle w:val="Compact"/>
              <w:spacing w:after="0" w:before="0" w:line="240" w:lineRule="auto"/>
            </w:pPr>
          </w:p>
        </w:tc>
      </w:tr>
      <w:tr>
        <w:tc>
          <w:tcPr/>
          <w:p>
            <w:pPr>
              <w:pStyle w:val="Compact"/>
              <w:spacing w:after="0" w:before="0" w:line="240" w:lineRule="auto"/>
              <w:jc w:val="right"/>
            </w:pPr>
            <w:r>
              <w:rPr>
                <w:sz w:val="16"/>
              </w:rPr>
              <w:t xml:space="preserve">1</w:t>
            </w:r>
          </w:p>
        </w:tc>
        <w:tc>
          <w:tcPr/>
          <w:p>
            <w:pPr>
              <w:pStyle w:val="Compact"/>
              <w:spacing w:after="0" w:before="0" w:line="240" w:lineRule="auto"/>
              <w:jc w:val="left"/>
            </w:pPr>
            <w:r>
              <w:rPr>
                <w:sz w:val="16"/>
              </w:rPr>
              <w:t xml:space="preserve">Content explanation (A1)</w:t>
            </w:r>
          </w:p>
        </w:tc>
        <w:tc>
          <w:tcPr/>
          <w:p>
            <w:pPr>
              <w:pStyle w:val="Compact"/>
              <w:spacing w:after="0" w:before="0" w:line="240" w:lineRule="auto"/>
              <w:jc w:val="left"/>
            </w:pPr>
            <w:r>
              <w:rPr>
                <w:sz w:val="16"/>
              </w:rPr>
              <w:t xml:space="preserve">Q19g, Q19f, Q26b</w:t>
            </w:r>
          </w:p>
        </w:tc>
        <w:tc>
          <w:tcPr/>
          <w:p>
            <w:pPr>
              <w:pStyle w:val="Compact"/>
              <w:spacing w:after="0" w:before="0" w:line="240" w:lineRule="auto"/>
              <w:jc w:val="center"/>
            </w:pPr>
            <w:r>
              <w:rPr>
                <w:sz w:val="16"/>
              </w:rPr>
              <w:t xml:space="preserve">3.80</w:t>
            </w:r>
          </w:p>
        </w:tc>
        <w:tc>
          <w:tcPr/>
          <w:p>
            <w:pPr>
              <w:pStyle w:val="Compact"/>
              <w:spacing w:after="0" w:before="0" w:line="240" w:lineRule="auto"/>
              <w:jc w:val="center"/>
            </w:pPr>
            <w:r>
              <w:rPr>
                <w:sz w:val="16"/>
              </w:rPr>
              <w:t xml:space="preserve">54.7 [54.3, 55.0]</w:t>
            </w:r>
          </w:p>
        </w:tc>
        <w:tc>
          <w:tcPr/>
          <w:p>
            <w:pPr>
              <w:pStyle w:val="Compact"/>
              <w:spacing w:after="0" w:before="0" w:line="240" w:lineRule="auto"/>
              <w:jc w:val="center"/>
            </w:pPr>
            <w:r>
              <w:rPr>
                <w:sz w:val="16"/>
              </w:rPr>
              <w:t xml:space="preserve">31.6</w:t>
            </w:r>
          </w:p>
        </w:tc>
        <w:tc>
          <w:tcPr/>
          <w:p>
            <w:pPr>
              <w:pStyle w:val="Compact"/>
              <w:spacing w:after="0" w:before="0" w:line="240" w:lineRule="auto"/>
              <w:jc w:val="center"/>
            </w:pPr>
            <w:r>
              <w:rPr>
                <w:sz w:val="16"/>
              </w:rPr>
              <w:t xml:space="preserve">52.0</w:t>
            </w:r>
          </w:p>
        </w:tc>
        <w:tc>
          <w:tcPr/>
          <w:p>
            <w:pPr>
              <w:pStyle w:val="Compact"/>
              <w:spacing w:after="0" w:before="0" w:line="240" w:lineRule="auto"/>
              <w:jc w:val="center"/>
            </w:pPr>
            <w:r>
              <w:rPr>
                <w:sz w:val="16"/>
              </w:rPr>
              <w:t xml:space="preserve">16.3</w:t>
            </w:r>
          </w:p>
        </w:tc>
        <w:tc>
          <w:tcPr/>
          <w:p>
            <w:pPr>
              <w:pStyle w:val="Compact"/>
              <w:spacing w:after="0" w:before="0" w:line="240" w:lineRule="auto"/>
              <w:jc w:val="center"/>
            </w:pPr>
            <w:r>
              <w:rPr>
                <w:sz w:val="16"/>
              </w:rPr>
              <w:t xml:space="preserve">AI-leaning</w:t>
            </w:r>
          </w:p>
        </w:tc>
        <w:tc>
          <w:tcPr/>
          <w:p>
            <w:pPr>
              <w:pStyle w:val="Compact"/>
              <w:spacing w:after="0" w:before="0" w:line="240" w:lineRule="auto"/>
            </w:pPr>
          </w:p>
        </w:tc>
      </w:tr>
      <w:tr>
        <w:tc>
          <w:tcPr/>
          <w:p>
            <w:pPr>
              <w:pStyle w:val="Compact"/>
              <w:spacing w:after="0" w:before="0" w:line="240" w:lineRule="auto"/>
              <w:jc w:val="right"/>
            </w:pPr>
            <w:r>
              <w:rPr>
                <w:sz w:val="16"/>
              </w:rPr>
              <w:t xml:space="preserve">2</w:t>
            </w:r>
          </w:p>
        </w:tc>
        <w:tc>
          <w:tcPr/>
          <w:p>
            <w:pPr>
              <w:pStyle w:val="Compact"/>
              <w:spacing w:after="0" w:before="0" w:line="240" w:lineRule="auto"/>
              <w:jc w:val="left"/>
            </w:pPr>
            <w:r>
              <w:rPr>
                <w:sz w:val="16"/>
              </w:rPr>
              <w:t xml:space="preserve">Question answering (A2)</w:t>
            </w:r>
          </w:p>
        </w:tc>
        <w:tc>
          <w:tcPr/>
          <w:p>
            <w:pPr>
              <w:pStyle w:val="Compact"/>
              <w:spacing w:after="0" w:before="0" w:line="240" w:lineRule="auto"/>
              <w:jc w:val="left"/>
            </w:pPr>
            <w:r>
              <w:rPr>
                <w:sz w:val="16"/>
              </w:rPr>
              <w:t xml:space="preserve">Q19a, Q19b, Q19d</w:t>
            </w:r>
          </w:p>
        </w:tc>
        <w:tc>
          <w:tcPr/>
          <w:p>
            <w:pPr>
              <w:pStyle w:val="Compact"/>
              <w:spacing w:after="0" w:before="0" w:line="240" w:lineRule="auto"/>
              <w:jc w:val="center"/>
            </w:pPr>
            <w:r>
              <w:rPr>
                <w:sz w:val="16"/>
              </w:rPr>
              <w:t xml:space="preserve">3.65</w:t>
            </w:r>
          </w:p>
        </w:tc>
        <w:tc>
          <w:tcPr/>
          <w:p>
            <w:pPr>
              <w:pStyle w:val="Compact"/>
              <w:spacing w:after="0" w:before="0" w:line="240" w:lineRule="auto"/>
              <w:jc w:val="center"/>
            </w:pPr>
            <w:r>
              <w:rPr>
                <w:sz w:val="16"/>
              </w:rPr>
              <w:t xml:space="preserve">53.3 [52.9, 53.6]</w:t>
            </w:r>
          </w:p>
        </w:tc>
        <w:tc>
          <w:tcPr/>
          <w:p>
            <w:pPr>
              <w:pStyle w:val="Compact"/>
              <w:spacing w:after="0" w:before="0" w:line="240" w:lineRule="auto"/>
              <w:jc w:val="center"/>
            </w:pPr>
            <w:r>
              <w:rPr>
                <w:sz w:val="16"/>
              </w:rPr>
              <w:t xml:space="preserve">28.7</w:t>
            </w:r>
          </w:p>
        </w:tc>
        <w:tc>
          <w:tcPr/>
          <w:p>
            <w:pPr>
              <w:pStyle w:val="Compact"/>
              <w:spacing w:after="0" w:before="0" w:line="240" w:lineRule="auto"/>
              <w:jc w:val="center"/>
            </w:pPr>
            <w:r>
              <w:rPr>
                <w:sz w:val="16"/>
              </w:rPr>
              <w:t xml:space="preserve">53.5</w:t>
            </w:r>
          </w:p>
        </w:tc>
        <w:tc>
          <w:tcPr/>
          <w:p>
            <w:pPr>
              <w:pStyle w:val="Compact"/>
              <w:spacing w:after="0" w:before="0" w:line="240" w:lineRule="auto"/>
              <w:jc w:val="center"/>
            </w:pPr>
            <w:r>
              <w:rPr>
                <w:sz w:val="16"/>
              </w:rPr>
              <w:t xml:space="preserve">17.9</w:t>
            </w:r>
          </w:p>
        </w:tc>
        <w:tc>
          <w:tcPr/>
          <w:p>
            <w:pPr>
              <w:pStyle w:val="Compact"/>
              <w:spacing w:after="0" w:before="0" w:line="240" w:lineRule="auto"/>
              <w:jc w:val="center"/>
            </w:pPr>
            <w:r>
              <w:rPr>
                <w:sz w:val="16"/>
              </w:rPr>
              <w:t xml:space="preserve">AI-leaning</w:t>
            </w:r>
          </w:p>
        </w:tc>
        <w:tc>
          <w:tcPr/>
          <w:p>
            <w:pPr>
              <w:pStyle w:val="Compact"/>
              <w:spacing w:after="0" w:before="0" w:line="240" w:lineRule="auto"/>
            </w:pPr>
          </w:p>
        </w:tc>
      </w:tr>
      <w:tr>
        <w:tc>
          <w:tcPr/>
          <w:p>
            <w:pPr>
              <w:pStyle w:val="Compact"/>
              <w:spacing w:after="0" w:before="0" w:line="240" w:lineRule="auto"/>
              <w:jc w:val="right"/>
            </w:pPr>
            <w:r>
              <w:rPr>
                <w:sz w:val="16"/>
              </w:rPr>
              <w:t xml:space="preserve">3</w:t>
            </w:r>
          </w:p>
        </w:tc>
        <w:tc>
          <w:tcPr/>
          <w:p>
            <w:pPr>
              <w:pStyle w:val="Compact"/>
              <w:spacing w:after="0" w:before="0" w:line="240" w:lineRule="auto"/>
              <w:jc w:val="left"/>
            </w:pPr>
            <w:r>
              <w:rPr>
                <w:sz w:val="16"/>
              </w:rPr>
              <w:t xml:space="preserve">Personalized learning (A5)</w:t>
            </w:r>
          </w:p>
        </w:tc>
        <w:tc>
          <w:tcPr/>
          <w:p>
            <w:pPr>
              <w:pStyle w:val="Compact"/>
              <w:spacing w:after="0" w:before="0" w:line="240" w:lineRule="auto"/>
              <w:jc w:val="left"/>
            </w:pPr>
            <w:r>
              <w:rPr>
                <w:sz w:val="16"/>
              </w:rPr>
              <w:t xml:space="preserve">Q26d, Q26e</w:t>
            </w:r>
          </w:p>
        </w:tc>
        <w:tc>
          <w:tcPr/>
          <w:p>
            <w:pPr>
              <w:pStyle w:val="Compact"/>
              <w:spacing w:after="0" w:before="0" w:line="240" w:lineRule="auto"/>
              <w:jc w:val="center"/>
            </w:pPr>
            <w:r>
              <w:rPr>
                <w:sz w:val="16"/>
              </w:rPr>
              <w:t xml:space="preserve">3.46</w:t>
            </w:r>
          </w:p>
        </w:tc>
        <w:tc>
          <w:tcPr/>
          <w:p>
            <w:pPr>
              <w:pStyle w:val="Compact"/>
              <w:spacing w:after="0" w:before="0" w:line="240" w:lineRule="auto"/>
              <w:jc w:val="center"/>
            </w:pPr>
            <w:r>
              <w:rPr>
                <w:sz w:val="16"/>
              </w:rPr>
              <w:t xml:space="preserve">50.9 [50.6, 51.3]</w:t>
            </w:r>
          </w:p>
        </w:tc>
        <w:tc>
          <w:tcPr/>
          <w:p>
            <w:pPr>
              <w:pStyle w:val="Compact"/>
              <w:spacing w:after="0" w:before="0" w:line="240" w:lineRule="auto"/>
              <w:jc w:val="center"/>
            </w:pPr>
            <w:r>
              <w:rPr>
                <w:sz w:val="16"/>
              </w:rPr>
              <w:t xml:space="preserve">22.2</w:t>
            </w:r>
          </w:p>
        </w:tc>
        <w:tc>
          <w:tcPr/>
          <w:p>
            <w:pPr>
              <w:pStyle w:val="Compact"/>
              <w:spacing w:after="0" w:before="0" w:line="240" w:lineRule="auto"/>
              <w:jc w:val="center"/>
            </w:pPr>
            <w:r>
              <w:rPr>
                <w:sz w:val="16"/>
              </w:rPr>
              <w:t xml:space="preserve">57.3</w:t>
            </w:r>
          </w:p>
        </w:tc>
        <w:tc>
          <w:tcPr/>
          <w:p>
            <w:pPr>
              <w:pStyle w:val="Compact"/>
              <w:spacing w:after="0" w:before="0" w:line="240" w:lineRule="auto"/>
              <w:jc w:val="center"/>
            </w:pPr>
            <w:r>
              <w:rPr>
                <w:sz w:val="16"/>
              </w:rPr>
              <w:t xml:space="preserve">20.4</w:t>
            </w:r>
          </w:p>
        </w:tc>
        <w:tc>
          <w:tcPr/>
          <w:p>
            <w:pPr>
              <w:pStyle w:val="Compact"/>
              <w:spacing w:after="0" w:before="0" w:line="240" w:lineRule="auto"/>
              <w:jc w:val="center"/>
            </w:pPr>
            <w:r>
              <w:rPr>
                <w:sz w:val="16"/>
              </w:rPr>
              <w:t xml:space="preserve">AI-leaning</w:t>
            </w:r>
          </w:p>
        </w:tc>
        <w:tc>
          <w:tcPr/>
          <w:p>
            <w:pPr>
              <w:pStyle w:val="Compact"/>
              <w:spacing w:after="0" w:before="0" w:line="240" w:lineRule="auto"/>
            </w:pPr>
          </w:p>
        </w:tc>
      </w:tr>
      <w:tr>
        <w:tc>
          <w:tcPr/>
          <w:p>
            <w:pPr>
              <w:pStyle w:val="Compact"/>
              <w:spacing w:after="0" w:before="0" w:line="240" w:lineRule="auto"/>
              <w:jc w:val="right"/>
            </w:pPr>
            <w:r>
              <w:rPr>
                <w:sz w:val="16"/>
              </w:rPr>
              <w:t xml:space="preserve">4</w:t>
            </w:r>
          </w:p>
        </w:tc>
        <w:tc>
          <w:tcPr/>
          <w:p>
            <w:pPr>
              <w:pStyle w:val="Compact"/>
              <w:spacing w:after="0" w:before="0" w:line="240" w:lineRule="auto"/>
              <w:jc w:val="left"/>
            </w:pPr>
            <w:r>
              <w:rPr>
                <w:sz w:val="16"/>
              </w:rPr>
              <w:t xml:space="preserve">Assignment feedback (A3)</w:t>
            </w:r>
          </w:p>
        </w:tc>
        <w:tc>
          <w:tcPr/>
          <w:p>
            <w:pPr>
              <w:pStyle w:val="Compact"/>
              <w:spacing w:after="0" w:before="0" w:line="240" w:lineRule="auto"/>
              <w:jc w:val="left"/>
            </w:pPr>
            <w:r>
              <w:rPr>
                <w:sz w:val="16"/>
              </w:rPr>
              <w:t xml:space="preserve">Q26j, Q28a, Q28b</w:t>
            </w:r>
          </w:p>
        </w:tc>
        <w:tc>
          <w:tcPr/>
          <w:p>
            <w:pPr>
              <w:pStyle w:val="Compact"/>
              <w:spacing w:after="0" w:before="0" w:line="240" w:lineRule="auto"/>
              <w:jc w:val="center"/>
            </w:pPr>
            <w:r>
              <w:rPr>
                <w:sz w:val="16"/>
              </w:rPr>
              <w:t xml:space="preserve">3.42</w:t>
            </w:r>
          </w:p>
        </w:tc>
        <w:tc>
          <w:tcPr/>
          <w:p>
            <w:pPr>
              <w:pStyle w:val="Compact"/>
              <w:spacing w:after="0" w:before="0" w:line="240" w:lineRule="auto"/>
              <w:jc w:val="center"/>
            </w:pPr>
            <w:r>
              <w:rPr>
                <w:sz w:val="16"/>
              </w:rPr>
              <w:t xml:space="preserve">50.3 [49.9, 50.6]</w:t>
            </w:r>
          </w:p>
        </w:tc>
        <w:tc>
          <w:tcPr/>
          <w:p>
            <w:pPr>
              <w:pStyle w:val="Compact"/>
              <w:spacing w:after="0" w:before="0" w:line="240" w:lineRule="auto"/>
              <w:jc w:val="center"/>
            </w:pPr>
            <w:r>
              <w:rPr>
                <w:sz w:val="16"/>
              </w:rPr>
              <w:t xml:space="preserve">24.1</w:t>
            </w:r>
          </w:p>
        </w:tc>
        <w:tc>
          <w:tcPr/>
          <w:p>
            <w:pPr>
              <w:pStyle w:val="Compact"/>
              <w:spacing w:after="0" w:before="0" w:line="240" w:lineRule="auto"/>
              <w:jc w:val="center"/>
            </w:pPr>
            <w:r>
              <w:rPr>
                <w:sz w:val="16"/>
              </w:rPr>
              <w:t xml:space="preserve">52.0</w:t>
            </w:r>
          </w:p>
        </w:tc>
        <w:tc>
          <w:tcPr/>
          <w:p>
            <w:pPr>
              <w:pStyle w:val="Compact"/>
              <w:spacing w:after="0" w:before="0" w:line="240" w:lineRule="auto"/>
              <w:jc w:val="center"/>
            </w:pPr>
            <w:r>
              <w:rPr>
                <w:sz w:val="16"/>
              </w:rPr>
              <w:t xml:space="preserve">23.9</w:t>
            </w:r>
          </w:p>
        </w:tc>
        <w:tc>
          <w:tcPr/>
          <w:p>
            <w:pPr>
              <w:pStyle w:val="Compact"/>
              <w:spacing w:after="0" w:before="0" w:line="240" w:lineRule="auto"/>
              <w:jc w:val="center"/>
            </w:pPr>
            <w:r>
              <w:rPr>
                <w:sz w:val="16"/>
              </w:rPr>
              <w:t xml:space="preserve">Balanced</w:t>
            </w:r>
          </w:p>
        </w:tc>
        <w:tc>
          <w:tcPr/>
          <w:p>
            <w:pPr>
              <w:pStyle w:val="Compact"/>
              <w:spacing w:after="0" w:before="0" w:line="240" w:lineRule="auto"/>
            </w:pPr>
          </w:p>
        </w:tc>
      </w:tr>
      <w:tr>
        <w:tc>
          <w:tcPr/>
          <w:p>
            <w:pPr>
              <w:pStyle w:val="Compact"/>
              <w:spacing w:after="0" w:before="0" w:line="240" w:lineRule="auto"/>
              <w:jc w:val="right"/>
            </w:pPr>
            <w:r>
              <w:rPr>
                <w:sz w:val="16"/>
              </w:rPr>
              <w:t xml:space="preserve">5</w:t>
            </w:r>
          </w:p>
        </w:tc>
        <w:tc>
          <w:tcPr/>
          <w:p>
            <w:pPr>
              <w:pStyle w:val="Compact"/>
              <w:spacing w:after="0" w:before="0" w:line="240" w:lineRule="auto"/>
              <w:jc w:val="left"/>
            </w:pPr>
            <w:r>
              <w:rPr>
                <w:sz w:val="16"/>
              </w:rPr>
              <w:t xml:space="preserve">Student assessment (A4)</w:t>
            </w:r>
          </w:p>
        </w:tc>
        <w:tc>
          <w:tcPr/>
          <w:p>
            <w:pPr>
              <w:pStyle w:val="Compact"/>
              <w:spacing w:after="0" w:before="0" w:line="240" w:lineRule="auto"/>
              <w:jc w:val="left"/>
            </w:pPr>
            <w:r>
              <w:rPr>
                <w:sz w:val="16"/>
              </w:rPr>
              <w:t xml:space="preserve">Q27a, Q27b</w:t>
            </w:r>
          </w:p>
        </w:tc>
        <w:tc>
          <w:tcPr/>
          <w:p>
            <w:pPr>
              <w:pStyle w:val="Compact"/>
              <w:spacing w:after="0" w:before="0" w:line="240" w:lineRule="auto"/>
              <w:jc w:val="center"/>
            </w:pPr>
            <w:r>
              <w:rPr>
                <w:sz w:val="16"/>
              </w:rPr>
              <w:t xml:space="preserve">3.36</w:t>
            </w:r>
          </w:p>
        </w:tc>
        <w:tc>
          <w:tcPr/>
          <w:p>
            <w:pPr>
              <w:pStyle w:val="Compact"/>
              <w:spacing w:after="0" w:before="0" w:line="240" w:lineRule="auto"/>
              <w:jc w:val="center"/>
            </w:pPr>
            <w:r>
              <w:rPr>
                <w:sz w:val="16"/>
              </w:rPr>
              <w:t xml:space="preserve">49.4 [49.0, 49.7]</w:t>
            </w:r>
          </w:p>
        </w:tc>
        <w:tc>
          <w:tcPr/>
          <w:p>
            <w:pPr>
              <w:pStyle w:val="Compact"/>
              <w:spacing w:after="0" w:before="0" w:line="240" w:lineRule="auto"/>
              <w:jc w:val="center"/>
            </w:pPr>
            <w:r>
              <w:rPr>
                <w:sz w:val="16"/>
              </w:rPr>
              <w:t xml:space="preserve">20.3</w:t>
            </w:r>
          </w:p>
        </w:tc>
        <w:tc>
          <w:tcPr/>
          <w:p>
            <w:pPr>
              <w:pStyle w:val="Compact"/>
              <w:spacing w:after="0" w:before="0" w:line="240" w:lineRule="auto"/>
              <w:jc w:val="center"/>
            </w:pPr>
            <w:r>
              <w:rPr>
                <w:sz w:val="16"/>
              </w:rPr>
              <w:t xml:space="preserve">56.1</w:t>
            </w:r>
          </w:p>
        </w:tc>
        <w:tc>
          <w:tcPr/>
          <w:p>
            <w:pPr>
              <w:pStyle w:val="Compact"/>
              <w:spacing w:after="0" w:before="0" w:line="240" w:lineRule="auto"/>
              <w:jc w:val="center"/>
            </w:pPr>
            <w:r>
              <w:rPr>
                <w:sz w:val="16"/>
              </w:rPr>
              <w:t xml:space="preserve">23.6</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r>
        <w:tc>
          <w:tcPr/>
          <w:p>
            <w:pPr>
              <w:pStyle w:val="Compact"/>
              <w:spacing w:after="0" w:before="0" w:line="240" w:lineRule="auto"/>
              <w:jc w:val="right"/>
            </w:pPr>
            <w:r>
              <w:rPr>
                <w:sz w:val="16"/>
              </w:rPr>
              <w:t xml:space="preserve">6</w:t>
            </w:r>
          </w:p>
        </w:tc>
        <w:tc>
          <w:tcPr/>
          <w:p>
            <w:pPr>
              <w:pStyle w:val="Compact"/>
              <w:spacing w:after="0" w:before="0" w:line="240" w:lineRule="auto"/>
              <w:jc w:val="left"/>
            </w:pPr>
            <w:r>
              <w:rPr>
                <w:sz w:val="16"/>
              </w:rPr>
              <w:t xml:space="preserve">Student motivation (A6)</w:t>
            </w:r>
          </w:p>
        </w:tc>
        <w:tc>
          <w:tcPr/>
          <w:p>
            <w:pPr>
              <w:pStyle w:val="Compact"/>
              <w:spacing w:after="0" w:before="0" w:line="240" w:lineRule="auto"/>
              <w:jc w:val="left"/>
            </w:pPr>
            <w:r>
              <w:rPr>
                <w:sz w:val="16"/>
              </w:rPr>
              <w:t xml:space="preserve">Q26f, Q27i</w:t>
            </w:r>
          </w:p>
        </w:tc>
        <w:tc>
          <w:tcPr/>
          <w:p>
            <w:pPr>
              <w:pStyle w:val="Compact"/>
              <w:spacing w:after="0" w:before="0" w:line="240" w:lineRule="auto"/>
              <w:jc w:val="center"/>
            </w:pPr>
            <w:r>
              <w:rPr>
                <w:sz w:val="16"/>
              </w:rPr>
              <w:t xml:space="preserve">3.32</w:t>
            </w:r>
          </w:p>
        </w:tc>
        <w:tc>
          <w:tcPr/>
          <w:p>
            <w:pPr>
              <w:pStyle w:val="Compact"/>
              <w:spacing w:after="0" w:before="0" w:line="240" w:lineRule="auto"/>
              <w:jc w:val="center"/>
            </w:pPr>
            <w:r>
              <w:rPr>
                <w:sz w:val="16"/>
              </w:rPr>
              <w:t xml:space="preserve">49.1 [48.7, 49.4]</w:t>
            </w:r>
          </w:p>
        </w:tc>
        <w:tc>
          <w:tcPr/>
          <w:p>
            <w:pPr>
              <w:pStyle w:val="Compact"/>
              <w:spacing w:after="0" w:before="0" w:line="240" w:lineRule="auto"/>
              <w:jc w:val="center"/>
            </w:pPr>
            <w:r>
              <w:rPr>
                <w:sz w:val="16"/>
              </w:rPr>
              <w:t xml:space="preserve">20.1</w:t>
            </w:r>
          </w:p>
        </w:tc>
        <w:tc>
          <w:tcPr/>
          <w:p>
            <w:pPr>
              <w:pStyle w:val="Compact"/>
              <w:spacing w:after="0" w:before="0" w:line="240" w:lineRule="auto"/>
              <w:jc w:val="center"/>
            </w:pPr>
            <w:r>
              <w:rPr>
                <w:sz w:val="16"/>
              </w:rPr>
              <w:t xml:space="preserve">55.9</w:t>
            </w:r>
          </w:p>
        </w:tc>
        <w:tc>
          <w:tcPr/>
          <w:p>
            <w:pPr>
              <w:pStyle w:val="Compact"/>
              <w:spacing w:after="0" w:before="0" w:line="240" w:lineRule="auto"/>
              <w:jc w:val="center"/>
            </w:pPr>
            <w:r>
              <w:rPr>
                <w:sz w:val="16"/>
              </w:rPr>
              <w:t xml:space="preserve">24.0</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r>
        <w:tc>
          <w:tcPr/>
          <w:p>
            <w:pPr>
              <w:pStyle w:val="Compact"/>
              <w:spacing w:after="0" w:before="0" w:line="240" w:lineRule="auto"/>
              <w:jc w:val="right"/>
            </w:pPr>
            <w:r>
              <w:rPr>
                <w:sz w:val="16"/>
              </w:rPr>
              <w:t xml:space="preserve">7</w:t>
            </w:r>
          </w:p>
        </w:tc>
        <w:tc>
          <w:tcPr/>
          <w:p>
            <w:pPr>
              <w:pStyle w:val="Compact"/>
              <w:spacing w:after="0" w:before="0" w:line="240" w:lineRule="auto"/>
              <w:jc w:val="left"/>
            </w:pPr>
            <w:r>
              <w:rPr>
                <w:sz w:val="16"/>
              </w:rPr>
              <w:t xml:space="preserve">Academic guidance (A8)</w:t>
            </w:r>
          </w:p>
        </w:tc>
        <w:tc>
          <w:tcPr/>
          <w:p>
            <w:pPr>
              <w:pStyle w:val="Compact"/>
              <w:spacing w:after="0" w:before="0" w:line="240" w:lineRule="auto"/>
              <w:jc w:val="left"/>
            </w:pPr>
            <w:r>
              <w:rPr>
                <w:sz w:val="16"/>
              </w:rPr>
              <w:t xml:space="preserve">Q27h, Q27g, Q27j</w:t>
            </w:r>
          </w:p>
        </w:tc>
        <w:tc>
          <w:tcPr/>
          <w:p>
            <w:pPr>
              <w:pStyle w:val="Compact"/>
              <w:spacing w:after="0" w:before="0" w:line="240" w:lineRule="auto"/>
              <w:jc w:val="center"/>
            </w:pPr>
            <w:r>
              <w:rPr>
                <w:sz w:val="16"/>
              </w:rPr>
              <w:t xml:space="preserve">3.27</w:t>
            </w:r>
          </w:p>
        </w:tc>
        <w:tc>
          <w:tcPr/>
          <w:p>
            <w:pPr>
              <w:pStyle w:val="Compact"/>
              <w:spacing w:after="0" w:before="0" w:line="240" w:lineRule="auto"/>
              <w:jc w:val="center"/>
            </w:pPr>
            <w:r>
              <w:rPr>
                <w:sz w:val="16"/>
              </w:rPr>
              <w:t xml:space="preserve">48.6 [48.2, 48.9]</w:t>
            </w:r>
          </w:p>
        </w:tc>
        <w:tc>
          <w:tcPr/>
          <w:p>
            <w:pPr>
              <w:pStyle w:val="Compact"/>
              <w:spacing w:after="0" w:before="0" w:line="240" w:lineRule="auto"/>
              <w:jc w:val="center"/>
            </w:pPr>
            <w:r>
              <w:rPr>
                <w:sz w:val="16"/>
              </w:rPr>
              <w:t xml:space="preserve">21.7</w:t>
            </w:r>
          </w:p>
        </w:tc>
        <w:tc>
          <w:tcPr/>
          <w:p>
            <w:pPr>
              <w:pStyle w:val="Compact"/>
              <w:spacing w:after="0" w:before="0" w:line="240" w:lineRule="auto"/>
              <w:jc w:val="center"/>
            </w:pPr>
            <w:r>
              <w:rPr>
                <w:sz w:val="16"/>
              </w:rPr>
              <w:t xml:space="preserve">51.6</w:t>
            </w:r>
          </w:p>
        </w:tc>
        <w:tc>
          <w:tcPr/>
          <w:p>
            <w:pPr>
              <w:pStyle w:val="Compact"/>
              <w:spacing w:after="0" w:before="0" w:line="240" w:lineRule="auto"/>
              <w:jc w:val="center"/>
            </w:pPr>
            <w:r>
              <w:rPr>
                <w:sz w:val="16"/>
              </w:rPr>
              <w:t xml:space="preserve">26.7</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r>
        <w:tc>
          <w:tcPr/>
          <w:p>
            <w:pPr>
              <w:pStyle w:val="Compact"/>
              <w:spacing w:after="0" w:before="0" w:line="240" w:lineRule="auto"/>
              <w:jc w:val="right"/>
            </w:pPr>
            <w:r>
              <w:rPr>
                <w:sz w:val="16"/>
              </w:rPr>
              <w:t xml:space="preserve">8</w:t>
            </w:r>
          </w:p>
        </w:tc>
        <w:tc>
          <w:tcPr/>
          <w:p>
            <w:pPr>
              <w:pStyle w:val="Compact"/>
              <w:spacing w:after="0" w:before="0" w:line="240" w:lineRule="auto"/>
              <w:jc w:val="left"/>
            </w:pPr>
            <w:r>
              <w:rPr>
                <w:sz w:val="16"/>
              </w:rPr>
              <w:t xml:space="preserve">Emotional &amp; social support (A10)</w:t>
            </w:r>
          </w:p>
        </w:tc>
        <w:tc>
          <w:tcPr/>
          <w:p>
            <w:pPr>
              <w:pStyle w:val="Compact"/>
              <w:spacing w:after="0" w:before="0" w:line="240" w:lineRule="auto"/>
              <w:jc w:val="left"/>
            </w:pPr>
            <w:r>
              <w:rPr>
                <w:sz w:val="16"/>
              </w:rPr>
              <w:t xml:space="preserve">Q28f, Q19c, Q22g, Q22i</w:t>
            </w:r>
          </w:p>
        </w:tc>
        <w:tc>
          <w:tcPr/>
          <w:p>
            <w:pPr>
              <w:pStyle w:val="Compact"/>
              <w:spacing w:after="0" w:before="0" w:line="240" w:lineRule="auto"/>
              <w:jc w:val="center"/>
            </w:pPr>
            <w:r>
              <w:rPr>
                <w:sz w:val="16"/>
              </w:rPr>
              <w:t xml:space="preserve">3.18</w:t>
            </w:r>
          </w:p>
        </w:tc>
        <w:tc>
          <w:tcPr/>
          <w:p>
            <w:pPr>
              <w:pStyle w:val="Compact"/>
              <w:spacing w:after="0" w:before="0" w:line="240" w:lineRule="auto"/>
              <w:jc w:val="center"/>
            </w:pPr>
            <w:r>
              <w:rPr>
                <w:sz w:val="16"/>
              </w:rPr>
              <w:t xml:space="preserve">48.1 [47.8, 48.5]</w:t>
            </w:r>
          </w:p>
        </w:tc>
        <w:tc>
          <w:tcPr/>
          <w:p>
            <w:pPr>
              <w:pStyle w:val="Compact"/>
              <w:spacing w:after="0" w:before="0" w:line="240" w:lineRule="auto"/>
              <w:jc w:val="center"/>
            </w:pPr>
            <w:r>
              <w:rPr>
                <w:sz w:val="16"/>
              </w:rPr>
              <w:t xml:space="preserve">16.5</w:t>
            </w:r>
          </w:p>
        </w:tc>
        <w:tc>
          <w:tcPr/>
          <w:p>
            <w:pPr>
              <w:pStyle w:val="Compact"/>
              <w:spacing w:after="0" w:before="0" w:line="240" w:lineRule="auto"/>
              <w:jc w:val="center"/>
            </w:pPr>
            <w:r>
              <w:rPr>
                <w:sz w:val="16"/>
              </w:rPr>
              <w:t xml:space="preserve">60.5</w:t>
            </w:r>
          </w:p>
        </w:tc>
        <w:tc>
          <w:tcPr/>
          <w:p>
            <w:pPr>
              <w:pStyle w:val="Compact"/>
              <w:spacing w:after="0" w:before="0" w:line="240" w:lineRule="auto"/>
              <w:jc w:val="center"/>
            </w:pPr>
            <w:r>
              <w:rPr>
                <w:sz w:val="16"/>
              </w:rPr>
              <w:t xml:space="preserve">23.1</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r>
        <w:tc>
          <w:tcPr/>
          <w:p>
            <w:pPr>
              <w:pStyle w:val="Compact"/>
              <w:spacing w:after="0" w:before="0" w:line="240" w:lineRule="auto"/>
              <w:jc w:val="right"/>
            </w:pPr>
            <w:r>
              <w:rPr>
                <w:sz w:val="16"/>
              </w:rPr>
              <w:t xml:space="preserve">9</w:t>
            </w:r>
          </w:p>
        </w:tc>
        <w:tc>
          <w:tcPr/>
          <w:p>
            <w:pPr>
              <w:pStyle w:val="Compact"/>
              <w:spacing w:after="0" w:before="0" w:line="240" w:lineRule="auto"/>
              <w:jc w:val="left"/>
            </w:pPr>
            <w:r>
              <w:rPr>
                <w:sz w:val="16"/>
              </w:rPr>
              <w:t xml:space="preserve">Classroom communication (A7)</w:t>
            </w:r>
          </w:p>
        </w:tc>
        <w:tc>
          <w:tcPr/>
          <w:p>
            <w:pPr>
              <w:pStyle w:val="Compact"/>
              <w:spacing w:after="0" w:before="0" w:line="240" w:lineRule="auto"/>
              <w:jc w:val="left"/>
            </w:pPr>
            <w:r>
              <w:rPr>
                <w:sz w:val="16"/>
              </w:rPr>
              <w:t xml:space="preserve">Q19h, Q26h</w:t>
            </w:r>
          </w:p>
        </w:tc>
        <w:tc>
          <w:tcPr/>
          <w:p>
            <w:pPr>
              <w:pStyle w:val="Compact"/>
              <w:spacing w:after="0" w:before="0" w:line="240" w:lineRule="auto"/>
              <w:jc w:val="center"/>
            </w:pPr>
            <w:r>
              <w:rPr>
                <w:sz w:val="16"/>
              </w:rPr>
              <w:t xml:space="preserve">3.23</w:t>
            </w:r>
          </w:p>
        </w:tc>
        <w:tc>
          <w:tcPr/>
          <w:p>
            <w:pPr>
              <w:pStyle w:val="Compact"/>
              <w:spacing w:after="0" w:before="0" w:line="240" w:lineRule="auto"/>
              <w:jc w:val="center"/>
            </w:pPr>
            <w:r>
              <w:rPr>
                <w:sz w:val="16"/>
              </w:rPr>
              <w:t xml:space="preserve">48.1 [47.8, 48.5]</w:t>
            </w:r>
          </w:p>
        </w:tc>
        <w:tc>
          <w:tcPr/>
          <w:p>
            <w:pPr>
              <w:pStyle w:val="Compact"/>
              <w:spacing w:after="0" w:before="0" w:line="240" w:lineRule="auto"/>
              <w:jc w:val="center"/>
            </w:pPr>
            <w:r>
              <w:rPr>
                <w:sz w:val="16"/>
              </w:rPr>
              <w:t xml:space="preserve">16.1</w:t>
            </w:r>
          </w:p>
        </w:tc>
        <w:tc>
          <w:tcPr/>
          <w:p>
            <w:pPr>
              <w:pStyle w:val="Compact"/>
              <w:spacing w:after="0" w:before="0" w:line="240" w:lineRule="auto"/>
              <w:jc w:val="center"/>
            </w:pPr>
            <w:r>
              <w:rPr>
                <w:sz w:val="16"/>
              </w:rPr>
              <w:t xml:space="preserve">60.4</w:t>
            </w:r>
          </w:p>
        </w:tc>
        <w:tc>
          <w:tcPr/>
          <w:p>
            <w:pPr>
              <w:pStyle w:val="Compact"/>
              <w:spacing w:after="0" w:before="0" w:line="240" w:lineRule="auto"/>
              <w:jc w:val="center"/>
            </w:pPr>
            <w:r>
              <w:rPr>
                <w:sz w:val="16"/>
              </w:rPr>
              <w:t xml:space="preserve">23.5</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r>
        <w:tc>
          <w:tcPr/>
          <w:p>
            <w:pPr>
              <w:pStyle w:val="Compact"/>
              <w:spacing w:after="0" w:before="0" w:line="240" w:lineRule="auto"/>
              <w:jc w:val="right"/>
            </w:pPr>
            <w:r>
              <w:rPr>
                <w:sz w:val="16"/>
              </w:rPr>
              <w:t xml:space="preserve">10</w:t>
            </w:r>
          </w:p>
        </w:tc>
        <w:tc>
          <w:tcPr/>
          <w:p>
            <w:pPr>
              <w:pStyle w:val="Compact"/>
              <w:spacing w:after="0" w:before="0" w:line="240" w:lineRule="auto"/>
              <w:jc w:val="left"/>
            </w:pPr>
            <w:r>
              <w:rPr>
                <w:sz w:val="16"/>
              </w:rPr>
              <w:t xml:space="preserve">Problem solving (A9)</w:t>
            </w:r>
          </w:p>
        </w:tc>
        <w:tc>
          <w:tcPr/>
          <w:p>
            <w:pPr>
              <w:pStyle w:val="Compact"/>
              <w:spacing w:after="0" w:before="0" w:line="240" w:lineRule="auto"/>
              <w:jc w:val="left"/>
            </w:pPr>
            <w:r>
              <w:rPr>
                <w:sz w:val="16"/>
              </w:rPr>
              <w:t xml:space="preserve">Q29c, Q29d, Q29e</w:t>
            </w:r>
          </w:p>
        </w:tc>
        <w:tc>
          <w:tcPr/>
          <w:p>
            <w:pPr>
              <w:pStyle w:val="Compact"/>
              <w:spacing w:after="0" w:before="0" w:line="240" w:lineRule="auto"/>
              <w:jc w:val="center"/>
            </w:pPr>
            <w:r>
              <w:rPr>
                <w:sz w:val="16"/>
              </w:rPr>
              <w:t xml:space="preserve">3.14</w:t>
            </w:r>
          </w:p>
        </w:tc>
        <w:tc>
          <w:tcPr/>
          <w:p>
            <w:pPr>
              <w:pStyle w:val="Compact"/>
              <w:spacing w:after="0" w:before="0" w:line="240" w:lineRule="auto"/>
              <w:jc w:val="center"/>
            </w:pPr>
            <w:r>
              <w:rPr>
                <w:sz w:val="16"/>
              </w:rPr>
              <w:t xml:space="preserve">46.5 [46.2, 46.9]</w:t>
            </w:r>
          </w:p>
        </w:tc>
        <w:tc>
          <w:tcPr/>
          <w:p>
            <w:pPr>
              <w:pStyle w:val="Compact"/>
              <w:spacing w:after="0" w:before="0" w:line="240" w:lineRule="auto"/>
              <w:jc w:val="center"/>
            </w:pPr>
            <w:r>
              <w:rPr>
                <w:sz w:val="16"/>
              </w:rPr>
              <w:t xml:space="preserve">19.0</w:t>
            </w:r>
          </w:p>
        </w:tc>
        <w:tc>
          <w:tcPr/>
          <w:p>
            <w:pPr>
              <w:pStyle w:val="Compact"/>
              <w:spacing w:after="0" w:before="0" w:line="240" w:lineRule="auto"/>
              <w:jc w:val="center"/>
            </w:pPr>
            <w:r>
              <w:rPr>
                <w:sz w:val="16"/>
              </w:rPr>
              <w:t xml:space="preserve">49.9</w:t>
            </w:r>
          </w:p>
        </w:tc>
        <w:tc>
          <w:tcPr/>
          <w:p>
            <w:pPr>
              <w:pStyle w:val="Compact"/>
              <w:spacing w:after="0" w:before="0" w:line="240" w:lineRule="auto"/>
              <w:jc w:val="center"/>
            </w:pPr>
            <w:r>
              <w:rPr>
                <w:sz w:val="16"/>
              </w:rPr>
              <w:t xml:space="preserve">31.1</w:t>
            </w:r>
          </w:p>
        </w:tc>
        <w:tc>
          <w:tcPr/>
          <w:p>
            <w:pPr>
              <w:pStyle w:val="Compact"/>
              <w:spacing w:after="0" w:before="0" w:line="240" w:lineRule="auto"/>
              <w:jc w:val="center"/>
            </w:pPr>
            <w:r>
              <w:rPr>
                <w:sz w:val="16"/>
              </w:rPr>
              <w:t xml:space="preserve">Human-leaning</w:t>
            </w:r>
          </w:p>
        </w:tc>
        <w:tc>
          <w:tcPr/>
          <w:p>
            <w:pPr>
              <w:pStyle w:val="Compact"/>
              <w:spacing w:after="0" w:before="0" w:line="240" w:lineRule="auto"/>
            </w:pPr>
          </w:p>
        </w:tc>
      </w:tr>
    </w:tbl>
    <w:p>
      <w:pPr>
        <w:pStyle w:val="CaptionedFigure"/>
      </w:pPr>
      <w:r>
        <w:drawing>
          <wp:inline>
            <wp:extent cx="5334000" cy="2470843"/>
            <wp:effectExtent b="0" l="0" r="0" t="0"/>
            <wp:docPr descr="" title="" id="75" name="Picture"/>
            <a:graphic>
              <a:graphicData uri="http://schemas.openxmlformats.org/drawingml/2006/picture">
                <pic:pic>
                  <pic:nvPicPr>
                    <pic:cNvPr descr="/home/user/Data-Visualization/ai-teacher-feasibility/results/figures/fig8_activity_feasibility.png" id="76" name="Picture"/>
                    <pic:cNvPicPr>
                      <a:picLocks noChangeArrowheads="1" noChangeAspect="1"/>
                    </pic:cNvPicPr>
                  </pic:nvPicPr>
                  <pic:blipFill>
                    <a:blip r:embed="rId74"/>
                    <a:stretch>
                      <a:fillRect/>
                    </a:stretch>
                  </pic:blipFill>
                  <pic:spPr bwMode="auto">
                    <a:xfrm>
                      <a:off x="0" y="0"/>
                      <a:ext cx="5334000" cy="2470843"/>
                    </a:xfrm>
                    <a:prstGeom prst="rect">
                      <a:avLst/>
                    </a:prstGeom>
                    <a:noFill/>
                    <a:ln w="9525">
                      <a:noFill/>
                      <a:headEnd/>
                      <a:tailEnd/>
                    </a:ln>
                  </pic:spPr>
                </pic:pic>
              </a:graphicData>
            </a:graphic>
          </wp:inline>
        </w:drawing>
      </w:r>
    </w:p>
    <w:p>
      <w:pPr>
        <w:pStyle w:val="ImageCaption"/>
      </w:pPr>
      <w:r>
        <w:t xml:space="preserve">Fig. 6. (a) Mean activity feasibility scores. Grey bars show the 2.5–97.5% range across 500 perturbed fuzzy designs; shaded bands mark the decision categories. (b) Share of respondents in each decision category per activity.</w:t>
      </w:r>
    </w:p>
    <w:bookmarkEnd w:id="77"/>
    <w:bookmarkStart w:id="81" w:name="fuzzy-versus-neural-modelling-rq3"/>
    <w:p>
      <w:pPr>
        <w:pStyle w:val="Heading2"/>
      </w:pPr>
      <w:r>
        <w:rPr>
          <w:rStyle w:val="SectionNumber"/>
        </w:rPr>
        <w:t xml:space="preserve">5.5</w:t>
      </w:r>
      <w:r>
        <w:tab/>
      </w:r>
      <w:r>
        <w:t xml:space="preserve">Fuzzy versus neural modelling (RQ3)</w:t>
      </w:r>
    </w:p>
    <w:p>
      <w:pPr>
        <w:pStyle w:val="FirstParagraph"/>
      </w:pPr>
      <w:r>
        <w:t xml:space="preserve">Table 7 and Fig. 7 compare the predictive models. The tuned ANN achieved the lowest error (RMSE </w:t>
      </w:r>
      <m:oMath>
        <m:r>
          <m:rPr>
            <m:sty m:val="p"/>
          </m:rPr>
          <m:t>=</m:t>
        </m:r>
        <m:r>
          <m:t>21.61</m:t>
        </m:r>
      </m:oMath>
      <w:r>
        <w:t xml:space="preserve">,</w:t>
      </w:r>
      <w:r>
        <w:t xml:space="preserve"> </w:t>
      </w:r>
      <m:oMath>
        <m:sSup>
          <m:e>
            <m:r>
              <m:t>R</m:t>
            </m:r>
          </m:e>
          <m:sup>
            <m:r>
              <m:t>2</m:t>
            </m:r>
          </m:sup>
        </m:sSup>
        <m:r>
          <m:rPr>
            <m:sty m:val="p"/>
          </m:rPr>
          <m:t>=</m:t>
        </m:r>
        <m:r>
          <m:t>0.259</m:t>
        </m:r>
      </m:oMath>
      <w:r>
        <w:t xml:space="preserve">); the configuration selected most often by the inner grid search had two hidden layers of 64 and 32 units with</w:t>
      </w:r>
      <w:r>
        <w:t xml:space="preserve"> </w:t>
      </w:r>
      <m:oMath>
        <m:r>
          <m:t>α</m:t>
        </m:r>
        <m:r>
          <m:rPr>
            <m:sty m:val="p"/>
          </m:rPr>
          <m:t>=</m:t>
        </m:r>
        <m:sSup>
          <m:e>
            <m:r>
              <m:t>10</m:t>
            </m:r>
          </m:e>
          <m:sup>
            <m:r>
              <m:rPr>
                <m:sty m:val="p"/>
              </m:rPr>
              <m:t>−</m:t>
            </m:r>
            <m:r>
              <m:t>2</m:t>
            </m:r>
          </m:sup>
        </m:sSup>
      </m:oMath>
      <w:r>
        <w:t xml:space="preserve">. Gradient boosting performed identically (</w:t>
      </w:r>
      <m:oMath>
        <m:sSup>
          <m:e>
            <m:r>
              <m:t>R</m:t>
            </m:r>
          </m:e>
          <m:sup>
            <m:r>
              <m:t>2</m:t>
            </m:r>
          </m:sup>
        </m:sSup>
        <m:r>
          <m:rPr>
            <m:sty m:val="p"/>
          </m:rPr>
          <m:t>=</m:t>
        </m:r>
        <m:r>
          <m:t>0.259</m:t>
        </m:r>
      </m:oMath>
      <w:r>
        <w:t xml:space="preserve">,</w:t>
      </w:r>
      <w:r>
        <w:t xml:space="preserve"> </w:t>
      </w:r>
      <m:oMath>
        <m:r>
          <m:t>p</m:t>
        </m:r>
        <m:r>
          <m:rPr>
            <m:sty m:val="p"/>
          </m:rPr>
          <m:t>=</m:t>
        </m:r>
        <m:r>
          <m:t>0.975</m:t>
        </m:r>
      </m:oMath>
      <w:r>
        <w:t xml:space="preserve">), and random forest was not significantly worse (</w:t>
      </w:r>
      <m:oMath>
        <m:sSup>
          <m:e>
            <m:r>
              <m:t>R</m:t>
            </m:r>
          </m:e>
          <m:sup>
            <m:r>
              <m:t>2</m:t>
            </m:r>
          </m:sup>
        </m:sSup>
        <m:r>
          <m:rPr>
            <m:sty m:val="p"/>
          </m:rPr>
          <m:t>=</m:t>
        </m:r>
        <m:r>
          <m:t>0.255</m:t>
        </m:r>
      </m:oMath>
      <w:r>
        <w:t xml:space="preserve">,</w:t>
      </w:r>
      <w:r>
        <w:t xml:space="preserve"> </w:t>
      </w:r>
      <m:oMath>
        <m:r>
          <m:t>p</m:t>
        </m:r>
        <m:r>
          <m:rPr>
            <m:sty m:val="p"/>
          </m:rPr>
          <m:t>=</m:t>
        </m:r>
        <m:r>
          <m:t>0.204</m:t>
        </m:r>
      </m:oMath>
      <w:r>
        <w:t xml:space="preserve">). The ANN was significantly more accurate than linear regression (</w:t>
      </w:r>
      <m:oMath>
        <m:sSup>
          <m:e>
            <m:r>
              <m:t>R</m:t>
            </m:r>
          </m:e>
          <m:sup>
            <m:r>
              <m:t>2</m:t>
            </m:r>
          </m:sup>
        </m:sSup>
        <m:r>
          <m:rPr>
            <m:sty m:val="p"/>
          </m:rPr>
          <m:t>=</m:t>
        </m:r>
        <m:r>
          <m:t>0.252</m:t>
        </m:r>
      </m:oMath>
      <w:r>
        <w:t xml:space="preserve">,</w:t>
      </w:r>
      <w:r>
        <w:t xml:space="preserve"> </w:t>
      </w:r>
      <m:oMath>
        <m:r>
          <m:t>p</m:t>
        </m:r>
        <m:r>
          <m:rPr>
            <m:sty m:val="p"/>
          </m:rPr>
          <m:t>=</m:t>
        </m:r>
        <m:r>
          <m:t>0.003</m:t>
        </m:r>
      </m:oMath>
      <w:r>
        <w:t xml:space="preserve">) and SVR (</w:t>
      </w:r>
      <m:oMath>
        <m:sSup>
          <m:e>
            <m:r>
              <m:t>R</m:t>
            </m:r>
          </m:e>
          <m:sup>
            <m:r>
              <m:t>2</m:t>
            </m:r>
          </m:sup>
        </m:sSup>
        <m:r>
          <m:rPr>
            <m:sty m:val="p"/>
          </m:rPr>
          <m:t>=</m:t>
        </m:r>
        <m:r>
          <m:t>0.242</m:t>
        </m:r>
      </m:oMath>
      <w:r>
        <w:t xml:space="preserve">,</w:t>
      </w:r>
      <w:r>
        <w:t xml:space="preserve"> </w:t>
      </w:r>
      <m:oMath>
        <m:r>
          <m:t>p</m:t>
        </m:r>
        <m:r>
          <m:rPr>
            <m:sty m:val="p"/>
          </m:rPr>
          <m:t>&lt;</m:t>
        </m:r>
        <m:r>
          <m:t>0.001</m:t>
        </m:r>
      </m:oMath>
      <w:r>
        <w:t xml:space="preserve">), but the gain over the linear model was below one percentage point of explained variance. The factor–criterion relationships are therefore mildly non-linear but dominated by additive linear effects. Supplying the fuzzy intermediate outputs to the network did not help: the hybrid fuzzy–ANN was slightly but significantly worse than the plain ANN (</w:t>
      </w:r>
      <m:oMath>
        <m:sSup>
          <m:e>
            <m:r>
              <m:t>R</m:t>
            </m:r>
          </m:e>
          <m:sup>
            <m:r>
              <m:t>2</m:t>
            </m:r>
          </m:sup>
        </m:sSup>
        <m:r>
          <m:rPr>
            <m:sty m:val="p"/>
          </m:rPr>
          <m:t>=</m:t>
        </m:r>
        <m:r>
          <m:t>0.255</m:t>
        </m:r>
      </m:oMath>
      <w:r>
        <w:t xml:space="preserve">,</w:t>
      </w:r>
      <w:r>
        <w:t xml:space="preserve"> </w:t>
      </w:r>
      <m:oMath>
        <m:r>
          <m:t>p</m:t>
        </m:r>
        <m:r>
          <m:rPr>
            <m:sty m:val="p"/>
          </m:rPr>
          <m:t>=</m:t>
        </m:r>
        <m:r>
          <m:t>0.013</m:t>
        </m:r>
      </m:oMath>
      <w:r>
        <w:t xml:space="preserve">), presumably because the four extra inputs are deterministic functions of the original eight and add variance to the tuning process without adding information. The calibrated fuzzy score, which was not trained on the TSI at all, reached</w:t>
      </w:r>
      <w:r>
        <w:t xml:space="preserve"> </w:t>
      </w:r>
      <m:oMath>
        <m:sSup>
          <m:e>
            <m:r>
              <m:t>R</m:t>
            </m:r>
          </m:e>
          <m:sup>
            <m:r>
              <m:t>2</m:t>
            </m:r>
          </m:sup>
        </m:sSup>
        <m:r>
          <m:rPr>
            <m:sty m:val="p"/>
          </m:rPr>
          <m:t>=</m:t>
        </m:r>
        <m:r>
          <m:t>0.155</m:t>
        </m:r>
      </m:oMath>
      <w:r>
        <w:t xml:space="preserve">. This is significantly lower than the ANN (</w:t>
      </w:r>
      <m:oMath>
        <m:r>
          <m:t>p</m:t>
        </m:r>
        <m:r>
          <m:rPr>
            <m:sty m:val="p"/>
          </m:rPr>
          <m:t>&lt;</m:t>
        </m:r>
        <m:r>
          <m:t>0.001</m:t>
        </m:r>
      </m:oMath>
      <w:r>
        <w:t xml:space="preserve">) but still 60% of the ANN’s explained variance, obtained from</w:t>
      </w:r>
      <w:r>
        <w:t xml:space="preserve"> </w:t>
      </w:r>
      <w:r>
        <w:rPr>
          <w:iCs/>
          <w:i/>
        </w:rPr>
        <w:t xml:space="preserve">a priori</w:t>
      </w:r>
      <w:r>
        <w:t xml:space="preserve"> </w:t>
      </w:r>
      <w:r>
        <w:t xml:space="preserve">rules that can be read in full. The modest absolute</w:t>
      </w:r>
      <w:r>
        <w:t xml:space="preserve"> </w:t>
      </w:r>
      <m:oMath>
        <m:sSup>
          <m:e>
            <m:r>
              <m:t>R</m:t>
            </m:r>
          </m:e>
          <m:sup>
            <m:r>
              <m:t>2</m:t>
            </m:r>
          </m:sup>
        </m:sSup>
      </m:oMath>
      <w:r>
        <w:t xml:space="preserve"> </w:t>
      </w:r>
      <w:r>
        <w:t xml:space="preserve">values are typical for single-occasion attitude data and indicate that perceived AI capability is one of several determinants of students’ willingness to substitute AI for their professors. Finally, an MLP reproduced the fuzzy system almost perfectly from the eight factors (cross-validated</w:t>
      </w:r>
      <w:r>
        <w:t xml:space="preserve"> </w:t>
      </w:r>
      <m:oMath>
        <m:sSup>
          <m:e>
            <m:r>
              <m:t>R</m:t>
            </m:r>
          </m:e>
          <m:sup>
            <m:r>
              <m:t>2</m:t>
            </m:r>
          </m:sup>
        </m:sSup>
        <m:r>
          <m:rPr>
            <m:sty m:val="p"/>
          </m:rPr>
          <m:t>=</m:t>
        </m:r>
        <m:r>
          <m:t>0.955</m:t>
        </m:r>
      </m:oMath>
      <w:r>
        <w:t xml:space="preserve">, RMSE </w:t>
      </w:r>
      <m:oMath>
        <m:r>
          <m:rPr>
            <m:sty m:val="p"/>
          </m:rPr>
          <m:t>=</m:t>
        </m:r>
        <m:r>
          <m:t>4.19</m:t>
        </m:r>
      </m:oMath>
      <w:r>
        <w:t xml:space="preserve">), so the HFIS mapping can also be learned by a network.</w:t>
      </w:r>
    </w:p>
    <w:p>
      <w:pPr>
        <w:pStyle w:val="TableCaption"/>
      </w:pPr>
      <w:r>
        <w:t xml:space="preserve">Table 7. Out-of-fold prediction of the Teacher Substitution Index (TSI, 0–100) from the eight factors: mean (SD) over 10-fold cross-validation repeated 3 times (30 folds).</w:t>
      </w:r>
      <w:r>
        <w:t xml:space="preserve"> </w:t>
      </w:r>
      <m:oMath>
        <m:r>
          <m:t>t</m:t>
        </m:r>
      </m:oMath>
      <w:r>
        <w:t xml:space="preserve"> </w:t>
      </w:r>
      <w:r>
        <w:t xml:space="preserve">and</w:t>
      </w:r>
      <w:r>
        <w:t xml:space="preserve"> </w:t>
      </w:r>
      <m:oMath>
        <m:r>
          <m:t>p</m:t>
        </m:r>
      </m:oMath>
      <w:r>
        <w:t xml:space="preserve">: Nadeau–Bengio corrected resampled</w:t>
      </w:r>
      <w:r>
        <w:t xml:space="preserve"> </w:t>
      </w:r>
      <m:oMath>
        <m:r>
          <m:t>t</m:t>
        </m:r>
      </m:oMath>
      <w:r>
        <w:t xml:space="preserve">-test on fold RMSE against the ANN. The calibrated fuzzy model uses no TSI information except a one-parameter linear rescaling of the TRFS fitted on each training fold.</w:t>
      </w:r>
    </w:p>
    <w:tbl>
      <w:tblPr>
        <w:tblStyle w:val="Table"/>
        <w:tblLook w:firstRow="1" w:lastRow="0" w:firstColumn="0" w:lastColumn="0" w:noHBand="0" w:noVBand="0" w:val="0020"/>
        <w:jc w:val="start"/>
        <w:tblCaption w:val="Table 7. Out-of-fold prediction of the Teacher Substitution Index (TSI, 0–100) from the eight factors: mean (SD) over 10-fold cross-validation repeated 3 times (30 folds). t and p: Nadeau–Bengio corrected resampled t-test on fold RMSE against the ANN. The calibrated fuzzy model uses no TSI information except a one-parameter linear rescaling of the TRFS fitted on each training fold."/>
        <w:tblW w:w="5000" w:type="pct"/>
        <w:tblLayout w:type="autofit"/>
        <w:tblBorders>
          <w:top w:val="single" w:sz="12" w:space="0" w:color="000000"/>
          <w:bottom w:val="single" w:sz="12" w:space="0" w:color="000000"/>
        </w:tblBorders>
      </w:tblPr>
      <w:tblGrid>
        <w:gridCol/>
        <w:gridCol/>
        <w:gridCol/>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Model</w:t>
            </w:r>
          </w:p>
        </w:tc>
        <w:tc>
          <w:tcPr>
            <w:tcBorders>
              <w:bottom w:val="single" w:sz="6" w:space="0" w:color="000000"/>
            </w:tcBorders>
          </w:tcPr>
          <w:p>
            <w:pPr>
              <w:pStyle w:val="Compact"/>
              <w:spacing w:after="0" w:before="0" w:line="240" w:lineRule="auto"/>
              <w:jc w:val="center"/>
            </w:pPr>
            <w:r>
              <w:rPr>
                <w:b/>
                <w:sz w:val="16"/>
              </w:rPr>
              <w:t xml:space="preserve">MSE</w:t>
            </w:r>
          </w:p>
        </w:tc>
        <w:tc>
          <w:tcPr>
            <w:tcBorders>
              <w:bottom w:val="single" w:sz="6" w:space="0" w:color="000000"/>
            </w:tcBorders>
          </w:tcPr>
          <w:p>
            <w:pPr>
              <w:pStyle w:val="Compact"/>
              <w:spacing w:after="0" w:before="0" w:line="240" w:lineRule="auto"/>
              <w:jc w:val="center"/>
            </w:pPr>
            <w:r>
              <w:rPr>
                <w:b/>
                <w:sz w:val="16"/>
              </w:rPr>
              <w:t xml:space="preserve">RMSE</w:t>
            </w:r>
          </w:p>
        </w:tc>
        <w:tc>
          <w:tcPr>
            <w:tcBorders>
              <w:bottom w:val="single" w:sz="6" w:space="0" w:color="000000"/>
            </w:tcBorders>
          </w:tcPr>
          <w:p>
            <w:pPr>
              <w:pStyle w:val="Compact"/>
              <w:spacing w:after="0" w:before="0" w:line="240" w:lineRule="auto"/>
              <w:jc w:val="center"/>
            </w:pPr>
            <w:r>
              <w:rPr>
                <w:b/>
                <w:sz w:val="16"/>
              </w:rPr>
              <w:t xml:space="preserve">MAE</w:t>
            </w:r>
          </w:p>
        </w:tc>
        <w:tc>
          <w:tcPr>
            <w:tcBorders>
              <w:bottom w:val="single" w:sz="6" w:space="0" w:color="000000"/>
            </w:tcBorders>
          </w:tcPr>
          <w:p>
            <w:pPr>
              <w:pStyle w:val="Compact"/>
              <w:spacing w:after="0" w:before="0" w:line="240" w:lineRule="auto"/>
              <w:jc w:val="center"/>
            </w:pPr>
            <m:oMath>
              <m:sSup>
                <m:e>
                  <m:r>
                    <m:t>R</m:t>
                  </m:r>
                </m:e>
                <m:sup>
                  <m:r>
                    <m:t>2</m:t>
                  </m:r>
                </m:sup>
              </m:sSup>
            </m:oMath>
          </w:p>
        </w:tc>
        <w:tc>
          <w:tcPr>
            <w:tcBorders>
              <w:bottom w:val="single" w:sz="6" w:space="0" w:color="000000"/>
            </w:tcBorders>
          </w:tcPr>
          <w:p>
            <w:pPr>
              <w:pStyle w:val="Compact"/>
              <w:spacing w:after="0" w:before="0" w:line="240" w:lineRule="auto"/>
              <w:jc w:val="center"/>
            </w:pPr>
            <m:oMath>
              <m:r>
                <m:t>t</m:t>
              </m:r>
            </m:oMath>
            <w:r>
              <w:rPr>
                <w:b/>
                <w:sz w:val="16"/>
              </w:rPr>
              <w:t xml:space="preserve"> </w:t>
            </w:r>
            <w:r>
              <w:rPr>
                <w:b/>
                <w:sz w:val="16"/>
              </w:rPr>
              <w:t xml:space="preserve">vs ANN</w:t>
            </w:r>
          </w:p>
        </w:tc>
        <w:tc>
          <w:tcPr>
            <w:tcBorders>
              <w:bottom w:val="single" w:sz="6" w:space="0" w:color="000000"/>
            </w:tcBorders>
          </w:tcPr>
          <w:p>
            <w:pPr>
              <w:pStyle w:val="Compact"/>
              <w:spacing w:after="0" w:before="0" w:line="240" w:lineRule="auto"/>
              <w:jc w:val="center"/>
            </w:pPr>
            <m:oMath>
              <m:r>
                <m:t>p</m:t>
              </m:r>
            </m:oMath>
          </w:p>
        </w:tc>
      </w:tr>
      <w:tr>
        <w:tc>
          <w:tcPr/>
          <w:p>
            <w:pPr>
              <w:pStyle w:val="Compact"/>
              <w:spacing w:after="0" w:before="0" w:line="240" w:lineRule="auto"/>
              <w:jc w:val="left"/>
            </w:pPr>
            <w:r>
              <w:rPr>
                <w:bCs/>
                <w:b/>
                <w:sz w:val="16"/>
              </w:rPr>
              <w:t xml:space="preserve">ANN (MLP)</w:t>
            </w:r>
          </w:p>
        </w:tc>
        <w:tc>
          <w:tcPr/>
          <w:p>
            <w:pPr>
              <w:pStyle w:val="Compact"/>
              <w:spacing w:after="0" w:before="0" w:line="240" w:lineRule="auto"/>
              <w:jc w:val="center"/>
            </w:pPr>
            <w:r>
              <w:rPr>
                <w:sz w:val="16"/>
              </w:rPr>
              <w:t xml:space="preserve">467.3 (15.2)</w:t>
            </w:r>
          </w:p>
        </w:tc>
        <w:tc>
          <w:tcPr/>
          <w:p>
            <w:pPr>
              <w:pStyle w:val="Compact"/>
              <w:spacing w:after="0" w:before="0" w:line="240" w:lineRule="auto"/>
              <w:jc w:val="center"/>
            </w:pPr>
            <w:r>
              <w:rPr>
                <w:sz w:val="16"/>
              </w:rPr>
              <w:t xml:space="preserve">21.61 (0.35)</w:t>
            </w:r>
          </w:p>
        </w:tc>
        <w:tc>
          <w:tcPr/>
          <w:p>
            <w:pPr>
              <w:pStyle w:val="Compact"/>
              <w:spacing w:after="0" w:before="0" w:line="240" w:lineRule="auto"/>
              <w:jc w:val="center"/>
            </w:pPr>
            <w:r>
              <w:rPr>
                <w:sz w:val="16"/>
              </w:rPr>
              <w:t xml:space="preserve">17.39 (0.37)</w:t>
            </w:r>
          </w:p>
        </w:tc>
        <w:tc>
          <w:tcPr/>
          <w:p>
            <w:pPr>
              <w:pStyle w:val="Compact"/>
              <w:spacing w:after="0" w:before="0" w:line="240" w:lineRule="auto"/>
              <w:jc w:val="center"/>
            </w:pPr>
            <w:r>
              <w:rPr>
                <w:sz w:val="16"/>
              </w:rPr>
              <w:t xml:space="preserve">0.259 (0.023)</w:t>
            </w:r>
          </w:p>
        </w:tc>
        <w:tc>
          <w:tcPr/>
          <w:p>
            <w:pPr>
              <w:pStyle w:val="Compact"/>
              <w:spacing w:after="0" w:before="0" w:line="240" w:lineRule="auto"/>
              <w:jc w:val="center"/>
            </w:pPr>
            <w:r>
              <w:rPr>
                <w:sz w:val="16"/>
              </w:rPr>
              <w:t xml:space="preserve">–</w:t>
            </w:r>
          </w:p>
        </w:tc>
        <w:tc>
          <w:tcPr/>
          <w:p>
            <w:pPr>
              <w:pStyle w:val="Compact"/>
              <w:spacing w:after="0" w:before="0" w:line="240" w:lineRule="auto"/>
              <w:jc w:val="center"/>
            </w:pPr>
            <w:r>
              <w:rPr>
                <w:sz w:val="16"/>
              </w:rPr>
              <w:t xml:space="preserve">–</w:t>
            </w:r>
          </w:p>
        </w:tc>
      </w:tr>
      <w:tr>
        <w:tc>
          <w:tcPr/>
          <w:p>
            <w:pPr>
              <w:pStyle w:val="Compact"/>
              <w:spacing w:after="0" w:before="0" w:line="240" w:lineRule="auto"/>
              <w:jc w:val="left"/>
            </w:pPr>
            <w:r>
              <w:rPr>
                <w:sz w:val="16"/>
              </w:rPr>
              <w:t xml:space="preserve">Gradient boosting</w:t>
            </w:r>
          </w:p>
        </w:tc>
        <w:tc>
          <w:tcPr/>
          <w:p>
            <w:pPr>
              <w:pStyle w:val="Compact"/>
              <w:spacing w:after="0" w:before="0" w:line="240" w:lineRule="auto"/>
              <w:jc w:val="center"/>
            </w:pPr>
            <w:r>
              <w:rPr>
                <w:sz w:val="16"/>
              </w:rPr>
              <w:t xml:space="preserve">467.3 (15.6)</w:t>
            </w:r>
          </w:p>
        </w:tc>
        <w:tc>
          <w:tcPr/>
          <w:p>
            <w:pPr>
              <w:pStyle w:val="Compact"/>
              <w:spacing w:after="0" w:before="0" w:line="240" w:lineRule="auto"/>
              <w:jc w:val="center"/>
            </w:pPr>
            <w:r>
              <w:rPr>
                <w:sz w:val="16"/>
              </w:rPr>
              <w:t xml:space="preserve">21.62 (0.36)</w:t>
            </w:r>
          </w:p>
        </w:tc>
        <w:tc>
          <w:tcPr/>
          <w:p>
            <w:pPr>
              <w:pStyle w:val="Compact"/>
              <w:spacing w:after="0" w:before="0" w:line="240" w:lineRule="auto"/>
              <w:jc w:val="center"/>
            </w:pPr>
            <w:r>
              <w:rPr>
                <w:sz w:val="16"/>
              </w:rPr>
              <w:t xml:space="preserve">17.32 (0.36)</w:t>
            </w:r>
          </w:p>
        </w:tc>
        <w:tc>
          <w:tcPr/>
          <w:p>
            <w:pPr>
              <w:pStyle w:val="Compact"/>
              <w:spacing w:after="0" w:before="0" w:line="240" w:lineRule="auto"/>
              <w:jc w:val="center"/>
            </w:pPr>
            <w:r>
              <w:rPr>
                <w:sz w:val="16"/>
              </w:rPr>
              <w:t xml:space="preserve">0.259 (0.022)</w:t>
            </w:r>
          </w:p>
        </w:tc>
        <w:tc>
          <w:tcPr/>
          <w:p>
            <w:pPr>
              <w:pStyle w:val="Compact"/>
              <w:spacing w:after="0" w:before="0" w:line="240" w:lineRule="auto"/>
              <w:jc w:val="center"/>
            </w:pPr>
            <w:r>
              <w:rPr>
                <w:sz w:val="16"/>
              </w:rPr>
              <w:t xml:space="preserve">-0.03</w:t>
            </w:r>
          </w:p>
        </w:tc>
        <w:tc>
          <w:tcPr/>
          <w:p>
            <w:pPr>
              <w:pStyle w:val="Compact"/>
              <w:spacing w:after="0" w:before="0" w:line="240" w:lineRule="auto"/>
              <w:jc w:val="center"/>
            </w:pPr>
            <w:r>
              <w:rPr>
                <w:sz w:val="16"/>
              </w:rPr>
              <w:t xml:space="preserve">0.975</w:t>
            </w:r>
          </w:p>
        </w:tc>
      </w:tr>
      <w:tr>
        <w:tc>
          <w:tcPr/>
          <w:p>
            <w:pPr>
              <w:pStyle w:val="Compact"/>
              <w:spacing w:after="0" w:before="0" w:line="240" w:lineRule="auto"/>
              <w:jc w:val="left"/>
            </w:pPr>
            <w:r>
              <w:rPr>
                <w:sz w:val="16"/>
              </w:rPr>
              <w:t xml:space="preserve">Hybrid fuzzy-ANN</w:t>
            </w:r>
          </w:p>
        </w:tc>
        <w:tc>
          <w:tcPr/>
          <w:p>
            <w:pPr>
              <w:pStyle w:val="Compact"/>
              <w:spacing w:after="0" w:before="0" w:line="240" w:lineRule="auto"/>
              <w:jc w:val="center"/>
            </w:pPr>
            <w:r>
              <w:rPr>
                <w:sz w:val="16"/>
              </w:rPr>
              <w:t xml:space="preserve">469.8 (14.7)</w:t>
            </w:r>
          </w:p>
        </w:tc>
        <w:tc>
          <w:tcPr/>
          <w:p>
            <w:pPr>
              <w:pStyle w:val="Compact"/>
              <w:spacing w:after="0" w:before="0" w:line="240" w:lineRule="auto"/>
              <w:jc w:val="center"/>
            </w:pPr>
            <w:r>
              <w:rPr>
                <w:sz w:val="16"/>
              </w:rPr>
              <w:t xml:space="preserve">21.67 (0.34)</w:t>
            </w:r>
          </w:p>
        </w:tc>
        <w:tc>
          <w:tcPr/>
          <w:p>
            <w:pPr>
              <w:pStyle w:val="Compact"/>
              <w:spacing w:after="0" w:before="0" w:line="240" w:lineRule="auto"/>
              <w:jc w:val="center"/>
            </w:pPr>
            <w:r>
              <w:rPr>
                <w:sz w:val="16"/>
              </w:rPr>
              <w:t xml:space="preserve">17.45 (0.36)</w:t>
            </w:r>
          </w:p>
        </w:tc>
        <w:tc>
          <w:tcPr/>
          <w:p>
            <w:pPr>
              <w:pStyle w:val="Compact"/>
              <w:spacing w:after="0" w:before="0" w:line="240" w:lineRule="auto"/>
              <w:jc w:val="center"/>
            </w:pPr>
            <w:r>
              <w:rPr>
                <w:sz w:val="16"/>
              </w:rPr>
              <w:t xml:space="preserve">0.255 (0.022)</w:t>
            </w:r>
          </w:p>
        </w:tc>
        <w:tc>
          <w:tcPr/>
          <w:p>
            <w:pPr>
              <w:pStyle w:val="Compact"/>
              <w:spacing w:after="0" w:before="0" w:line="240" w:lineRule="auto"/>
              <w:jc w:val="center"/>
            </w:pPr>
            <w:r>
              <w:rPr>
                <w:sz w:val="16"/>
              </w:rPr>
              <w:t xml:space="preserve">-2.64</w:t>
            </w:r>
          </w:p>
        </w:tc>
        <w:tc>
          <w:tcPr/>
          <w:p>
            <w:pPr>
              <w:pStyle w:val="Compact"/>
              <w:spacing w:after="0" w:before="0" w:line="240" w:lineRule="auto"/>
              <w:jc w:val="center"/>
            </w:pPr>
            <w:r>
              <w:rPr>
                <w:sz w:val="16"/>
              </w:rPr>
              <w:t xml:space="preserve">0.013</w:t>
            </w:r>
          </w:p>
        </w:tc>
      </w:tr>
      <w:tr>
        <w:tc>
          <w:tcPr/>
          <w:p>
            <w:pPr>
              <w:pStyle w:val="Compact"/>
              <w:spacing w:after="0" w:before="0" w:line="240" w:lineRule="auto"/>
              <w:jc w:val="left"/>
            </w:pPr>
            <w:r>
              <w:rPr>
                <w:sz w:val="16"/>
              </w:rPr>
              <w:t xml:space="preserve">Random forest</w:t>
            </w:r>
          </w:p>
        </w:tc>
        <w:tc>
          <w:tcPr/>
          <w:p>
            <w:pPr>
              <w:pStyle w:val="Compact"/>
              <w:spacing w:after="0" w:before="0" w:line="240" w:lineRule="auto"/>
              <w:jc w:val="center"/>
            </w:pPr>
            <w:r>
              <w:rPr>
                <w:sz w:val="16"/>
              </w:rPr>
              <w:t xml:space="preserve">469.8 (15.9)</w:t>
            </w:r>
          </w:p>
        </w:tc>
        <w:tc>
          <w:tcPr/>
          <w:p>
            <w:pPr>
              <w:pStyle w:val="Compact"/>
              <w:spacing w:after="0" w:before="0" w:line="240" w:lineRule="auto"/>
              <w:jc w:val="center"/>
            </w:pPr>
            <w:r>
              <w:rPr>
                <w:sz w:val="16"/>
              </w:rPr>
              <w:t xml:space="preserve">21.67 (0.37)</w:t>
            </w:r>
          </w:p>
        </w:tc>
        <w:tc>
          <w:tcPr/>
          <w:p>
            <w:pPr>
              <w:pStyle w:val="Compact"/>
              <w:spacing w:after="0" w:before="0" w:line="240" w:lineRule="auto"/>
              <w:jc w:val="center"/>
            </w:pPr>
            <w:r>
              <w:rPr>
                <w:sz w:val="16"/>
              </w:rPr>
              <w:t xml:space="preserve">17.33 (0.37)</w:t>
            </w:r>
          </w:p>
        </w:tc>
        <w:tc>
          <w:tcPr/>
          <w:p>
            <w:pPr>
              <w:pStyle w:val="Compact"/>
              <w:spacing w:after="0" w:before="0" w:line="240" w:lineRule="auto"/>
              <w:jc w:val="center"/>
            </w:pPr>
            <w:r>
              <w:rPr>
                <w:sz w:val="16"/>
              </w:rPr>
              <w:t xml:space="preserve">0.255 (0.023)</w:t>
            </w:r>
          </w:p>
        </w:tc>
        <w:tc>
          <w:tcPr/>
          <w:p>
            <w:pPr>
              <w:pStyle w:val="Compact"/>
              <w:spacing w:after="0" w:before="0" w:line="240" w:lineRule="auto"/>
              <w:jc w:val="center"/>
            </w:pPr>
            <w:r>
              <w:rPr>
                <w:sz w:val="16"/>
              </w:rPr>
              <w:t xml:space="preserve">-1.30</w:t>
            </w:r>
          </w:p>
        </w:tc>
        <w:tc>
          <w:tcPr/>
          <w:p>
            <w:pPr>
              <w:pStyle w:val="Compact"/>
              <w:spacing w:after="0" w:before="0" w:line="240" w:lineRule="auto"/>
              <w:jc w:val="center"/>
            </w:pPr>
            <w:r>
              <w:rPr>
                <w:sz w:val="16"/>
              </w:rPr>
              <w:t xml:space="preserve">0.204</w:t>
            </w:r>
          </w:p>
        </w:tc>
      </w:tr>
      <w:tr>
        <w:tc>
          <w:tcPr/>
          <w:p>
            <w:pPr>
              <w:pStyle w:val="Compact"/>
              <w:spacing w:after="0" w:before="0" w:line="240" w:lineRule="auto"/>
              <w:jc w:val="left"/>
            </w:pPr>
            <w:r>
              <w:rPr>
                <w:sz w:val="16"/>
              </w:rPr>
              <w:t xml:space="preserve">Linear regression</w:t>
            </w:r>
          </w:p>
        </w:tc>
        <w:tc>
          <w:tcPr/>
          <w:p>
            <w:pPr>
              <w:pStyle w:val="Compact"/>
              <w:spacing w:after="0" w:before="0" w:line="240" w:lineRule="auto"/>
              <w:jc w:val="center"/>
            </w:pPr>
            <w:r>
              <w:rPr>
                <w:sz w:val="16"/>
              </w:rPr>
              <w:t xml:space="preserve">471.8 (15.9)</w:t>
            </w:r>
          </w:p>
        </w:tc>
        <w:tc>
          <w:tcPr/>
          <w:p>
            <w:pPr>
              <w:pStyle w:val="Compact"/>
              <w:spacing w:after="0" w:before="0" w:line="240" w:lineRule="auto"/>
              <w:jc w:val="center"/>
            </w:pPr>
            <w:r>
              <w:rPr>
                <w:sz w:val="16"/>
              </w:rPr>
              <w:t xml:space="preserve">21.72 (0.37)</w:t>
            </w:r>
          </w:p>
        </w:tc>
        <w:tc>
          <w:tcPr/>
          <w:p>
            <w:pPr>
              <w:pStyle w:val="Compact"/>
              <w:spacing w:after="0" w:before="0" w:line="240" w:lineRule="auto"/>
              <w:jc w:val="center"/>
            </w:pPr>
            <w:r>
              <w:rPr>
                <w:sz w:val="16"/>
              </w:rPr>
              <w:t xml:space="preserve">17.53 (0.38)</w:t>
            </w:r>
          </w:p>
        </w:tc>
        <w:tc>
          <w:tcPr/>
          <w:p>
            <w:pPr>
              <w:pStyle w:val="Compact"/>
              <w:spacing w:after="0" w:before="0" w:line="240" w:lineRule="auto"/>
              <w:jc w:val="center"/>
            </w:pPr>
            <w:r>
              <w:rPr>
                <w:sz w:val="16"/>
              </w:rPr>
              <w:t xml:space="preserve">0.252 (0.023)</w:t>
            </w:r>
          </w:p>
        </w:tc>
        <w:tc>
          <w:tcPr/>
          <w:p>
            <w:pPr>
              <w:pStyle w:val="Compact"/>
              <w:spacing w:after="0" w:before="0" w:line="240" w:lineRule="auto"/>
              <w:jc w:val="center"/>
            </w:pPr>
            <w:r>
              <w:rPr>
                <w:sz w:val="16"/>
              </w:rPr>
              <w:t xml:space="preserve">-3.22</w:t>
            </w:r>
          </w:p>
        </w:tc>
        <w:tc>
          <w:tcPr/>
          <w:p>
            <w:pPr>
              <w:pStyle w:val="Compact"/>
              <w:spacing w:after="0" w:before="0" w:line="240" w:lineRule="auto"/>
              <w:jc w:val="center"/>
            </w:pPr>
            <w:r>
              <w:rPr>
                <w:sz w:val="16"/>
              </w:rPr>
              <w:t xml:space="preserve">0.003</w:t>
            </w:r>
          </w:p>
        </w:tc>
      </w:tr>
      <w:tr>
        <w:tc>
          <w:tcPr/>
          <w:p>
            <w:pPr>
              <w:pStyle w:val="Compact"/>
              <w:spacing w:after="0" w:before="0" w:line="240" w:lineRule="auto"/>
              <w:jc w:val="left"/>
            </w:pPr>
            <w:r>
              <w:rPr>
                <w:sz w:val="16"/>
              </w:rPr>
              <w:t xml:space="preserve">SVR (RBF)</w:t>
            </w:r>
          </w:p>
        </w:tc>
        <w:tc>
          <w:tcPr/>
          <w:p>
            <w:pPr>
              <w:pStyle w:val="Compact"/>
              <w:spacing w:after="0" w:before="0" w:line="240" w:lineRule="auto"/>
              <w:jc w:val="center"/>
            </w:pPr>
            <w:r>
              <w:rPr>
                <w:sz w:val="16"/>
              </w:rPr>
              <w:t xml:space="preserve">478.0 (16.0)</w:t>
            </w:r>
          </w:p>
        </w:tc>
        <w:tc>
          <w:tcPr/>
          <w:p>
            <w:pPr>
              <w:pStyle w:val="Compact"/>
              <w:spacing w:after="0" w:before="0" w:line="240" w:lineRule="auto"/>
              <w:jc w:val="center"/>
            </w:pPr>
            <w:r>
              <w:rPr>
                <w:sz w:val="16"/>
              </w:rPr>
              <w:t xml:space="preserve">21.86 (0.37)</w:t>
            </w:r>
          </w:p>
        </w:tc>
        <w:tc>
          <w:tcPr/>
          <w:p>
            <w:pPr>
              <w:pStyle w:val="Compact"/>
              <w:spacing w:after="0" w:before="0" w:line="240" w:lineRule="auto"/>
              <w:jc w:val="center"/>
            </w:pPr>
            <w:r>
              <w:rPr>
                <w:sz w:val="16"/>
              </w:rPr>
              <w:t xml:space="preserve">17.33 (0.35)</w:t>
            </w:r>
          </w:p>
        </w:tc>
        <w:tc>
          <w:tcPr/>
          <w:p>
            <w:pPr>
              <w:pStyle w:val="Compact"/>
              <w:spacing w:after="0" w:before="0" w:line="240" w:lineRule="auto"/>
              <w:jc w:val="center"/>
            </w:pPr>
            <w:r>
              <w:rPr>
                <w:sz w:val="16"/>
              </w:rPr>
              <w:t xml:space="preserve">0.242 (0.027)</w:t>
            </w:r>
          </w:p>
        </w:tc>
        <w:tc>
          <w:tcPr/>
          <w:p>
            <w:pPr>
              <w:pStyle w:val="Compact"/>
              <w:spacing w:after="0" w:before="0" w:line="240" w:lineRule="auto"/>
              <w:jc w:val="center"/>
            </w:pPr>
            <w:r>
              <w:rPr>
                <w:sz w:val="16"/>
              </w:rPr>
              <w:t xml:space="preserve">-5.48</w:t>
            </w:r>
          </w:p>
        </w:tc>
        <w:tc>
          <w:tcPr/>
          <w:p>
            <w:pPr>
              <w:pStyle w:val="Compact"/>
              <w:spacing w:after="0" w:before="0" w:line="240" w:lineRule="auto"/>
              <w:jc w:val="center"/>
            </w:pPr>
            <w:r>
              <w:rPr>
                <w:sz w:val="16"/>
              </w:rPr>
              <w:t xml:space="preserve">&lt;0.001</w:t>
            </w:r>
          </w:p>
        </w:tc>
      </w:tr>
      <w:tr>
        <w:tc>
          <w:tcPr/>
          <w:p>
            <w:pPr>
              <w:pStyle w:val="Compact"/>
              <w:spacing w:after="0" w:before="0" w:line="240" w:lineRule="auto"/>
              <w:jc w:val="left"/>
            </w:pPr>
            <w:r>
              <w:rPr>
                <w:sz w:val="16"/>
              </w:rPr>
              <w:t xml:space="preserve">Fuzzy HFIS (calibrated)</w:t>
            </w:r>
          </w:p>
        </w:tc>
        <w:tc>
          <w:tcPr/>
          <w:p>
            <w:pPr>
              <w:pStyle w:val="Compact"/>
              <w:spacing w:after="0" w:before="0" w:line="240" w:lineRule="auto"/>
              <w:jc w:val="center"/>
            </w:pPr>
            <w:r>
              <w:rPr>
                <w:sz w:val="16"/>
              </w:rPr>
              <w:t xml:space="preserve">533.6 (19.2)</w:t>
            </w:r>
          </w:p>
        </w:tc>
        <w:tc>
          <w:tcPr/>
          <w:p>
            <w:pPr>
              <w:pStyle w:val="Compact"/>
              <w:spacing w:after="0" w:before="0" w:line="240" w:lineRule="auto"/>
              <w:jc w:val="center"/>
            </w:pPr>
            <w:r>
              <w:rPr>
                <w:sz w:val="16"/>
              </w:rPr>
              <w:t xml:space="preserve">23.10 (0.42)</w:t>
            </w:r>
          </w:p>
        </w:tc>
        <w:tc>
          <w:tcPr/>
          <w:p>
            <w:pPr>
              <w:pStyle w:val="Compact"/>
              <w:spacing w:after="0" w:before="0" w:line="240" w:lineRule="auto"/>
              <w:jc w:val="center"/>
            </w:pPr>
            <w:r>
              <w:rPr>
                <w:sz w:val="16"/>
              </w:rPr>
              <w:t xml:space="preserve">18.70 (0.39)</w:t>
            </w:r>
          </w:p>
        </w:tc>
        <w:tc>
          <w:tcPr/>
          <w:p>
            <w:pPr>
              <w:pStyle w:val="Compact"/>
              <w:spacing w:after="0" w:before="0" w:line="240" w:lineRule="auto"/>
              <w:jc w:val="center"/>
            </w:pPr>
            <w:r>
              <w:rPr>
                <w:sz w:val="16"/>
              </w:rPr>
              <w:t xml:space="preserve">0.155 (0.021)</w:t>
            </w:r>
          </w:p>
        </w:tc>
        <w:tc>
          <w:tcPr/>
          <w:p>
            <w:pPr>
              <w:pStyle w:val="Compact"/>
              <w:spacing w:after="0" w:before="0" w:line="240" w:lineRule="auto"/>
              <w:jc w:val="center"/>
            </w:pPr>
            <w:r>
              <w:rPr>
                <w:sz w:val="16"/>
              </w:rPr>
              <w:t xml:space="preserve">-16.38</w:t>
            </w:r>
          </w:p>
        </w:tc>
        <w:tc>
          <w:tcPr/>
          <w:p>
            <w:pPr>
              <w:pStyle w:val="Compact"/>
              <w:spacing w:after="0" w:before="0" w:line="240" w:lineRule="auto"/>
              <w:jc w:val="center"/>
            </w:pPr>
            <w:r>
              <w:rPr>
                <w:sz w:val="16"/>
              </w:rPr>
              <w:t xml:space="preserve">&lt;0.001</w:t>
            </w:r>
          </w:p>
        </w:tc>
      </w:tr>
    </w:tbl>
    <w:p>
      <w:pPr>
        <w:pStyle w:val="CaptionedFigure"/>
      </w:pPr>
      <w:r>
        <w:drawing>
          <wp:inline>
            <wp:extent cx="5334000" cy="1761755"/>
            <wp:effectExtent b="0" l="0" r="0" t="0"/>
            <wp:docPr descr="" title="" id="79" name="Picture"/>
            <a:graphic>
              <a:graphicData uri="http://schemas.openxmlformats.org/drawingml/2006/picture">
                <pic:pic>
                  <pic:nvPicPr>
                    <pic:cNvPr descr="/home/user/Data-Visualization/ai-teacher-feasibility/results/figures/fig6_model_comparison.png" id="80" name="Picture"/>
                    <pic:cNvPicPr>
                      <a:picLocks noChangeArrowheads="1" noChangeAspect="1"/>
                    </pic:cNvPicPr>
                  </pic:nvPicPr>
                  <pic:blipFill>
                    <a:blip r:embed="rId78"/>
                    <a:stretch>
                      <a:fillRect/>
                    </a:stretch>
                  </pic:blipFill>
                  <pic:spPr bwMode="auto">
                    <a:xfrm>
                      <a:off x="0" y="0"/>
                      <a:ext cx="5334000" cy="1761755"/>
                    </a:xfrm>
                    <a:prstGeom prst="rect">
                      <a:avLst/>
                    </a:prstGeom>
                    <a:noFill/>
                    <a:ln w="9525">
                      <a:noFill/>
                      <a:headEnd/>
                      <a:tailEnd/>
                    </a:ln>
                  </pic:spPr>
                </pic:pic>
              </a:graphicData>
            </a:graphic>
          </wp:inline>
        </w:drawing>
      </w:r>
    </w:p>
    <w:p>
      <w:pPr>
        <w:pStyle w:val="ImageCaption"/>
      </w:pPr>
      <w:r>
        <w:t xml:space="preserve">Fig. 7. Out-of-fold (a) RMSE and (b)</w:t>
      </w:r>
      <w:r>
        <w:t xml:space="preserve"> </w:t>
      </w:r>
      <m:oMath>
        <m:sSup>
          <m:e>
            <m:r>
              <m:t>R</m:t>
            </m:r>
          </m:e>
          <m:sup>
            <m:r>
              <m:t>2</m:t>
            </m:r>
          </m:sup>
        </m:sSup>
      </m:oMath>
      <w:r>
        <w:t xml:space="preserve"> </w:t>
      </w:r>
      <w:r>
        <w:t xml:space="preserve">for the TSI over 30 cross-validation folds (dots) and their means (vertical bars). The ANN variants are highlighted.</w:t>
      </w:r>
    </w:p>
    <w:bookmarkEnd w:id="81"/>
    <w:bookmarkStart w:id="85" w:name="determinants-of-feasibility-rq2"/>
    <w:p>
      <w:pPr>
        <w:pStyle w:val="Heading2"/>
      </w:pPr>
      <w:r>
        <w:rPr>
          <w:rStyle w:val="SectionNumber"/>
        </w:rPr>
        <w:t xml:space="preserve">5.6</w:t>
      </w:r>
      <w:r>
        <w:tab/>
      </w:r>
      <w:r>
        <w:t xml:space="preserve">Determinants of feasibility (RQ2)</w:t>
      </w:r>
    </w:p>
    <w:p>
      <w:pPr>
        <w:pStyle w:val="FirstParagraph"/>
      </w:pPr>
      <w:r>
        <w:t xml:space="preserve">Reliability was the most influential factor in both views (Table 8, Fig. 8). In the ANN, permuting reliability reduced</w:t>
      </w:r>
      <w:r>
        <w:t xml:space="preserve"> </w:t>
      </w:r>
      <m:oMath>
        <m:sSup>
          <m:e>
            <m:r>
              <m:t>R</m:t>
            </m:r>
          </m:e>
          <m:sup>
            <m:r>
              <m:t>2</m:t>
            </m:r>
          </m:sup>
        </m:sSup>
      </m:oMath>
      <w:r>
        <w:t xml:space="preserve"> </w:t>
      </w:r>
      <w:r>
        <w:t xml:space="preserve">by 0.094. Assessment capability (0.075), personalization (0.045) and student engagement (0.045) followed. Teaching effectiveness, adaptability, ethical suitability and communication added little</w:t>
      </w:r>
      <w:r>
        <w:t xml:space="preserve"> </w:t>
      </w:r>
      <w:r>
        <w:rPr>
          <w:iCs/>
          <w:i/>
        </w:rPr>
        <w:t xml:space="preserve">unique</w:t>
      </w:r>
      <w:r>
        <w:t xml:space="preserve"> </w:t>
      </w:r>
      <w:r>
        <w:t xml:space="preserve">predictive information once the other factors were known. This reflects their correlation with the remaining factors rather than irrelevance: teaching effectiveness, for example, correlated</w:t>
      </w:r>
      <w:r>
        <w:t xml:space="preserve"> </w:t>
      </w:r>
      <m:oMath>
        <m:r>
          <m:t>ρ</m:t>
        </m:r>
        <m:r>
          <m:rPr>
            <m:sty m:val="p"/>
          </m:rPr>
          <m:t>=</m:t>
        </m:r>
        <m:r>
          <m:t>0.20</m:t>
        </m:r>
      </m:oMath>
      <w:r>
        <w:t xml:space="preserve"> </w:t>
      </w:r>
      <w:r>
        <w:t xml:space="preserve">with the TSI. In the fuzzy system, reliability was likewise the strongest lever (+1 SD raised TRFS by 6.46 points). Ethical suitability came second (3.49), because the rule base treats low trust as a veto. The two importance rankings agreed only moderately (Kendall’s</w:t>
      </w:r>
      <w:r>
        <w:t xml:space="preserve"> </w:t>
      </w:r>
      <m:oMath>
        <m:r>
          <m:t>τ</m:t>
        </m:r>
        <m:r>
          <m:rPr>
            <m:sty m:val="p"/>
          </m:rPr>
          <m:t>=</m:t>
        </m:r>
        <m:r>
          <m:t>0.21</m:t>
        </m:r>
      </m:oMath>
      <w:r>
        <w:t xml:space="preserve">). The main disagreement concerns ethics: the expert-designed rules weight it heavily, whereas students’ substitution judgements are almost unrelated to it (</w:t>
      </w:r>
      <m:oMath>
        <m:r>
          <m:t>ρ</m:t>
        </m:r>
        <m:r>
          <m:rPr>
            <m:sty m:val="p"/>
          </m:rPr>
          <m:t>=</m:t>
        </m:r>
        <m:r>
          <m:t>0.09</m:t>
        </m:r>
      </m:oMath>
      <w:r>
        <w:t xml:space="preserve">). We discuss this normative–empirical gap below.</w:t>
      </w:r>
    </w:p>
    <w:p>
      <w:pPr>
        <w:pStyle w:val="TableCaption"/>
      </w:pPr>
      <w:r>
        <w:t xml:space="preserve">Table 8. Factor importance.</w:t>
      </w:r>
      <w:r>
        <w:t xml:space="preserve"> </w:t>
      </w:r>
      <m:oMath>
        <m:r>
          <m:t>ρ</m:t>
        </m:r>
      </m:oMath>
      <w:r>
        <w:t xml:space="preserve">: Spearman correlation with TSI. ANN: mean (SD) drop in out-of-fold</w:t>
      </w:r>
      <w:r>
        <w:t xml:space="preserve"> </w:t>
      </w:r>
      <m:oMath>
        <m:sSup>
          <m:e>
            <m:r>
              <m:t>R</m:t>
            </m:r>
          </m:e>
          <m:sup>
            <m:r>
              <m:t>2</m:t>
            </m:r>
          </m:sup>
        </m:sSup>
      </m:oMath>
      <w:r>
        <w:t xml:space="preserve"> </w:t>
      </w:r>
      <w:r>
        <w:t xml:space="preserve">when the factor is permuted (5 folds</w:t>
      </w:r>
      <w:r>
        <w:t xml:space="preserve"> </w:t>
      </w:r>
      <m:oMath>
        <m:r>
          <m:rPr>
            <m:sty m:val="p"/>
          </m:rPr>
          <m:t>×</m:t>
        </m:r>
      </m:oMath>
      <w:r>
        <w:t xml:space="preserve"> </w:t>
      </w:r>
      <w:r>
        <w:t xml:space="preserve">10 permutations). FIS: mean change in TRFS when the factor is raised by one SD.</w:t>
      </w:r>
    </w:p>
    <w:tbl>
      <w:tblPr>
        <w:tblStyle w:val="Table"/>
        <w:tblLook w:firstRow="1" w:lastRow="0" w:firstColumn="0" w:lastColumn="0" w:noHBand="0" w:noVBand="0" w:val="0020"/>
        <w:jc w:val="start"/>
        <w:tblCaption w:val="Table 8. Factor importance. \rho: Spearman correlation with TSI. ANN: mean (SD) drop in out-of-fold R^2 when the factor is permuted (5 folds \times 10 permutations). FIS: mean change in TRFS when the factor is raised by one SD."/>
        <w:tblW w:w="5000" w:type="pct"/>
        <w:tblLayout w:type="autofit"/>
        <w:tblBorders>
          <w:top w:val="single" w:sz="12" w:space="0" w:color="000000"/>
          <w:bottom w:val="single" w:sz="12" w:space="0" w:color="000000"/>
        </w:tblBorders>
      </w:tblPr>
      <w:tblGrid>
        <w:gridCol/>
        <w:gridCol/>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Factor</w:t>
            </w:r>
          </w:p>
        </w:tc>
        <w:tc>
          <w:tcPr>
            <w:tcBorders>
              <w:bottom w:val="single" w:sz="6" w:space="0" w:color="000000"/>
            </w:tcBorders>
          </w:tcPr>
          <w:p>
            <w:pPr>
              <w:pStyle w:val="Compact"/>
              <w:spacing w:after="0" w:before="0" w:line="240" w:lineRule="auto"/>
              <w:jc w:val="center"/>
            </w:pPr>
            <m:oMath>
              <m:r>
                <m:t>ρ</m:t>
              </m:r>
            </m:oMath>
          </w:p>
        </w:tc>
        <w:tc>
          <w:tcPr>
            <w:tcBorders>
              <w:bottom w:val="single" w:sz="6" w:space="0" w:color="000000"/>
            </w:tcBorders>
          </w:tcPr>
          <w:p>
            <w:pPr>
              <w:pStyle w:val="Compact"/>
              <w:spacing w:after="0" w:before="0" w:line="240" w:lineRule="auto"/>
              <w:jc w:val="center"/>
            </w:pPr>
            <w:r>
              <w:rPr>
                <w:b/>
                <w:sz w:val="16"/>
              </w:rPr>
              <w:t xml:space="preserve">ANN</w:t>
            </w:r>
            <w:r>
              <w:rPr>
                <w:b/>
                <w:sz w:val="16"/>
              </w:rPr>
              <w:t xml:space="preserve"> </w:t>
            </w:r>
            <m:oMath>
              <m:r>
                <m:t>Δ</m:t>
              </m:r>
              <m:sSup>
                <m:e>
                  <m:r>
                    <m:t>R</m:t>
                  </m:r>
                </m:e>
                <m:sup>
                  <m:r>
                    <m:t>2</m:t>
                  </m:r>
                </m:sup>
              </m:sSup>
            </m:oMath>
          </w:p>
        </w:tc>
        <w:tc>
          <w:tcPr>
            <w:tcBorders>
              <w:bottom w:val="single" w:sz="6" w:space="0" w:color="000000"/>
            </w:tcBorders>
          </w:tcPr>
          <w:p>
            <w:pPr>
              <w:pStyle w:val="Compact"/>
              <w:spacing w:after="0" w:before="0" w:line="240" w:lineRule="auto"/>
              <w:jc w:val="center"/>
            </w:pPr>
            <w:r>
              <w:rPr>
                <w:b/>
                <w:sz w:val="16"/>
              </w:rPr>
              <w:t xml:space="preserve">Rank</w:t>
            </w:r>
          </w:p>
        </w:tc>
        <w:tc>
          <w:tcPr>
            <w:tcBorders>
              <w:bottom w:val="single" w:sz="6" w:space="0" w:color="000000"/>
            </w:tcBorders>
          </w:tcPr>
          <w:p>
            <w:pPr>
              <w:pStyle w:val="Compact"/>
              <w:spacing w:after="0" w:before="0" w:line="240" w:lineRule="auto"/>
              <w:jc w:val="center"/>
            </w:pPr>
            <w:r>
              <w:rPr>
                <w:b/>
                <w:sz w:val="16"/>
              </w:rPr>
              <w:t xml:space="preserve">FIS</w:t>
            </w:r>
            <w:r>
              <w:rPr>
                <w:b/>
                <w:sz w:val="16"/>
              </w:rPr>
              <w:t xml:space="preserve"> </w:t>
            </w:r>
            <m:oMath>
              <m:r>
                <m:t>Δ</m:t>
              </m:r>
            </m:oMath>
            <w:r>
              <w:rPr>
                <w:b/>
                <w:sz w:val="16"/>
              </w:rPr>
              <w:t xml:space="preserve">TRFS</w:t>
            </w:r>
          </w:p>
        </w:tc>
        <w:tc>
          <w:tcPr>
            <w:tcBorders>
              <w:bottom w:val="single" w:sz="6" w:space="0" w:color="000000"/>
            </w:tcBorders>
          </w:tcPr>
          <w:p>
            <w:pPr>
              <w:pStyle w:val="Compact"/>
              <w:spacing w:after="0" w:before="0" w:line="240" w:lineRule="auto"/>
              <w:jc w:val="center"/>
            </w:pPr>
            <w:r>
              <w:rPr>
                <w:b/>
                <w:sz w:val="16"/>
              </w:rPr>
              <w:t xml:space="preserve">Rank</w:t>
            </w:r>
          </w:p>
        </w:tc>
      </w:tr>
      <w:tr>
        <w:tc>
          <w:tcPr/>
          <w:p>
            <w:pPr>
              <w:pStyle w:val="Compact"/>
              <w:spacing w:after="0" w:before="0" w:line="240" w:lineRule="auto"/>
              <w:jc w:val="left"/>
            </w:pPr>
            <w:r>
              <w:rPr>
                <w:sz w:val="16"/>
              </w:rPr>
              <w:t xml:space="preserve">Reliability (R)</w:t>
            </w:r>
          </w:p>
        </w:tc>
        <w:tc>
          <w:tcPr/>
          <w:p>
            <w:pPr>
              <w:pStyle w:val="Compact"/>
              <w:spacing w:after="0" w:before="0" w:line="240" w:lineRule="auto"/>
              <w:jc w:val="center"/>
            </w:pPr>
            <w:r>
              <w:rPr>
                <w:sz w:val="16"/>
              </w:rPr>
              <w:t xml:space="preserve">0.36</w:t>
            </w:r>
          </w:p>
        </w:tc>
        <w:tc>
          <w:tcPr/>
          <w:p>
            <w:pPr>
              <w:pStyle w:val="Compact"/>
              <w:spacing w:after="0" w:before="0" w:line="240" w:lineRule="auto"/>
              <w:jc w:val="center"/>
            </w:pPr>
            <w:r>
              <w:rPr>
                <w:sz w:val="16"/>
              </w:rPr>
              <w:t xml:space="preserve">0.094 (0.004)</w:t>
            </w:r>
          </w:p>
        </w:tc>
        <w:tc>
          <w:tcPr/>
          <w:p>
            <w:pPr>
              <w:pStyle w:val="Compact"/>
              <w:spacing w:after="0" w:before="0" w:line="240" w:lineRule="auto"/>
              <w:jc w:val="center"/>
            </w:pPr>
            <w:r>
              <w:rPr>
                <w:sz w:val="16"/>
              </w:rPr>
              <w:t xml:space="preserve">1</w:t>
            </w:r>
          </w:p>
        </w:tc>
        <w:tc>
          <w:tcPr/>
          <w:p>
            <w:pPr>
              <w:pStyle w:val="Compact"/>
              <w:spacing w:after="0" w:before="0" w:line="240" w:lineRule="auto"/>
              <w:jc w:val="center"/>
            </w:pPr>
            <w:r>
              <w:rPr>
                <w:sz w:val="16"/>
              </w:rPr>
              <w:t xml:space="preserve">6.46</w:t>
            </w:r>
          </w:p>
        </w:tc>
        <w:tc>
          <w:tcPr/>
          <w:p>
            <w:pPr>
              <w:pStyle w:val="Compact"/>
              <w:spacing w:after="0" w:before="0" w:line="240" w:lineRule="auto"/>
              <w:jc w:val="center"/>
            </w:pPr>
            <w:r>
              <w:rPr>
                <w:sz w:val="16"/>
              </w:rPr>
              <w:t xml:space="preserve">1</w:t>
            </w:r>
          </w:p>
        </w:tc>
      </w:tr>
      <w:tr>
        <w:tc>
          <w:tcPr/>
          <w:p>
            <w:pPr>
              <w:pStyle w:val="Compact"/>
              <w:spacing w:after="0" w:before="0" w:line="240" w:lineRule="auto"/>
              <w:jc w:val="left"/>
            </w:pPr>
            <w:r>
              <w:rPr>
                <w:sz w:val="16"/>
              </w:rPr>
              <w:t xml:space="preserve">Assessment capability (AC)</w:t>
            </w:r>
          </w:p>
        </w:tc>
        <w:tc>
          <w:tcPr/>
          <w:p>
            <w:pPr>
              <w:pStyle w:val="Compact"/>
              <w:spacing w:after="0" w:before="0" w:line="240" w:lineRule="auto"/>
              <w:jc w:val="center"/>
            </w:pPr>
            <w:r>
              <w:rPr>
                <w:sz w:val="16"/>
              </w:rPr>
              <w:t xml:space="preserve">0.40</w:t>
            </w:r>
          </w:p>
        </w:tc>
        <w:tc>
          <w:tcPr/>
          <w:p>
            <w:pPr>
              <w:pStyle w:val="Compact"/>
              <w:spacing w:after="0" w:before="0" w:line="240" w:lineRule="auto"/>
              <w:jc w:val="center"/>
            </w:pPr>
            <w:r>
              <w:rPr>
                <w:sz w:val="16"/>
              </w:rPr>
              <w:t xml:space="preserve">0.075 (0.006)</w:t>
            </w:r>
          </w:p>
        </w:tc>
        <w:tc>
          <w:tcPr/>
          <w:p>
            <w:pPr>
              <w:pStyle w:val="Compact"/>
              <w:spacing w:after="0" w:before="0" w:line="240" w:lineRule="auto"/>
              <w:jc w:val="center"/>
            </w:pPr>
            <w:r>
              <w:rPr>
                <w:sz w:val="16"/>
              </w:rPr>
              <w:t xml:space="preserve">2</w:t>
            </w:r>
          </w:p>
        </w:tc>
        <w:tc>
          <w:tcPr/>
          <w:p>
            <w:pPr>
              <w:pStyle w:val="Compact"/>
              <w:spacing w:after="0" w:before="0" w:line="240" w:lineRule="auto"/>
              <w:jc w:val="center"/>
            </w:pPr>
            <w:r>
              <w:rPr>
                <w:sz w:val="16"/>
              </w:rPr>
              <w:t xml:space="preserve">1.31</w:t>
            </w:r>
          </w:p>
        </w:tc>
        <w:tc>
          <w:tcPr/>
          <w:p>
            <w:pPr>
              <w:pStyle w:val="Compact"/>
              <w:spacing w:after="0" w:before="0" w:line="240" w:lineRule="auto"/>
              <w:jc w:val="center"/>
            </w:pPr>
            <w:r>
              <w:rPr>
                <w:sz w:val="16"/>
              </w:rPr>
              <w:t xml:space="preserve">3</w:t>
            </w:r>
          </w:p>
        </w:tc>
      </w:tr>
      <w:tr>
        <w:tc>
          <w:tcPr/>
          <w:p>
            <w:pPr>
              <w:pStyle w:val="Compact"/>
              <w:spacing w:after="0" w:before="0" w:line="240" w:lineRule="auto"/>
              <w:jc w:val="left"/>
            </w:pPr>
            <w:r>
              <w:rPr>
                <w:sz w:val="16"/>
              </w:rPr>
              <w:t xml:space="preserve">Student engagement (SE)</w:t>
            </w:r>
          </w:p>
        </w:tc>
        <w:tc>
          <w:tcPr/>
          <w:p>
            <w:pPr>
              <w:pStyle w:val="Compact"/>
              <w:spacing w:after="0" w:before="0" w:line="240" w:lineRule="auto"/>
              <w:jc w:val="center"/>
            </w:pPr>
            <w:r>
              <w:rPr>
                <w:sz w:val="16"/>
              </w:rPr>
              <w:t xml:space="preserve">0.35</w:t>
            </w:r>
          </w:p>
        </w:tc>
        <w:tc>
          <w:tcPr/>
          <w:p>
            <w:pPr>
              <w:pStyle w:val="Compact"/>
              <w:spacing w:after="0" w:before="0" w:line="240" w:lineRule="auto"/>
              <w:jc w:val="center"/>
            </w:pPr>
            <w:r>
              <w:rPr>
                <w:sz w:val="16"/>
              </w:rPr>
              <w:t xml:space="preserve">0.045 (0.005)</w:t>
            </w:r>
          </w:p>
        </w:tc>
        <w:tc>
          <w:tcPr/>
          <w:p>
            <w:pPr>
              <w:pStyle w:val="Compact"/>
              <w:spacing w:after="0" w:before="0" w:line="240" w:lineRule="auto"/>
              <w:jc w:val="center"/>
            </w:pPr>
            <w:r>
              <w:rPr>
                <w:sz w:val="16"/>
              </w:rPr>
              <w:t xml:space="preserve">3</w:t>
            </w:r>
          </w:p>
        </w:tc>
        <w:tc>
          <w:tcPr/>
          <w:p>
            <w:pPr>
              <w:pStyle w:val="Compact"/>
              <w:spacing w:after="0" w:before="0" w:line="240" w:lineRule="auto"/>
              <w:jc w:val="center"/>
            </w:pPr>
            <w:r>
              <w:rPr>
                <w:sz w:val="16"/>
              </w:rPr>
              <w:t xml:space="preserve">0.67</w:t>
            </w:r>
          </w:p>
        </w:tc>
        <w:tc>
          <w:tcPr/>
          <w:p>
            <w:pPr>
              <w:pStyle w:val="Compact"/>
              <w:spacing w:after="0" w:before="0" w:line="240" w:lineRule="auto"/>
              <w:jc w:val="center"/>
            </w:pPr>
            <w:r>
              <w:rPr>
                <w:sz w:val="16"/>
              </w:rPr>
              <w:t xml:space="preserve">7</w:t>
            </w:r>
          </w:p>
        </w:tc>
      </w:tr>
      <w:tr>
        <w:tc>
          <w:tcPr/>
          <w:p>
            <w:pPr>
              <w:pStyle w:val="Compact"/>
              <w:spacing w:after="0" w:before="0" w:line="240" w:lineRule="auto"/>
              <w:jc w:val="left"/>
            </w:pPr>
            <w:r>
              <w:rPr>
                <w:sz w:val="16"/>
              </w:rPr>
              <w:t xml:space="preserve">Personalization (P)</w:t>
            </w:r>
          </w:p>
        </w:tc>
        <w:tc>
          <w:tcPr/>
          <w:p>
            <w:pPr>
              <w:pStyle w:val="Compact"/>
              <w:spacing w:after="0" w:before="0" w:line="240" w:lineRule="auto"/>
              <w:jc w:val="center"/>
            </w:pPr>
            <w:r>
              <w:rPr>
                <w:sz w:val="16"/>
              </w:rPr>
              <w:t xml:space="preserve">0.39</w:t>
            </w:r>
          </w:p>
        </w:tc>
        <w:tc>
          <w:tcPr/>
          <w:p>
            <w:pPr>
              <w:pStyle w:val="Compact"/>
              <w:spacing w:after="0" w:before="0" w:line="240" w:lineRule="auto"/>
              <w:jc w:val="center"/>
            </w:pPr>
            <w:r>
              <w:rPr>
                <w:sz w:val="16"/>
              </w:rPr>
              <w:t xml:space="preserve">0.045 (0.008)</w:t>
            </w:r>
          </w:p>
        </w:tc>
        <w:tc>
          <w:tcPr/>
          <w:p>
            <w:pPr>
              <w:pStyle w:val="Compact"/>
              <w:spacing w:after="0" w:before="0" w:line="240" w:lineRule="auto"/>
              <w:jc w:val="center"/>
            </w:pPr>
            <w:r>
              <w:rPr>
                <w:sz w:val="16"/>
              </w:rPr>
              <w:t xml:space="preserve">4</w:t>
            </w:r>
          </w:p>
        </w:tc>
        <w:tc>
          <w:tcPr/>
          <w:p>
            <w:pPr>
              <w:pStyle w:val="Compact"/>
              <w:spacing w:after="0" w:before="0" w:line="240" w:lineRule="auto"/>
              <w:jc w:val="center"/>
            </w:pPr>
            <w:r>
              <w:rPr>
                <w:sz w:val="16"/>
              </w:rPr>
              <w:t xml:space="preserve">1.04</w:t>
            </w:r>
          </w:p>
        </w:tc>
        <w:tc>
          <w:tcPr/>
          <w:p>
            <w:pPr>
              <w:pStyle w:val="Compact"/>
              <w:spacing w:after="0" w:before="0" w:line="240" w:lineRule="auto"/>
              <w:jc w:val="center"/>
            </w:pPr>
            <w:r>
              <w:rPr>
                <w:sz w:val="16"/>
              </w:rPr>
              <w:t xml:space="preserve">5</w:t>
            </w:r>
          </w:p>
        </w:tc>
      </w:tr>
      <w:tr>
        <w:tc>
          <w:tcPr/>
          <w:p>
            <w:pPr>
              <w:pStyle w:val="Compact"/>
              <w:spacing w:after="0" w:before="0" w:line="240" w:lineRule="auto"/>
              <w:jc w:val="left"/>
            </w:pPr>
            <w:r>
              <w:rPr>
                <w:sz w:val="16"/>
              </w:rPr>
              <w:t xml:space="preserve">Teaching effectiveness (TE)</w:t>
            </w:r>
          </w:p>
        </w:tc>
        <w:tc>
          <w:tcPr/>
          <w:p>
            <w:pPr>
              <w:pStyle w:val="Compact"/>
              <w:spacing w:after="0" w:before="0" w:line="240" w:lineRule="auto"/>
              <w:jc w:val="center"/>
            </w:pPr>
            <w:r>
              <w:rPr>
                <w:sz w:val="16"/>
              </w:rPr>
              <w:t xml:space="preserve">0.20</w:t>
            </w:r>
          </w:p>
        </w:tc>
        <w:tc>
          <w:tcPr/>
          <w:p>
            <w:pPr>
              <w:pStyle w:val="Compact"/>
              <w:spacing w:after="0" w:before="0" w:line="240" w:lineRule="auto"/>
              <w:jc w:val="center"/>
            </w:pPr>
            <w:r>
              <w:rPr>
                <w:sz w:val="16"/>
              </w:rPr>
              <w:t xml:space="preserve">0.020 (0.003)</w:t>
            </w:r>
          </w:p>
        </w:tc>
        <w:tc>
          <w:tcPr/>
          <w:p>
            <w:pPr>
              <w:pStyle w:val="Compact"/>
              <w:spacing w:after="0" w:before="0" w:line="240" w:lineRule="auto"/>
              <w:jc w:val="center"/>
            </w:pPr>
            <w:r>
              <w:rPr>
                <w:sz w:val="16"/>
              </w:rPr>
              <w:t xml:space="preserve">5</w:t>
            </w:r>
          </w:p>
        </w:tc>
        <w:tc>
          <w:tcPr/>
          <w:p>
            <w:pPr>
              <w:pStyle w:val="Compact"/>
              <w:spacing w:after="0" w:before="0" w:line="240" w:lineRule="auto"/>
              <w:jc w:val="center"/>
            </w:pPr>
            <w:r>
              <w:rPr>
                <w:sz w:val="16"/>
              </w:rPr>
              <w:t xml:space="preserve">0.58</w:t>
            </w:r>
          </w:p>
        </w:tc>
        <w:tc>
          <w:tcPr/>
          <w:p>
            <w:pPr>
              <w:pStyle w:val="Compact"/>
              <w:spacing w:after="0" w:before="0" w:line="240" w:lineRule="auto"/>
              <w:jc w:val="center"/>
            </w:pPr>
            <w:r>
              <w:rPr>
                <w:sz w:val="16"/>
              </w:rPr>
              <w:t xml:space="preserve">8</w:t>
            </w:r>
          </w:p>
        </w:tc>
      </w:tr>
      <w:tr>
        <w:tc>
          <w:tcPr/>
          <w:p>
            <w:pPr>
              <w:pStyle w:val="Compact"/>
              <w:spacing w:after="0" w:before="0" w:line="240" w:lineRule="auto"/>
              <w:jc w:val="left"/>
            </w:pPr>
            <w:r>
              <w:rPr>
                <w:sz w:val="16"/>
              </w:rPr>
              <w:t xml:space="preserve">Adaptability (A)</w:t>
            </w:r>
          </w:p>
        </w:tc>
        <w:tc>
          <w:tcPr/>
          <w:p>
            <w:pPr>
              <w:pStyle w:val="Compact"/>
              <w:spacing w:after="0" w:before="0" w:line="240" w:lineRule="auto"/>
              <w:jc w:val="center"/>
            </w:pPr>
            <w:r>
              <w:rPr>
                <w:sz w:val="16"/>
              </w:rPr>
              <w:t xml:space="preserve">0.28</w:t>
            </w:r>
          </w:p>
        </w:tc>
        <w:tc>
          <w:tcPr/>
          <w:p>
            <w:pPr>
              <w:pStyle w:val="Compact"/>
              <w:spacing w:after="0" w:before="0" w:line="240" w:lineRule="auto"/>
              <w:jc w:val="center"/>
            </w:pPr>
            <w:r>
              <w:rPr>
                <w:sz w:val="16"/>
              </w:rPr>
              <w:t xml:space="preserve">0.016 (0.004)</w:t>
            </w:r>
          </w:p>
        </w:tc>
        <w:tc>
          <w:tcPr/>
          <w:p>
            <w:pPr>
              <w:pStyle w:val="Compact"/>
              <w:spacing w:after="0" w:before="0" w:line="240" w:lineRule="auto"/>
              <w:jc w:val="center"/>
            </w:pPr>
            <w:r>
              <w:rPr>
                <w:sz w:val="16"/>
              </w:rPr>
              <w:t xml:space="preserve">6</w:t>
            </w:r>
          </w:p>
        </w:tc>
        <w:tc>
          <w:tcPr/>
          <w:p>
            <w:pPr>
              <w:pStyle w:val="Compact"/>
              <w:spacing w:after="0" w:before="0" w:line="240" w:lineRule="auto"/>
              <w:jc w:val="center"/>
            </w:pPr>
            <w:r>
              <w:rPr>
                <w:sz w:val="16"/>
              </w:rPr>
              <w:t xml:space="preserve">1.20</w:t>
            </w:r>
          </w:p>
        </w:tc>
        <w:tc>
          <w:tcPr/>
          <w:p>
            <w:pPr>
              <w:pStyle w:val="Compact"/>
              <w:spacing w:after="0" w:before="0" w:line="240" w:lineRule="auto"/>
              <w:jc w:val="center"/>
            </w:pPr>
            <w:r>
              <w:rPr>
                <w:sz w:val="16"/>
              </w:rPr>
              <w:t xml:space="preserve">4</w:t>
            </w:r>
          </w:p>
        </w:tc>
      </w:tr>
      <w:tr>
        <w:tc>
          <w:tcPr/>
          <w:p>
            <w:pPr>
              <w:pStyle w:val="Compact"/>
              <w:spacing w:after="0" w:before="0" w:line="240" w:lineRule="auto"/>
              <w:jc w:val="left"/>
            </w:pPr>
            <w:r>
              <w:rPr>
                <w:sz w:val="16"/>
              </w:rPr>
              <w:t xml:space="preserve">Ethical suitability (E)</w:t>
            </w:r>
          </w:p>
        </w:tc>
        <w:tc>
          <w:tcPr/>
          <w:p>
            <w:pPr>
              <w:pStyle w:val="Compact"/>
              <w:spacing w:after="0" w:before="0" w:line="240" w:lineRule="auto"/>
              <w:jc w:val="center"/>
            </w:pPr>
            <w:r>
              <w:rPr>
                <w:sz w:val="16"/>
              </w:rPr>
              <w:t xml:space="preserve">0.09</w:t>
            </w:r>
          </w:p>
        </w:tc>
        <w:tc>
          <w:tcPr/>
          <w:p>
            <w:pPr>
              <w:pStyle w:val="Compact"/>
              <w:spacing w:after="0" w:before="0" w:line="240" w:lineRule="auto"/>
              <w:jc w:val="center"/>
            </w:pPr>
            <w:r>
              <w:rPr>
                <w:sz w:val="16"/>
              </w:rPr>
              <w:t xml:space="preserve">0.008 (0.002)</w:t>
            </w:r>
          </w:p>
        </w:tc>
        <w:tc>
          <w:tcPr/>
          <w:p>
            <w:pPr>
              <w:pStyle w:val="Compact"/>
              <w:spacing w:after="0" w:before="0" w:line="240" w:lineRule="auto"/>
              <w:jc w:val="center"/>
            </w:pPr>
            <w:r>
              <w:rPr>
                <w:sz w:val="16"/>
              </w:rPr>
              <w:t xml:space="preserve">7</w:t>
            </w:r>
          </w:p>
        </w:tc>
        <w:tc>
          <w:tcPr/>
          <w:p>
            <w:pPr>
              <w:pStyle w:val="Compact"/>
              <w:spacing w:after="0" w:before="0" w:line="240" w:lineRule="auto"/>
              <w:jc w:val="center"/>
            </w:pPr>
            <w:r>
              <w:rPr>
                <w:sz w:val="16"/>
              </w:rPr>
              <w:t xml:space="preserve">3.49</w:t>
            </w:r>
          </w:p>
        </w:tc>
        <w:tc>
          <w:tcPr/>
          <w:p>
            <w:pPr>
              <w:pStyle w:val="Compact"/>
              <w:spacing w:after="0" w:before="0" w:line="240" w:lineRule="auto"/>
              <w:jc w:val="center"/>
            </w:pPr>
            <w:r>
              <w:rPr>
                <w:sz w:val="16"/>
              </w:rPr>
              <w:t xml:space="preserve">2</w:t>
            </w:r>
          </w:p>
        </w:tc>
      </w:tr>
      <w:tr>
        <w:tc>
          <w:tcPr/>
          <w:p>
            <w:pPr>
              <w:pStyle w:val="Compact"/>
              <w:spacing w:after="0" w:before="0" w:line="240" w:lineRule="auto"/>
              <w:jc w:val="left"/>
            </w:pPr>
            <w:r>
              <w:rPr>
                <w:sz w:val="16"/>
              </w:rPr>
              <w:t xml:space="preserve">Communication (C)</w:t>
            </w:r>
          </w:p>
        </w:tc>
        <w:tc>
          <w:tcPr/>
          <w:p>
            <w:pPr>
              <w:pStyle w:val="Compact"/>
              <w:spacing w:after="0" w:before="0" w:line="240" w:lineRule="auto"/>
              <w:jc w:val="center"/>
            </w:pPr>
            <w:r>
              <w:rPr>
                <w:sz w:val="16"/>
              </w:rPr>
              <w:t xml:space="preserve">0.16</w:t>
            </w:r>
          </w:p>
        </w:tc>
        <w:tc>
          <w:tcPr/>
          <w:p>
            <w:pPr>
              <w:pStyle w:val="Compact"/>
              <w:spacing w:after="0" w:before="0" w:line="240" w:lineRule="auto"/>
              <w:jc w:val="center"/>
            </w:pPr>
            <w:r>
              <w:rPr>
                <w:sz w:val="16"/>
              </w:rPr>
              <w:t xml:space="preserve">0.003 (0.002)</w:t>
            </w:r>
          </w:p>
        </w:tc>
        <w:tc>
          <w:tcPr/>
          <w:p>
            <w:pPr>
              <w:pStyle w:val="Compact"/>
              <w:spacing w:after="0" w:before="0" w:line="240" w:lineRule="auto"/>
              <w:jc w:val="center"/>
            </w:pPr>
            <w:r>
              <w:rPr>
                <w:sz w:val="16"/>
              </w:rPr>
              <w:t xml:space="preserve">8</w:t>
            </w:r>
          </w:p>
        </w:tc>
        <w:tc>
          <w:tcPr/>
          <w:p>
            <w:pPr>
              <w:pStyle w:val="Compact"/>
              <w:spacing w:after="0" w:before="0" w:line="240" w:lineRule="auto"/>
              <w:jc w:val="center"/>
            </w:pPr>
            <w:r>
              <w:rPr>
                <w:sz w:val="16"/>
              </w:rPr>
              <w:t xml:space="preserve">0.98</w:t>
            </w:r>
          </w:p>
        </w:tc>
        <w:tc>
          <w:tcPr/>
          <w:p>
            <w:pPr>
              <w:pStyle w:val="Compact"/>
              <w:spacing w:after="0" w:before="0" w:line="240" w:lineRule="auto"/>
              <w:jc w:val="center"/>
            </w:pPr>
            <w:r>
              <w:rPr>
                <w:sz w:val="16"/>
              </w:rPr>
              <w:t xml:space="preserve">6</w:t>
            </w:r>
          </w:p>
        </w:tc>
      </w:tr>
    </w:tbl>
    <w:p>
      <w:pPr>
        <w:pStyle w:val="CaptionedFigure"/>
      </w:pPr>
      <w:r>
        <w:drawing>
          <wp:inline>
            <wp:extent cx="5334000" cy="1688653"/>
            <wp:effectExtent b="0" l="0" r="0" t="0"/>
            <wp:docPr descr="" title="" id="83" name="Picture"/>
            <a:graphic>
              <a:graphicData uri="http://schemas.openxmlformats.org/drawingml/2006/picture">
                <pic:pic>
                  <pic:nvPicPr>
                    <pic:cNvPr descr="/home/user/Data-Visualization/ai-teacher-feasibility/results/figures/fig7_factor_importance.png" id="84" name="Picture"/>
                    <pic:cNvPicPr>
                      <a:picLocks noChangeArrowheads="1" noChangeAspect="1"/>
                    </pic:cNvPicPr>
                  </pic:nvPicPr>
                  <pic:blipFill>
                    <a:blip r:embed="rId82"/>
                    <a:stretch>
                      <a:fillRect/>
                    </a:stretch>
                  </pic:blipFill>
                  <pic:spPr bwMode="auto">
                    <a:xfrm>
                      <a:off x="0" y="0"/>
                      <a:ext cx="5334000" cy="1688653"/>
                    </a:xfrm>
                    <a:prstGeom prst="rect">
                      <a:avLst/>
                    </a:prstGeom>
                    <a:noFill/>
                    <a:ln w="9525">
                      <a:noFill/>
                      <a:headEnd/>
                      <a:tailEnd/>
                    </a:ln>
                  </pic:spPr>
                </pic:pic>
              </a:graphicData>
            </a:graphic>
          </wp:inline>
        </w:drawing>
      </w:r>
    </w:p>
    <w:p>
      <w:pPr>
        <w:pStyle w:val="ImageCaption"/>
      </w:pPr>
      <w:r>
        <w:t xml:space="preserve">Fig. 8. Factor importance: (a) permutation importance in the ANN predicting the TSI; (b) sensitivity of the fuzzy TRFS to a one-SD increase in each factor.</w:t>
      </w:r>
    </w:p>
    <w:bookmarkEnd w:id="85"/>
    <w:bookmarkStart w:id="92" w:name="robustness-and-subgroups"/>
    <w:p>
      <w:pPr>
        <w:pStyle w:val="Heading2"/>
      </w:pPr>
      <w:r>
        <w:rPr>
          <w:rStyle w:val="SectionNumber"/>
        </w:rPr>
        <w:t xml:space="preserve">5.7</w:t>
      </w:r>
      <w:r>
        <w:tab/>
      </w:r>
      <w:r>
        <w:t xml:space="preserve">Robustness and subgroups</w:t>
      </w:r>
    </w:p>
    <w:p>
      <w:pPr>
        <w:pStyle w:val="FirstParagraph"/>
      </w:pPr>
      <w:r>
        <w:t xml:space="preserve">The activity ranking was highly stable under perturbation of the fuzzy design. Across 500 random configurations the mean Kendall’s</w:t>
      </w:r>
      <w:r>
        <w:t xml:space="preserve"> </w:t>
      </w:r>
      <m:oMath>
        <m:r>
          <m:t>τ</m:t>
        </m:r>
      </m:oMath>
      <w:r>
        <w:t xml:space="preserve"> </w:t>
      </w:r>
      <w:r>
        <w:t xml:space="preserve">with the baseline ranking was 0.953 (5th percentile 0.911), and on average 99.5% of activities kept their category (minimum 80%; Fig. 9). The perturbation ranges are shown as grey bars in Fig. 6a. The conclusion that no activity reaches full replacement under the baseline design therefore does not hinge on fine details of the membership functions. Category changes occurred in only 3.4% of the configurations (one or two activities each time). The central 95% of perturbed activity scores lay between 40.8 and 65.3, so the changes occur at the upper boundary: content explanation was the only activity whose 97.5th percentile exceeded 65 (65.3). Question answering came close (63.8). These two activities are therefore the strongest candidates for AI-led delivery as capabilities improve.</w:t>
      </w:r>
    </w:p>
    <w:p>
      <w:pPr>
        <w:pStyle w:val="BodyText"/>
      </w:pPr>
      <w:r>
        <w:t xml:space="preserve">Subgroup differences in the overall TRFS were statistically significant but negligible in size (all</w:t>
      </w:r>
      <w:r>
        <w:t xml:space="preserve"> </w:t>
      </w:r>
      <m:oMath>
        <m:sSup>
          <m:e>
            <m:r>
              <m:t>ε</m:t>
            </m:r>
          </m:e>
          <m:sup>
            <m:r>
              <m:t>2</m:t>
            </m:r>
          </m:sup>
        </m:sSup>
        <m:r>
          <m:rPr>
            <m:sty m:val="p"/>
          </m:rPr>
          <m:t>≤</m:t>
        </m:r>
        <m:r>
          <m:t>0.009</m:t>
        </m:r>
      </m:oMath>
      <w:r>
        <w:t xml:space="preserve">). The largest was by ChatGPT version: users of the paid version rated feasibility higher (</w:t>
      </w:r>
      <m:oMath>
        <m:sSup>
          <m:e>
            <m:r>
              <m:t>ε</m:t>
            </m:r>
          </m:e>
          <m:sup>
            <m:r>
              <m:t>2</m:t>
            </m:r>
          </m:sup>
        </m:sSup>
        <m:r>
          <m:rPr>
            <m:sty m:val="p"/>
          </m:rPr>
          <m:t>=</m:t>
        </m:r>
        <m:r>
          <m:t>0.009</m:t>
        </m:r>
      </m:oMath>
      <w:r>
        <w:t xml:space="preserve">). The activity ranking was almost identical across fields of study (Fig. 10), which suggests that the task-level pattern is a general feature of students’ perceptions rather than a disciplinary artefact.</w:t>
      </w:r>
    </w:p>
    <w:p>
      <w:pPr>
        <w:pStyle w:val="CaptionedFigure"/>
      </w:pPr>
      <w:r>
        <w:drawing>
          <wp:inline>
            <wp:extent cx="5334000" cy="1466241"/>
            <wp:effectExtent b="0" l="0" r="0" t="0"/>
            <wp:docPr descr="" title="" id="87" name="Picture"/>
            <a:graphic>
              <a:graphicData uri="http://schemas.openxmlformats.org/drawingml/2006/picture">
                <pic:pic>
                  <pic:nvPicPr>
                    <pic:cNvPr descr="/home/user/Data-Visualization/ai-teacher-feasibility/results/figures/fig9_robustness.png" id="88" name="Picture"/>
                    <pic:cNvPicPr>
                      <a:picLocks noChangeArrowheads="1" noChangeAspect="1"/>
                    </pic:cNvPicPr>
                  </pic:nvPicPr>
                  <pic:blipFill>
                    <a:blip r:embed="rId86"/>
                    <a:stretch>
                      <a:fillRect/>
                    </a:stretch>
                  </pic:blipFill>
                  <pic:spPr bwMode="auto">
                    <a:xfrm>
                      <a:off x="0" y="0"/>
                      <a:ext cx="5334000" cy="1466241"/>
                    </a:xfrm>
                    <a:prstGeom prst="rect">
                      <a:avLst/>
                    </a:prstGeom>
                    <a:noFill/>
                    <a:ln w="9525">
                      <a:noFill/>
                      <a:headEnd/>
                      <a:tailEnd/>
                    </a:ln>
                  </pic:spPr>
                </pic:pic>
              </a:graphicData>
            </a:graphic>
          </wp:inline>
        </w:drawing>
      </w:r>
    </w:p>
    <w:p>
      <w:pPr>
        <w:pStyle w:val="ImageCaption"/>
      </w:pPr>
      <w:r>
        <w:t xml:space="preserve">Fig. 9. Robustness of the activity-level results to 500 random fuzzy designs: (a) rank agreement with the baseline; (b) share of activities keeping their baseline category.</w:t>
      </w:r>
    </w:p>
    <w:p>
      <w:pPr>
        <w:pStyle w:val="CaptionedFigure"/>
      </w:pPr>
      <w:r>
        <w:drawing>
          <wp:inline>
            <wp:extent cx="5334000" cy="2248929"/>
            <wp:effectExtent b="0" l="0" r="0" t="0"/>
            <wp:docPr descr="" title="" id="90" name="Picture"/>
            <a:graphic>
              <a:graphicData uri="http://schemas.openxmlformats.org/drawingml/2006/picture">
                <pic:pic>
                  <pic:nvPicPr>
                    <pic:cNvPr descr="/home/user/Data-Visualization/ai-teacher-feasibility/results/figures/fig10_activity_by_field.png" id="91" name="Picture"/>
                    <pic:cNvPicPr>
                      <a:picLocks noChangeArrowheads="1" noChangeAspect="1"/>
                    </pic:cNvPicPr>
                  </pic:nvPicPr>
                  <pic:blipFill>
                    <a:blip r:embed="rId89"/>
                    <a:stretch>
                      <a:fillRect/>
                    </a:stretch>
                  </pic:blipFill>
                  <pic:spPr bwMode="auto">
                    <a:xfrm>
                      <a:off x="0" y="0"/>
                      <a:ext cx="5334000" cy="2248929"/>
                    </a:xfrm>
                    <a:prstGeom prst="rect">
                      <a:avLst/>
                    </a:prstGeom>
                    <a:noFill/>
                    <a:ln w="9525">
                      <a:noFill/>
                      <a:headEnd/>
                      <a:tailEnd/>
                    </a:ln>
                  </pic:spPr>
                </pic:pic>
              </a:graphicData>
            </a:graphic>
          </wp:inline>
        </w:drawing>
      </w:r>
    </w:p>
    <w:p>
      <w:pPr>
        <w:pStyle w:val="ImageCaption"/>
      </w:pPr>
      <w:r>
        <w:t xml:space="preserve">Fig. 10. Mean activity feasibility scores by field of study (columns ordered by the overall ranking).</w:t>
      </w:r>
    </w:p>
    <w:bookmarkEnd w:id="92"/>
    <w:bookmarkStart w:id="93" w:name="mathematical-verification"/>
    <w:p>
      <w:pPr>
        <w:pStyle w:val="Heading2"/>
      </w:pPr>
      <w:r>
        <w:rPr>
          <w:rStyle w:val="SectionNumber"/>
        </w:rPr>
        <w:t xml:space="preserve">5.8</w:t>
      </w:r>
      <w:r>
        <w:tab/>
      </w:r>
      <w:r>
        <w:t xml:space="preserve">Mathematical verification</w:t>
      </w:r>
    </w:p>
    <w:p>
      <w:pPr>
        <w:pStyle w:val="FirstParagraph"/>
      </w:pPr>
      <w:r>
        <w:t xml:space="preserve">The exhaustive grid checks in Table 1 confirm Propositions 1–3 numerically. All rule tables are monotone, and the WA variant attains exactly</w:t>
      </w:r>
      <w:r>
        <w:t xml:space="preserve"> </w:t>
      </w:r>
      <m:oMath>
        <m:d>
          <m:dPr>
            <m:begChr m:val="["/>
            <m:endChr m:val="]"/>
            <m:sepChr m:val=""/>
            <m:grow/>
          </m:dPr>
          <m:e>
            <m:r>
              <m:t>18.57</m:t>
            </m:r>
            <m:r>
              <m:rPr>
                <m:sty m:val="p"/>
              </m:rPr>
              <m:t>,</m:t>
            </m:r>
            <m:r>
              <m:t>81.43</m:t>
            </m:r>
          </m:e>
        </m:d>
      </m:oMath>
      <w:r>
        <w:t xml:space="preserve"> </w:t>
      </w:r>
      <w:r>
        <w:t xml:space="preserve">without a single decreasing step. The Mamdani system shows the ripples described in Remark 1. On the real data the two inference variants agreed closely: the overall scores correlated at</w:t>
      </w:r>
      <w:r>
        <w:t xml:space="preserve"> </w:t>
      </w:r>
      <m:oMath>
        <m:r>
          <m:t>r</m:t>
        </m:r>
        <m:r>
          <m:rPr>
            <m:sty m:val="p"/>
          </m:rPr>
          <m:t>=</m:t>
        </m:r>
        <m:r>
          <m:t>0.979</m:t>
        </m:r>
      </m:oMath>
      <w:r>
        <w:t xml:space="preserve"> </w:t>
      </w:r>
      <w:r>
        <w:t xml:space="preserve">(Spearman</w:t>
      </w:r>
      <w:r>
        <w:t xml:space="preserve"> </w:t>
      </w:r>
      <m:oMath>
        <m:r>
          <m:t>ρ</m:t>
        </m:r>
        <m:r>
          <m:rPr>
            <m:sty m:val="p"/>
          </m:rPr>
          <m:t>=</m:t>
        </m:r>
        <m:r>
          <m:t>0.981</m:t>
        </m:r>
      </m:oMath>
      <w:r>
        <w:t xml:space="preserve">), the WA score had a mean of 49.2 (SD 22.0), and its validity against the TSI was practically unchanged (</w:t>
      </w:r>
      <m:oMath>
        <m:r>
          <m:t>ρ</m:t>
        </m:r>
        <m:r>
          <m:rPr>
            <m:sty m:val="p"/>
          </m:rPr>
          <m:t>=</m:t>
        </m:r>
        <m:r>
          <m:t>0.38</m:t>
        </m:r>
      </m:oMath>
      <w:r>
        <w:t xml:space="preserve"> </w:t>
      </w:r>
      <w:r>
        <w:t xml:space="preserve">vs. 0.39). The activity ranking was almost identical (Kendall’s</w:t>
      </w:r>
      <w:r>
        <w:t xml:space="preserve"> </w:t>
      </w:r>
      <m:oMath>
        <m:r>
          <m:t>τ</m:t>
        </m:r>
        <m:r>
          <m:rPr>
            <m:sty m:val="p"/>
          </m:rPr>
          <m:t>=</m:t>
        </m:r>
        <m:r>
          <m:t>0.96</m:t>
        </m:r>
      </m:oMath>
      <w:r>
        <w:t xml:space="preserve">; Fig. 16b). Under WA inference all ten activities again fell in the partial-assistance band (45.7–54.2). The substantive conclusions therefore do not depend on the choice between the conventional and the provably monotone inference scheme.</w:t>
      </w:r>
    </w:p>
    <w:bookmarkEnd w:id="93"/>
    <w:bookmarkStart w:id="97" w:name="X5c2b63312ae1b9aa080b5350e2dddec345249e4"/>
    <w:p>
      <w:pPr>
        <w:pStyle w:val="Heading2"/>
      </w:pPr>
      <w:r>
        <w:rPr>
          <w:rStyle w:val="SectionNumber"/>
        </w:rPr>
        <w:t xml:space="preserve">5.9</w:t>
      </w:r>
      <w:r>
        <w:tab/>
      </w:r>
      <w:r>
        <w:t xml:space="preserve">Exact decomposition of explained variance</w:t>
      </w:r>
    </w:p>
    <w:p>
      <w:pPr>
        <w:pStyle w:val="FirstParagraph"/>
      </w:pPr>
      <w:r>
        <w:t xml:space="preserve">The eight factors jointly explained</w:t>
      </w:r>
      <w:r>
        <w:t xml:space="preserve"> </w:t>
      </w:r>
      <m:oMath>
        <m:sSup>
          <m:e>
            <m:r>
              <m:t>R</m:t>
            </m:r>
          </m:e>
          <m:sup>
            <m:r>
              <m:t>2</m:t>
            </m:r>
          </m:sup>
        </m:sSup>
        <m:r>
          <m:rPr>
            <m:sty m:val="p"/>
          </m:rPr>
          <m:t>=</m:t>
        </m:r>
        <m:r>
          <m:t>0.255</m:t>
        </m:r>
      </m:oMath>
      <w:r>
        <w:t xml:space="preserve"> </w:t>
      </w:r>
      <w:r>
        <w:t xml:space="preserve">of the TSI in OLS, and the Shapley values sum exactly to this total (Table 9, Fig. 11). Assessment capability carried the largest share (25.2%), followed by reliability (21.7%), personalization (21.2%) and student engagement (17.6%). Together these four account for more than 85% of the explained variance. Ethical suitability contributed only 0.8%. The Shapley ranking differs from the ANN permutation ranking mainly in the order of the top two factors (AC vs. R): permutation importance measures</w:t>
      </w:r>
      <w:r>
        <w:t xml:space="preserve"> </w:t>
      </w:r>
      <w:r>
        <w:rPr>
          <w:iCs/>
          <w:i/>
        </w:rPr>
        <w:t xml:space="preserve">unique</w:t>
      </w:r>
      <w:r>
        <w:t xml:space="preserve"> </w:t>
      </w:r>
      <w:r>
        <w:t xml:space="preserve">information, whereas Shapley values share overlapping variance fairly among correlated predictors.</w:t>
      </w:r>
    </w:p>
    <w:p>
      <w:pPr>
        <w:pStyle w:val="CaptionedFigure"/>
      </w:pPr>
      <w:r>
        <w:drawing>
          <wp:inline>
            <wp:extent cx="5101067" cy="2529126"/>
            <wp:effectExtent b="0" l="0" r="0" t="0"/>
            <wp:docPr descr="" title="" id="95" name="Picture"/>
            <a:graphic>
              <a:graphicData uri="http://schemas.openxmlformats.org/drawingml/2006/picture">
                <pic:pic>
                  <pic:nvPicPr>
                    <pic:cNvPr descr="/home/user/Data-Visualization/ai-teacher-feasibility/results/figures/fig12_shapley_r2.png" id="96" name="Picture"/>
                    <pic:cNvPicPr>
                      <a:picLocks noChangeArrowheads="1" noChangeAspect="1"/>
                    </pic:cNvPicPr>
                  </pic:nvPicPr>
                  <pic:blipFill>
                    <a:blip r:embed="rId94"/>
                    <a:stretch>
                      <a:fillRect/>
                    </a:stretch>
                  </pic:blipFill>
                  <pic:spPr bwMode="auto">
                    <a:xfrm>
                      <a:off x="0" y="0"/>
                      <a:ext cx="5101067" cy="2529126"/>
                    </a:xfrm>
                    <a:prstGeom prst="rect">
                      <a:avLst/>
                    </a:prstGeom>
                    <a:noFill/>
                    <a:ln w="9525">
                      <a:noFill/>
                      <a:headEnd/>
                      <a:tailEnd/>
                    </a:ln>
                  </pic:spPr>
                </pic:pic>
              </a:graphicData>
            </a:graphic>
          </wp:inline>
        </w:drawing>
      </w:r>
    </w:p>
    <w:p>
      <w:pPr>
        <w:pStyle w:val="ImageCaption"/>
      </w:pPr>
      <w:r>
        <w:t xml:space="preserve">Fig. 11. Shapley decomposition of the explained variance of the TSI (Eq. 7); bars show</w:t>
      </w:r>
      <w:r>
        <w:t xml:space="preserve"> </w:t>
      </w:r>
      <m:oMath>
        <m:sSub>
          <m:e>
            <m:r>
              <m:t>ϕ</m:t>
            </m:r>
          </m:e>
          <m:sub>
            <m:r>
              <m:t>j</m:t>
            </m:r>
          </m:sub>
        </m:sSub>
      </m:oMath>
      <w:r>
        <w:t xml:space="preserve"> </w:t>
      </w:r>
      <w:r>
        <w:t xml:space="preserve">with 95% bootstrap CIs and labels the share of the total</w:t>
      </w:r>
      <w:r>
        <w:t xml:space="preserve"> </w:t>
      </w:r>
      <m:oMath>
        <m:sSup>
          <m:e>
            <m:r>
              <m:t>R</m:t>
            </m:r>
          </m:e>
          <m:sup>
            <m:r>
              <m:t>2</m:t>
            </m:r>
          </m:sup>
        </m:sSup>
      </m:oMath>
      <w:r>
        <w:t xml:space="preserve">.</w:t>
      </w:r>
    </w:p>
    <w:p>
      <w:pPr>
        <w:pStyle w:val="TableCaption"/>
      </w:pPr>
      <w:r>
        <w:t xml:space="preserve">Table 9. Relative importance and multilevel effects of the eight factors on the TSI. Shapley values</w:t>
      </w:r>
      <w:r>
        <w:t xml:space="preserve"> </w:t>
      </w:r>
      <m:oMath>
        <m:sSub>
          <m:e>
            <m:r>
              <m:t>ϕ</m:t>
            </m:r>
          </m:e>
          <m:sub>
            <m:r>
              <m:t>j</m:t>
            </m:r>
          </m:sub>
        </m:sSub>
      </m:oMath>
      <w:r>
        <w:t xml:space="preserve"> </w:t>
      </w:r>
      <w:r>
        <w:t xml:space="preserve">(Eq. 7) with 95% bootstrap CIs (500 resamples) sum exactly to</w:t>
      </w:r>
      <w:r>
        <w:t xml:space="preserve"> </w:t>
      </w:r>
      <m:oMath>
        <m:sSup>
          <m:e>
            <m:r>
              <m:t>R</m:t>
            </m:r>
          </m:e>
          <m:sup>
            <m:r>
              <m:t>2</m:t>
            </m:r>
          </m:sup>
        </m:sSup>
        <m:r>
          <m:rPr>
            <m:sty m:val="p"/>
          </m:rPr>
          <m:t>=</m:t>
        </m:r>
        <m:r>
          <m:t>0.255</m:t>
        </m:r>
      </m:oMath>
      <w:r>
        <w:t xml:space="preserve">.</w:t>
      </w:r>
      <w:r>
        <w:t xml:space="preserve"> </w:t>
      </w:r>
      <m:oMath>
        <m:r>
          <m:t>β</m:t>
        </m:r>
      </m:oMath>
      <w:r>
        <w:t xml:space="preserve">: fixed effect per +1 SD in a random-intercept model with students nested in 50 countries (</w:t>
      </w:r>
      <m:oMath>
        <m:r>
          <m:t>n</m:t>
        </m:r>
        <m:r>
          <m:rPr>
            <m:sty m:val="p"/>
          </m:rPr>
          <m:t>=</m:t>
        </m:r>
        <m:r>
          <m:t>11</m:t>
        </m:r>
        <m:r>
          <m:rPr>
            <m:sty m:val="p"/>
          </m:rPr>
          <m:t>,</m:t>
        </m:r>
        <m:r>
          <m:t>586</m:t>
        </m:r>
      </m:oMath>
      <w:r>
        <w:t xml:space="preserve">); OLS: single-level estimate for comparison.</w:t>
      </w:r>
    </w:p>
    <w:tbl>
      <w:tblPr>
        <w:tblStyle w:val="Table"/>
        <w:tblLook w:firstRow="1" w:lastRow="0" w:firstColumn="0" w:lastColumn="0" w:noHBand="0" w:noVBand="0" w:val="0020"/>
        <w:jc w:val="start"/>
        <w:tblCaption w:val="Table 9. Relative importance and multilevel effects of the eight factors on the TSI. Shapley values \phi_j (Eq. 7) with 95% bootstrap CIs (500 resamples) sum exactly to R^2=0.255. \beta: fixed effect per +1 SD in a random-intercept model with students nested in 50 countries (n=11,586); OLS: single-level estimate for comparison."/>
        <w:tblW w:w="5000" w:type="pct"/>
        <w:tblLayout w:type="autofit"/>
        <w:tblBorders>
          <w:top w:val="single" w:sz="12" w:space="0" w:color="000000"/>
          <w:bottom w:val="single" w:sz="12" w:space="0" w:color="000000"/>
        </w:tblBorders>
      </w:tblPr>
      <w:tblGrid>
        <w:gridCol/>
        <w:gridCol/>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Factor</w:t>
            </w:r>
          </w:p>
        </w:tc>
        <w:tc>
          <w:tcPr>
            <w:tcBorders>
              <w:bottom w:val="single" w:sz="6" w:space="0" w:color="000000"/>
            </w:tcBorders>
          </w:tcPr>
          <w:p>
            <w:pPr>
              <w:pStyle w:val="Compact"/>
              <w:spacing w:after="0" w:before="0" w:line="240" w:lineRule="auto"/>
              <w:jc w:val="center"/>
            </w:pPr>
            <w:r>
              <w:rPr>
                <w:b/>
                <w:sz w:val="16"/>
              </w:rPr>
              <w:t xml:space="preserve">Shapley</w:t>
            </w:r>
            <w:r>
              <w:rPr>
                <w:b/>
                <w:sz w:val="16"/>
              </w:rPr>
              <w:t xml:space="preserve"> </w:t>
            </w:r>
            <m:oMath>
              <m:sSub>
                <m:e>
                  <m:r>
                    <m:t>ϕ</m:t>
                  </m:r>
                </m:e>
                <m:sub>
                  <m:r>
                    <m:t>j</m:t>
                  </m:r>
                </m:sub>
              </m:sSub>
            </m:oMath>
            <w:r>
              <w:rPr>
                <w:b/>
                <w:sz w:val="16"/>
              </w:rPr>
              <w:t xml:space="preserve"> </w:t>
            </w:r>
            <w:r>
              <w:rPr>
                <w:b/>
                <w:sz w:val="16"/>
              </w:rPr>
              <w:t xml:space="preserve">[95% CI]</w:t>
            </w:r>
          </w:p>
        </w:tc>
        <w:tc>
          <w:tcPr>
            <w:tcBorders>
              <w:bottom w:val="single" w:sz="6" w:space="0" w:color="000000"/>
            </w:tcBorders>
          </w:tcPr>
          <w:p>
            <w:pPr>
              <w:pStyle w:val="Compact"/>
              <w:spacing w:after="0" w:before="0" w:line="240" w:lineRule="auto"/>
              <w:jc w:val="center"/>
            </w:pPr>
            <w:r>
              <w:rPr>
                <w:b/>
                <w:sz w:val="16"/>
              </w:rPr>
              <w:t xml:space="preserve">% of</w:t>
            </w:r>
            <w:r>
              <w:rPr>
                <w:b/>
                <w:sz w:val="16"/>
              </w:rPr>
              <w:t xml:space="preserve"> </w:t>
            </w:r>
            <m:oMath>
              <m:sSup>
                <m:e>
                  <m:r>
                    <m:t>R</m:t>
                  </m:r>
                </m:e>
                <m:sup>
                  <m:r>
                    <m:t>2</m:t>
                  </m:r>
                </m:sup>
              </m:sSup>
            </m:oMath>
          </w:p>
        </w:tc>
        <w:tc>
          <w:tcPr>
            <w:tcBorders>
              <w:bottom w:val="single" w:sz="6" w:space="0" w:color="000000"/>
            </w:tcBorders>
          </w:tcPr>
          <w:p>
            <w:pPr>
              <w:pStyle w:val="Compact"/>
              <w:spacing w:after="0" w:before="0" w:line="240" w:lineRule="auto"/>
              <w:jc w:val="center"/>
            </w:pPr>
            <w:r>
              <w:rPr>
                <w:b/>
                <w:sz w:val="16"/>
              </w:rPr>
              <w:t xml:space="preserve">Multilevel</w:t>
            </w:r>
            <w:r>
              <w:rPr>
                <w:b/>
                <w:sz w:val="16"/>
              </w:rPr>
              <w:t xml:space="preserve"> </w:t>
            </w:r>
            <m:oMath>
              <m:r>
                <m:t>β</m:t>
              </m:r>
            </m:oMath>
            <w:r>
              <w:rPr>
                <w:b/>
                <w:sz w:val="16"/>
              </w:rPr>
              <w:t xml:space="preserve"> </w:t>
            </w:r>
            <w:r>
              <w:rPr>
                <w:b/>
                <w:sz w:val="16"/>
              </w:rPr>
              <w:t xml:space="preserve">[95% CI]</w:t>
            </w:r>
          </w:p>
        </w:tc>
        <w:tc>
          <w:tcPr>
            <w:tcBorders>
              <w:bottom w:val="single" w:sz="6" w:space="0" w:color="000000"/>
            </w:tcBorders>
          </w:tcPr>
          <w:p>
            <w:pPr>
              <w:pStyle w:val="Compact"/>
              <w:spacing w:after="0" w:before="0" w:line="240" w:lineRule="auto"/>
              <w:jc w:val="center"/>
            </w:pPr>
            <m:oMath>
              <m:r>
                <m:t>p</m:t>
              </m:r>
            </m:oMath>
          </w:p>
        </w:tc>
        <w:tc>
          <w:tcPr>
            <w:tcBorders>
              <w:bottom w:val="single" w:sz="6" w:space="0" w:color="000000"/>
            </w:tcBorders>
          </w:tcPr>
          <w:p>
            <w:pPr>
              <w:pStyle w:val="Compact"/>
              <w:spacing w:after="0" w:before="0" w:line="240" w:lineRule="auto"/>
              <w:jc w:val="center"/>
            </w:pPr>
            <w:r>
              <w:rPr>
                <w:b/>
                <w:sz w:val="16"/>
              </w:rPr>
              <w:t xml:space="preserve">OLS</w:t>
            </w:r>
            <w:r>
              <w:rPr>
                <w:b/>
                <w:sz w:val="16"/>
              </w:rPr>
              <w:t xml:space="preserve"> </w:t>
            </w:r>
            <m:oMath>
              <m:r>
                <m:t>β</m:t>
              </m:r>
            </m:oMath>
          </w:p>
        </w:tc>
      </w:tr>
      <w:tr>
        <w:tc>
          <w:tcPr/>
          <w:p>
            <w:pPr>
              <w:pStyle w:val="Compact"/>
              <w:spacing w:after="0" w:before="0" w:line="240" w:lineRule="auto"/>
              <w:jc w:val="left"/>
            </w:pPr>
            <w:r>
              <w:rPr>
                <w:sz w:val="16"/>
              </w:rPr>
              <w:t xml:space="preserve">Assessment capability (AC)</w:t>
            </w:r>
          </w:p>
        </w:tc>
        <w:tc>
          <w:tcPr/>
          <w:p>
            <w:pPr>
              <w:pStyle w:val="Compact"/>
              <w:spacing w:after="0" w:before="0" w:line="240" w:lineRule="auto"/>
              <w:jc w:val="center"/>
            </w:pPr>
            <w:r>
              <w:rPr>
                <w:sz w:val="16"/>
              </w:rPr>
              <w:t xml:space="preserve">0.0643 [0.0571, 0.0720]</w:t>
            </w:r>
          </w:p>
        </w:tc>
        <w:tc>
          <w:tcPr/>
          <w:p>
            <w:pPr>
              <w:pStyle w:val="Compact"/>
              <w:spacing w:after="0" w:before="0" w:line="240" w:lineRule="auto"/>
              <w:jc w:val="center"/>
            </w:pPr>
            <w:r>
              <w:rPr>
                <w:sz w:val="16"/>
              </w:rPr>
              <w:t xml:space="preserve">25.2</w:t>
            </w:r>
          </w:p>
        </w:tc>
        <w:tc>
          <w:tcPr/>
          <w:p>
            <w:pPr>
              <w:pStyle w:val="Compact"/>
              <w:spacing w:after="0" w:before="0" w:line="240" w:lineRule="auto"/>
              <w:jc w:val="center"/>
            </w:pPr>
            <w:r>
              <w:rPr>
                <w:sz w:val="16"/>
              </w:rPr>
              <w:t xml:space="preserve">4.65 [4.10, 5.20]</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4.75</w:t>
            </w:r>
          </w:p>
        </w:tc>
      </w:tr>
      <w:tr>
        <w:tc>
          <w:tcPr/>
          <w:p>
            <w:pPr>
              <w:pStyle w:val="Compact"/>
              <w:spacing w:after="0" w:before="0" w:line="240" w:lineRule="auto"/>
              <w:jc w:val="left"/>
            </w:pPr>
            <w:r>
              <w:rPr>
                <w:sz w:val="16"/>
              </w:rPr>
              <w:t xml:space="preserve">Reliability (R)</w:t>
            </w:r>
          </w:p>
        </w:tc>
        <w:tc>
          <w:tcPr/>
          <w:p>
            <w:pPr>
              <w:pStyle w:val="Compact"/>
              <w:spacing w:after="0" w:before="0" w:line="240" w:lineRule="auto"/>
              <w:jc w:val="center"/>
            </w:pPr>
            <w:r>
              <w:rPr>
                <w:sz w:val="16"/>
              </w:rPr>
              <w:t xml:space="preserve">0.0554 [0.0491, 0.0628]</w:t>
            </w:r>
          </w:p>
        </w:tc>
        <w:tc>
          <w:tcPr/>
          <w:p>
            <w:pPr>
              <w:pStyle w:val="Compact"/>
              <w:spacing w:after="0" w:before="0" w:line="240" w:lineRule="auto"/>
              <w:jc w:val="center"/>
            </w:pPr>
            <w:r>
              <w:rPr>
                <w:sz w:val="16"/>
              </w:rPr>
              <w:t xml:space="preserve">21.7</w:t>
            </w:r>
          </w:p>
        </w:tc>
        <w:tc>
          <w:tcPr/>
          <w:p>
            <w:pPr>
              <w:pStyle w:val="Compact"/>
              <w:spacing w:after="0" w:before="0" w:line="240" w:lineRule="auto"/>
              <w:jc w:val="center"/>
            </w:pPr>
            <w:r>
              <w:rPr>
                <w:sz w:val="16"/>
              </w:rPr>
              <w:t xml:space="preserve">4.38 [3.86, 4.89]</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5.20</w:t>
            </w:r>
          </w:p>
        </w:tc>
      </w:tr>
      <w:tr>
        <w:tc>
          <w:tcPr/>
          <w:p>
            <w:pPr>
              <w:pStyle w:val="Compact"/>
              <w:spacing w:after="0" w:before="0" w:line="240" w:lineRule="auto"/>
              <w:jc w:val="left"/>
            </w:pPr>
            <w:r>
              <w:rPr>
                <w:sz w:val="16"/>
              </w:rPr>
              <w:t xml:space="preserve">Personalization (P)</w:t>
            </w:r>
          </w:p>
        </w:tc>
        <w:tc>
          <w:tcPr/>
          <w:p>
            <w:pPr>
              <w:pStyle w:val="Compact"/>
              <w:spacing w:after="0" w:before="0" w:line="240" w:lineRule="auto"/>
              <w:jc w:val="center"/>
            </w:pPr>
            <w:r>
              <w:rPr>
                <w:sz w:val="16"/>
              </w:rPr>
              <w:t xml:space="preserve">0.0540 [0.0483, 0.0598]</w:t>
            </w:r>
          </w:p>
        </w:tc>
        <w:tc>
          <w:tcPr/>
          <w:p>
            <w:pPr>
              <w:pStyle w:val="Compact"/>
              <w:spacing w:after="0" w:before="0" w:line="240" w:lineRule="auto"/>
              <w:jc w:val="center"/>
            </w:pPr>
            <w:r>
              <w:rPr>
                <w:sz w:val="16"/>
              </w:rPr>
              <w:t xml:space="preserve">21.2</w:t>
            </w:r>
          </w:p>
        </w:tc>
        <w:tc>
          <w:tcPr/>
          <w:p>
            <w:pPr>
              <w:pStyle w:val="Compact"/>
              <w:spacing w:after="0" w:before="0" w:line="240" w:lineRule="auto"/>
              <w:jc w:val="center"/>
            </w:pPr>
            <w:r>
              <w:rPr>
                <w:sz w:val="16"/>
              </w:rPr>
              <w:t xml:space="preserve">2.98 [2.41, 3.54]</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3.32</w:t>
            </w:r>
          </w:p>
        </w:tc>
      </w:tr>
      <w:tr>
        <w:tc>
          <w:tcPr/>
          <w:p>
            <w:pPr>
              <w:pStyle w:val="Compact"/>
              <w:spacing w:after="0" w:before="0" w:line="240" w:lineRule="auto"/>
              <w:jc w:val="left"/>
            </w:pPr>
            <w:r>
              <w:rPr>
                <w:sz w:val="16"/>
              </w:rPr>
              <w:t xml:space="preserve">Student engagement (SE)</w:t>
            </w:r>
          </w:p>
        </w:tc>
        <w:tc>
          <w:tcPr/>
          <w:p>
            <w:pPr>
              <w:pStyle w:val="Compact"/>
              <w:spacing w:after="0" w:before="0" w:line="240" w:lineRule="auto"/>
              <w:jc w:val="center"/>
            </w:pPr>
            <w:r>
              <w:rPr>
                <w:sz w:val="16"/>
              </w:rPr>
              <w:t xml:space="preserve">0.0449 [0.0392, 0.0508]</w:t>
            </w:r>
          </w:p>
        </w:tc>
        <w:tc>
          <w:tcPr/>
          <w:p>
            <w:pPr>
              <w:pStyle w:val="Compact"/>
              <w:spacing w:after="0" w:before="0" w:line="240" w:lineRule="auto"/>
              <w:jc w:val="center"/>
            </w:pPr>
            <w:r>
              <w:rPr>
                <w:sz w:val="16"/>
              </w:rPr>
              <w:t xml:space="preserve">17.6</w:t>
            </w:r>
          </w:p>
        </w:tc>
        <w:tc>
          <w:tcPr/>
          <w:p>
            <w:pPr>
              <w:pStyle w:val="Compact"/>
              <w:spacing w:after="0" w:before="0" w:line="240" w:lineRule="auto"/>
              <w:jc w:val="center"/>
            </w:pPr>
            <w:r>
              <w:rPr>
                <w:sz w:val="16"/>
              </w:rPr>
              <w:t xml:space="preserve">3.65 [3.13, 4.17]</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3.23</w:t>
            </w:r>
          </w:p>
        </w:tc>
      </w:tr>
      <w:tr>
        <w:tc>
          <w:tcPr/>
          <w:p>
            <w:pPr>
              <w:pStyle w:val="Compact"/>
              <w:spacing w:after="0" w:before="0" w:line="240" w:lineRule="auto"/>
              <w:jc w:val="left"/>
            </w:pPr>
            <w:r>
              <w:rPr>
                <w:sz w:val="16"/>
              </w:rPr>
              <w:t xml:space="preserve">Adaptability (A)</w:t>
            </w:r>
          </w:p>
        </w:tc>
        <w:tc>
          <w:tcPr/>
          <w:p>
            <w:pPr>
              <w:pStyle w:val="Compact"/>
              <w:spacing w:after="0" w:before="0" w:line="240" w:lineRule="auto"/>
              <w:jc w:val="center"/>
            </w:pPr>
            <w:r>
              <w:rPr>
                <w:sz w:val="16"/>
              </w:rPr>
              <w:t xml:space="preserve">0.0204 [0.0170, 0.0240]</w:t>
            </w:r>
          </w:p>
        </w:tc>
        <w:tc>
          <w:tcPr/>
          <w:p>
            <w:pPr>
              <w:pStyle w:val="Compact"/>
              <w:spacing w:after="0" w:before="0" w:line="240" w:lineRule="auto"/>
              <w:jc w:val="center"/>
            </w:pPr>
            <w:r>
              <w:rPr>
                <w:sz w:val="16"/>
              </w:rPr>
              <w:t xml:space="preserve">8.0</w:t>
            </w:r>
          </w:p>
        </w:tc>
        <w:tc>
          <w:tcPr/>
          <w:p>
            <w:pPr>
              <w:pStyle w:val="Compact"/>
              <w:spacing w:after="0" w:before="0" w:line="240" w:lineRule="auto"/>
              <w:jc w:val="center"/>
            </w:pPr>
            <w:r>
              <w:rPr>
                <w:sz w:val="16"/>
              </w:rPr>
              <w:t xml:space="preserve">1.49 [1.00, 1.99]</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1.48</w:t>
            </w:r>
          </w:p>
        </w:tc>
      </w:tr>
      <w:tr>
        <w:tc>
          <w:tcPr/>
          <w:p>
            <w:pPr>
              <w:pStyle w:val="Compact"/>
              <w:spacing w:after="0" w:before="0" w:line="240" w:lineRule="auto"/>
              <w:jc w:val="left"/>
            </w:pPr>
            <w:r>
              <w:rPr>
                <w:sz w:val="16"/>
              </w:rPr>
              <w:t xml:space="preserve">Teaching effectiveness (TE)</w:t>
            </w:r>
          </w:p>
        </w:tc>
        <w:tc>
          <w:tcPr/>
          <w:p>
            <w:pPr>
              <w:pStyle w:val="Compact"/>
              <w:spacing w:after="0" w:before="0" w:line="240" w:lineRule="auto"/>
              <w:jc w:val="center"/>
            </w:pPr>
            <w:r>
              <w:rPr>
                <w:sz w:val="16"/>
              </w:rPr>
              <w:t xml:space="preserve">0.0090 [0.0082, 0.0100]</w:t>
            </w:r>
          </w:p>
        </w:tc>
        <w:tc>
          <w:tcPr/>
          <w:p>
            <w:pPr>
              <w:pStyle w:val="Compact"/>
              <w:spacing w:after="0" w:before="0" w:line="240" w:lineRule="auto"/>
              <w:jc w:val="center"/>
            </w:pPr>
            <w:r>
              <w:rPr>
                <w:sz w:val="16"/>
              </w:rPr>
              <w:t xml:space="preserve">3.5</w:t>
            </w:r>
          </w:p>
        </w:tc>
        <w:tc>
          <w:tcPr/>
          <w:p>
            <w:pPr>
              <w:pStyle w:val="Compact"/>
              <w:spacing w:after="0" w:before="0" w:line="240" w:lineRule="auto"/>
              <w:jc w:val="center"/>
            </w:pPr>
            <w:r>
              <w:rPr>
                <w:sz w:val="16"/>
              </w:rPr>
              <w:t xml:space="preserve">-1.94 [-2.46, -1.43]</w:t>
            </w:r>
          </w:p>
        </w:tc>
        <w:tc>
          <w:tcPr/>
          <w:p>
            <w:pPr>
              <w:pStyle w:val="Compact"/>
              <w:spacing w:after="0" w:before="0" w:line="240" w:lineRule="auto"/>
              <w:jc w:val="center"/>
            </w:pPr>
            <w:r>
              <w:rPr>
                <w:sz w:val="16"/>
              </w:rPr>
              <w:t xml:space="preserve">&lt;0.001</w:t>
            </w:r>
          </w:p>
        </w:tc>
        <w:tc>
          <w:tcPr/>
          <w:p>
            <w:pPr>
              <w:pStyle w:val="Compact"/>
              <w:spacing w:after="0" w:before="0" w:line="240" w:lineRule="auto"/>
              <w:jc w:val="center"/>
            </w:pPr>
            <w:r>
              <w:rPr>
                <w:sz w:val="16"/>
              </w:rPr>
              <w:t xml:space="preserve">-2.40</w:t>
            </w:r>
          </w:p>
        </w:tc>
      </w:tr>
      <w:tr>
        <w:tc>
          <w:tcPr/>
          <w:p>
            <w:pPr>
              <w:pStyle w:val="Compact"/>
              <w:spacing w:after="0" w:before="0" w:line="240" w:lineRule="auto"/>
              <w:jc w:val="left"/>
            </w:pPr>
            <w:r>
              <w:rPr>
                <w:sz w:val="16"/>
              </w:rPr>
              <w:t xml:space="preserve">Communication (C)</w:t>
            </w:r>
          </w:p>
        </w:tc>
        <w:tc>
          <w:tcPr/>
          <w:p>
            <w:pPr>
              <w:pStyle w:val="Compact"/>
              <w:spacing w:after="0" w:before="0" w:line="240" w:lineRule="auto"/>
              <w:jc w:val="center"/>
            </w:pPr>
            <w:r>
              <w:rPr>
                <w:sz w:val="16"/>
              </w:rPr>
              <w:t xml:space="preserve">0.0049 [0.0041, 0.0062]</w:t>
            </w:r>
          </w:p>
        </w:tc>
        <w:tc>
          <w:tcPr/>
          <w:p>
            <w:pPr>
              <w:pStyle w:val="Compact"/>
              <w:spacing w:after="0" w:before="0" w:line="240" w:lineRule="auto"/>
              <w:jc w:val="center"/>
            </w:pPr>
            <w:r>
              <w:rPr>
                <w:sz w:val="16"/>
              </w:rPr>
              <w:t xml:space="preserve">1.9</w:t>
            </w:r>
          </w:p>
        </w:tc>
        <w:tc>
          <w:tcPr/>
          <w:p>
            <w:pPr>
              <w:pStyle w:val="Compact"/>
              <w:spacing w:after="0" w:before="0" w:line="240" w:lineRule="auto"/>
              <w:jc w:val="center"/>
            </w:pPr>
            <w:r>
              <w:rPr>
                <w:sz w:val="16"/>
              </w:rPr>
              <w:t xml:space="preserve">-0.49 [-0.95, -0.03]</w:t>
            </w:r>
          </w:p>
        </w:tc>
        <w:tc>
          <w:tcPr/>
          <w:p>
            <w:pPr>
              <w:pStyle w:val="Compact"/>
              <w:spacing w:after="0" w:before="0" w:line="240" w:lineRule="auto"/>
              <w:jc w:val="center"/>
            </w:pPr>
            <w:r>
              <w:rPr>
                <w:sz w:val="16"/>
              </w:rPr>
              <w:t xml:space="preserve">0.039</w:t>
            </w:r>
          </w:p>
        </w:tc>
        <w:tc>
          <w:tcPr/>
          <w:p>
            <w:pPr>
              <w:pStyle w:val="Compact"/>
              <w:spacing w:after="0" w:before="0" w:line="240" w:lineRule="auto"/>
              <w:jc w:val="center"/>
            </w:pPr>
            <w:r>
              <w:rPr>
                <w:sz w:val="16"/>
              </w:rPr>
              <w:t xml:space="preserve">-0.65</w:t>
            </w:r>
          </w:p>
        </w:tc>
      </w:tr>
      <w:tr>
        <w:tc>
          <w:tcPr/>
          <w:p>
            <w:pPr>
              <w:pStyle w:val="Compact"/>
              <w:spacing w:after="0" w:before="0" w:line="240" w:lineRule="auto"/>
              <w:jc w:val="left"/>
            </w:pPr>
            <w:r>
              <w:rPr>
                <w:sz w:val="16"/>
              </w:rPr>
              <w:t xml:space="preserve">Ethical suitability (E)</w:t>
            </w:r>
          </w:p>
        </w:tc>
        <w:tc>
          <w:tcPr/>
          <w:p>
            <w:pPr>
              <w:pStyle w:val="Compact"/>
              <w:spacing w:after="0" w:before="0" w:line="240" w:lineRule="auto"/>
              <w:jc w:val="center"/>
            </w:pPr>
            <w:r>
              <w:rPr>
                <w:sz w:val="16"/>
              </w:rPr>
              <w:t xml:space="preserve">0.0020 [0.0013, 0.0033]</w:t>
            </w:r>
          </w:p>
        </w:tc>
        <w:tc>
          <w:tcPr/>
          <w:p>
            <w:pPr>
              <w:pStyle w:val="Compact"/>
              <w:spacing w:after="0" w:before="0" w:line="240" w:lineRule="auto"/>
              <w:jc w:val="center"/>
            </w:pPr>
            <w:r>
              <w:rPr>
                <w:sz w:val="16"/>
              </w:rPr>
              <w:t xml:space="preserve">0.8</w:t>
            </w:r>
          </w:p>
        </w:tc>
        <w:tc>
          <w:tcPr/>
          <w:p>
            <w:pPr>
              <w:pStyle w:val="Compact"/>
              <w:spacing w:after="0" w:before="0" w:line="240" w:lineRule="auto"/>
              <w:jc w:val="center"/>
            </w:pPr>
            <w:r>
              <w:rPr>
                <w:sz w:val="16"/>
              </w:rPr>
              <w:t xml:space="preserve">-0.02 [-0.43, 0.38]</w:t>
            </w:r>
          </w:p>
        </w:tc>
        <w:tc>
          <w:tcPr/>
          <w:p>
            <w:pPr>
              <w:pStyle w:val="Compact"/>
              <w:spacing w:after="0" w:before="0" w:line="240" w:lineRule="auto"/>
              <w:jc w:val="center"/>
            </w:pPr>
            <w:r>
              <w:rPr>
                <w:sz w:val="16"/>
              </w:rPr>
              <w:t xml:space="preserve">0.910</w:t>
            </w:r>
          </w:p>
        </w:tc>
        <w:tc>
          <w:tcPr/>
          <w:p>
            <w:pPr>
              <w:pStyle w:val="Compact"/>
              <w:spacing w:after="0" w:before="0" w:line="240" w:lineRule="auto"/>
              <w:jc w:val="center"/>
            </w:pPr>
            <w:r>
              <w:rPr>
                <w:sz w:val="16"/>
              </w:rPr>
              <w:t xml:space="preserve">-0.14</w:t>
            </w:r>
          </w:p>
        </w:tc>
      </w:tr>
      <w:tr>
        <w:tc>
          <w:tcPr>
            <w:gridSpan w:val="6"/>
          </w:tcPr>
          <w:p>
            <w:pPr>
              <w:pStyle w:val="Compact"/>
              <w:spacing w:after="0" w:before="0" w:line="240" w:lineRule="auto"/>
              <w:jc w:val="left"/>
            </w:pPr>
            <w:r>
              <w:rPr>
                <w:sz w:val="16"/>
              </w:rPr>
              <w:t xml:space="preserve">ICC (null model): TSI 0.084, TRFS 0.090; marginal / conditional</w:t>
            </w:r>
            <w:r>
              <w:rPr>
                <w:sz w:val="16"/>
              </w:rPr>
              <w:t xml:space="preserve"> </w:t>
            </w:r>
            <m:oMath>
              <m:sSup>
                <m:e>
                  <m:r>
                    <m:t>R</m:t>
                  </m:r>
                </m:e>
                <m:sup>
                  <m:r>
                    <m:t>2</m:t>
                  </m:r>
                </m:sup>
              </m:sSup>
            </m:oMath>
            <w:r>
              <w:rPr>
                <w:sz w:val="16"/>
              </w:rPr>
              <w:t xml:space="preserve"> </w:t>
            </w:r>
            <w:r>
              <w:rPr>
                <w:sz w:val="16"/>
              </w:rPr>
              <w:t xml:space="preserve">= 0.239 / 0.278; LR test for the country intercept:</w:t>
            </w:r>
            <w:r>
              <w:rPr>
                <w:sz w:val="16"/>
              </w:rPr>
              <w:t xml:space="preserve"> </w:t>
            </w:r>
            <m:oMath>
              <m:sSup>
                <m:e>
                  <m:r>
                    <m:t>χ</m:t>
                  </m:r>
                </m:e>
                <m:sup>
                  <m:r>
                    <m:t>2</m:t>
                  </m:r>
                </m:sup>
              </m:sSup>
              <m:r>
                <m:rPr>
                  <m:sty m:val="p"/>
                </m:rPr>
                <m:t>=</m:t>
              </m:r>
              <m:r>
                <m:t>342.7</m:t>
              </m:r>
            </m:oMath>
            <w:r>
              <w:rPr>
                <w:sz w:val="16"/>
              </w:rPr>
              <w:t xml:space="preserve">,</w:t>
            </w:r>
            <w:r>
              <w:rPr>
                <w:sz w:val="16"/>
              </w:rPr>
              <w:t xml:space="preserve"> </w:t>
            </w:r>
            <m:oMath>
              <m:r>
                <m:t>p</m:t>
              </m:r>
              <m:r>
                <m:rPr>
                  <m:sty m:val="p"/>
                </m:rPr>
                <m:t>&lt;</m:t>
              </m:r>
              <m:r>
                <m:t>0.001</m:t>
              </m:r>
            </m:oMath>
            <w:r>
              <w:rPr>
                <w:sz w:val="16"/>
              </w:rPr>
              <w:t xml:space="preserve">.</w:t>
            </w:r>
          </w:p>
        </w:tc>
      </w:tr>
    </w:tbl>
    <w:bookmarkEnd w:id="97"/>
    <w:bookmarkStart w:id="101" w:name="country-level-variation"/>
    <w:p>
      <w:pPr>
        <w:pStyle w:val="Heading2"/>
      </w:pPr>
      <w:r>
        <w:rPr>
          <w:rStyle w:val="SectionNumber"/>
        </w:rPr>
        <w:t xml:space="preserve">5.10</w:t>
      </w:r>
      <w:r>
        <w:tab/>
      </w:r>
      <w:r>
        <w:t xml:space="preserve">Country-level variation</w:t>
      </w:r>
    </w:p>
    <w:p>
      <w:pPr>
        <w:pStyle w:val="FirstParagraph"/>
      </w:pPr>
      <w:r>
        <w:t xml:space="preserve">Country membership accounted for 0.090 of the variance of the TRFS and 0.084 of the variance of the TSI (null-model ICCs). This variance is small but highly significant (LR </w:t>
      </w:r>
      <m:oMath>
        <m:r>
          <m:rPr>
            <m:sty m:val="p"/>
          </m:rPr>
          <m:t>=</m:t>
        </m:r>
        <m:r>
          <m:t>342.7</m:t>
        </m:r>
      </m:oMath>
      <w:r>
        <w:t xml:space="preserve">,</w:t>
      </w:r>
      <w:r>
        <w:t xml:space="preserve"> </w:t>
      </w:r>
      <m:oMath>
        <m:r>
          <m:t>p</m:t>
        </m:r>
        <m:r>
          <m:rPr>
            <m:sty m:val="p"/>
          </m:rPr>
          <m:t>&lt;</m:t>
        </m:r>
        <m:r>
          <m:t>0.001</m:t>
        </m:r>
      </m:oMath>
      <w:r>
        <w:t xml:space="preserve">). After the eight factors were controlled, the residual country ICC of the TSI fell to 0.051. The fixed effects were very close to the single-level estimates (Fig. 12b). Assessment capability (</w:t>
      </w:r>
      <m:oMath>
        <m:r>
          <m:t>β</m:t>
        </m:r>
        <m:r>
          <m:rPr>
            <m:sty m:val="p"/>
          </m:rPr>
          <m:t>=</m:t>
        </m:r>
        <m:r>
          <m:t>4.65</m:t>
        </m:r>
      </m:oMath>
      <w:r>
        <w:t xml:space="preserve"> </w:t>
      </w:r>
      <w:r>
        <w:t xml:space="preserve">TSI points per SD), reliability (4.38), student engagement (3.65) and personalization (2.98) had the largest positive effects. Teaching effectiveness (</w:t>
      </w:r>
      <m:oMath>
        <m:r>
          <m:t>β</m:t>
        </m:r>
        <m:r>
          <m:rPr>
            <m:sty m:val="p"/>
          </m:rPr>
          <m:t>=</m:t>
        </m:r>
        <m:r>
          <m:rPr>
            <m:sty m:val="p"/>
          </m:rPr>
          <m:t>−</m:t>
        </m:r>
        <m:r>
          <m:t>1.94</m:t>
        </m:r>
      </m:oMath>
      <w:r>
        <w:t xml:space="preserve">) and communication (-0.49) had small</w:t>
      </w:r>
      <w:r>
        <w:t xml:space="preserve"> </w:t>
      </w:r>
      <w:r>
        <w:rPr>
          <w:iCs/>
          <w:i/>
        </w:rPr>
        <w:t xml:space="preserve">negative</w:t>
      </w:r>
      <w:r>
        <w:t xml:space="preserve"> </w:t>
      </w:r>
      <w:r>
        <w:t xml:space="preserve">conditional effects, a classic suppression pattern. Holding perceived learning benefits constant, students who mainly value ChatGPT for summarising and explaining are slightly</w:t>
      </w:r>
      <w:r>
        <w:t xml:space="preserve"> </w:t>
      </w:r>
      <w:r>
        <w:rPr>
          <w:iCs/>
          <w:i/>
        </w:rPr>
        <w:t xml:space="preserve">less</w:t>
      </w:r>
      <w:r>
        <w:t xml:space="preserve"> </w:t>
      </w:r>
      <w:r>
        <w:t xml:space="preserve">inclined to see it as a substitute for their professors. Ethical suitability had no effect (-0.02). The marginal and conditional</w:t>
      </w:r>
      <w:r>
        <w:t xml:space="preserve"> </w:t>
      </w:r>
      <m:oMath>
        <m:sSup>
          <m:e>
            <m:r>
              <m:t>R</m:t>
            </m:r>
          </m:e>
          <m:sup>
            <m:r>
              <m:t>2</m:t>
            </m:r>
          </m:sup>
        </m:sSup>
      </m:oMath>
      <w:r>
        <w:t xml:space="preserve"> </w:t>
      </w:r>
      <w:r>
        <w:t xml:space="preserve">were 0.239 and 0.278. Country mean TRFS ranged from about 40 to 71 (Fig. 12a): it was highest in Estonia and in several African and Asian countries (e.g. Egypt, Ghana, Bangladesh and Tanzania) and lowest in, for example, Japan and Austria. National context therefore shifts the</w:t>
      </w:r>
      <w:r>
        <w:t xml:space="preserve"> </w:t>
      </w:r>
      <w:r>
        <w:rPr>
          <w:iCs/>
          <w:i/>
        </w:rPr>
        <w:t xml:space="preserve">level</w:t>
      </w:r>
      <w:r>
        <w:t xml:space="preserve"> </w:t>
      </w:r>
      <w:r>
        <w:t xml:space="preserve">of perceived feasibility, but not the pattern of its determinants.</w:t>
      </w:r>
    </w:p>
    <w:p>
      <w:pPr>
        <w:pStyle w:val="CaptionedFigure"/>
      </w:pPr>
      <w:r>
        <w:drawing>
          <wp:inline>
            <wp:extent cx="5334000" cy="3261494"/>
            <wp:effectExtent b="0" l="0" r="0" t="0"/>
            <wp:docPr descr="" title="" id="99" name="Picture"/>
            <a:graphic>
              <a:graphicData uri="http://schemas.openxmlformats.org/drawingml/2006/picture">
                <pic:pic>
                  <pic:nvPicPr>
                    <pic:cNvPr descr="/home/user/Data-Visualization/ai-teacher-feasibility/results/figures/fig13_multilevel.png" id="100" name="Picture"/>
                    <pic:cNvPicPr>
                      <a:picLocks noChangeArrowheads="1" noChangeAspect="1"/>
                    </pic:cNvPicPr>
                  </pic:nvPicPr>
                  <pic:blipFill>
                    <a:blip r:embed="rId98"/>
                    <a:stretch>
                      <a:fillRect/>
                    </a:stretch>
                  </pic:blipFill>
                  <pic:spPr bwMode="auto">
                    <a:xfrm>
                      <a:off x="0" y="0"/>
                      <a:ext cx="5334000" cy="3261494"/>
                    </a:xfrm>
                    <a:prstGeom prst="rect">
                      <a:avLst/>
                    </a:prstGeom>
                    <a:noFill/>
                    <a:ln w="9525">
                      <a:noFill/>
                      <a:headEnd/>
                      <a:tailEnd/>
                    </a:ln>
                  </pic:spPr>
                </pic:pic>
              </a:graphicData>
            </a:graphic>
          </wp:inline>
        </w:drawing>
      </w:r>
    </w:p>
    <w:p>
      <w:pPr>
        <w:pStyle w:val="ImageCaption"/>
      </w:pPr>
      <w:r>
        <w:t xml:space="preserve">Fig. 12. Multilevel results. (a) Country random intercepts for the TRFS (countries with</w:t>
      </w:r>
      <w:r>
        <w:t xml:space="preserve"> </w:t>
      </w:r>
      <m:oMath>
        <m:r>
          <m:t>n</m:t>
        </m:r>
        <m:r>
          <m:rPr>
            <m:sty m:val="p"/>
          </m:rPr>
          <m:t>≥</m:t>
        </m:r>
        <m:r>
          <m:t>100</m:t>
        </m:r>
      </m:oMath>
      <w:r>
        <w:t xml:space="preserve">; BLUP</w:t>
      </w:r>
      <w:r>
        <w:t xml:space="preserve"> </w:t>
      </w:r>
      <m:oMath>
        <m:r>
          <m:rPr>
            <m:sty m:val="p"/>
          </m:rPr>
          <m:t>±</m:t>
        </m:r>
      </m:oMath>
      <w:r>
        <w:t xml:space="preserve"> </w:t>
      </w:r>
      <w:r>
        <w:t xml:space="preserve">95% CI; dashed line: grand mean). (b) Fixed effects of the eight standardised factors on the TSI from the random-intercept model, compared with single-level OLS.</w:t>
      </w:r>
    </w:p>
    <w:bookmarkEnd w:id="101"/>
    <w:bookmarkStart w:id="108" w:name="Xb857bcd4156d6e450325bc7eb641b78347230e0"/>
    <w:p>
      <w:pPr>
        <w:pStyle w:val="Heading2"/>
      </w:pPr>
      <w:r>
        <w:rPr>
          <w:rStyle w:val="SectionNumber"/>
        </w:rPr>
        <w:t xml:space="preserve">5.11</w:t>
      </w:r>
      <w:r>
        <w:tab/>
      </w:r>
      <w:r>
        <w:t xml:space="preserve">Heterogeneity across the criterion distribution and across students</w:t>
      </w:r>
    </w:p>
    <w:p>
      <w:pPr>
        <w:pStyle w:val="FirstParagraph"/>
      </w:pPr>
      <w:r>
        <w:t xml:space="preserve">Quantile regression showed a positive TRFS effect at every quantile (Fig. 13). The effect was largest around the median (</w:t>
      </w:r>
      <m:oMath>
        <m:sSub>
          <m:e>
            <m:r>
              <m:t>β</m:t>
            </m:r>
          </m:e>
          <m:sub>
            <m:r>
              <m:t>0.5</m:t>
            </m:r>
          </m:sub>
        </m:sSub>
        <m:r>
          <m:rPr>
            <m:sty m:val="p"/>
          </m:rPr>
          <m:t>=</m:t>
        </m:r>
        <m:r>
          <m:t>5.73</m:t>
        </m:r>
      </m:oMath>
      <w:r>
        <w:t xml:space="preserve"> </w:t>
      </w:r>
      <w:r>
        <w:t xml:space="preserve">TSI points per 10 TRFS points) and smaller in the tails (</w:t>
      </w:r>
      <m:oMath>
        <m:sSub>
          <m:e>
            <m:r>
              <m:t>β</m:t>
            </m:r>
          </m:e>
          <m:sub>
            <m:r>
              <m:t>0.1</m:t>
            </m:r>
          </m:sub>
        </m:sSub>
        <m:r>
          <m:rPr>
            <m:sty m:val="p"/>
          </m:rPr>
          <m:t>=</m:t>
        </m:r>
        <m:r>
          <m:t>4.90</m:t>
        </m:r>
      </m:oMath>
      <w:r>
        <w:t xml:space="preserve">,</w:t>
      </w:r>
      <w:r>
        <w:t xml:space="preserve"> </w:t>
      </w:r>
      <m:oMath>
        <m:sSub>
          <m:e>
            <m:r>
              <m:t>β</m:t>
            </m:r>
          </m:e>
          <m:sub>
            <m:r>
              <m:t>0.9</m:t>
            </m:r>
          </m:sub>
        </m:sSub>
        <m:r>
          <m:rPr>
            <m:sty m:val="p"/>
          </m:rPr>
          <m:t>=</m:t>
        </m:r>
        <m:r>
          <m:t>4.94</m:t>
        </m:r>
      </m:oMath>
      <w:r>
        <w:t xml:space="preserve">; OLS 5.03). Perceived feasibility therefore discriminates best among students with moderate substitution attitudes. At the extremes, attitudes appear anchored by factors outside the framework.</w:t>
      </w:r>
    </w:p>
    <w:p>
      <w:pPr>
        <w:pStyle w:val="CaptionedFigure"/>
      </w:pPr>
      <w:r>
        <w:drawing>
          <wp:inline>
            <wp:extent cx="4097979" cy="2315052"/>
            <wp:effectExtent b="0" l="0" r="0" t="0"/>
            <wp:docPr descr="" title="" id="103" name="Picture"/>
            <a:graphic>
              <a:graphicData uri="http://schemas.openxmlformats.org/drawingml/2006/picture">
                <pic:pic>
                  <pic:nvPicPr>
                    <pic:cNvPr descr="/home/user/Data-Visualization/ai-teacher-feasibility/results/figures/fig14_quantile_regression.png" id="104" name="Picture"/>
                    <pic:cNvPicPr>
                      <a:picLocks noChangeArrowheads="1" noChangeAspect="1"/>
                    </pic:cNvPicPr>
                  </pic:nvPicPr>
                  <pic:blipFill>
                    <a:blip r:embed="rId102"/>
                    <a:stretch>
                      <a:fillRect/>
                    </a:stretch>
                  </pic:blipFill>
                  <pic:spPr bwMode="auto">
                    <a:xfrm>
                      <a:off x="0" y="0"/>
                      <a:ext cx="4097979" cy="2315052"/>
                    </a:xfrm>
                    <a:prstGeom prst="rect">
                      <a:avLst/>
                    </a:prstGeom>
                    <a:noFill/>
                    <a:ln w="9525">
                      <a:noFill/>
                      <a:headEnd/>
                      <a:tailEnd/>
                    </a:ln>
                  </pic:spPr>
                </pic:pic>
              </a:graphicData>
            </a:graphic>
          </wp:inline>
        </w:drawing>
      </w:r>
    </w:p>
    <w:p>
      <w:pPr>
        <w:pStyle w:val="ImageCaption"/>
      </w:pPr>
      <w:r>
        <w:t xml:space="preserve">Fig. 13. Quantile-regression coefficients of the TSI on the TRFS (per 10 points) with 95% CIs, averaged over 20 jittered replications; the horizontal line and band show the OLS estimate and its CI.</w:t>
      </w:r>
    </w:p>
    <w:p>
      <w:pPr>
        <w:pStyle w:val="BodyText"/>
      </w:pPr>
      <w:r>
        <w:t xml:space="preserve">The selection rule retained</w:t>
      </w:r>
      <w:r>
        <w:t xml:space="preserve"> </w:t>
      </w:r>
      <m:oMath>
        <m:r>
          <m:t>k</m:t>
        </m:r>
        <m:r>
          <m:rPr>
            <m:sty m:val="p"/>
          </m:rPr>
          <m:t>=</m:t>
        </m:r>
        <m:r>
          <m:t>2</m:t>
        </m:r>
      </m:oMath>
      <w:r>
        <w:t xml:space="preserve"> </w:t>
      </w:r>
      <w:r>
        <w:t xml:space="preserve">clusters (silhouette 0.262, bootstrap ARI 0.986). These separated an</w:t>
      </w:r>
      <w:r>
        <w:t xml:space="preserve"> </w:t>
      </w:r>
      <w:r>
        <w:rPr>
          <w:iCs/>
          <w:i/>
        </w:rPr>
        <w:t xml:space="preserve">AI-sceptical</w:t>
      </w:r>
      <w:r>
        <w:t xml:space="preserve"> </w:t>
      </w:r>
      <w:r>
        <w:t xml:space="preserve">group (45.8%; mean TRFS 38.2) from an</w:t>
      </w:r>
      <w:r>
        <w:t xml:space="preserve"> </w:t>
      </w:r>
      <w:r>
        <w:rPr>
          <w:iCs/>
          <w:i/>
        </w:rPr>
        <w:t xml:space="preserve">AI-receptive</w:t>
      </w:r>
      <w:r>
        <w:t xml:space="preserve"> </w:t>
      </w:r>
      <w:r>
        <w:t xml:space="preserve">group (54.2%; mean TRFS 60.8). The first principal component of the ten activity capabilities explained 53.7% of their variance. Students therefore differ mainly in their</w:t>
      </w:r>
      <w:r>
        <w:t xml:space="preserve"> </w:t>
      </w:r>
      <w:r>
        <w:rPr>
          <w:iCs/>
          <w:i/>
        </w:rPr>
        <w:t xml:space="preserve">overall</w:t>
      </w:r>
      <w:r>
        <w:t xml:space="preserve"> </w:t>
      </w:r>
      <w:r>
        <w:t xml:space="preserve">level of confidence in AI and much less in the</w:t>
      </w:r>
      <w:r>
        <w:t xml:space="preserve"> </w:t>
      </w:r>
      <w:r>
        <w:rPr>
          <w:iCs/>
          <w:i/>
        </w:rPr>
        <w:t xml:space="preserve">shape</w:t>
      </w:r>
      <w:r>
        <w:t xml:space="preserve"> </w:t>
      </w:r>
      <w:r>
        <w:t xml:space="preserve">of their profiles. The finer three-cluster solution (silhouette 0.197, ARI 0.957; Fig. 14) is informative for policy. It distinguishes</w:t>
      </w:r>
      <w:r>
        <w:t xml:space="preserve"> </w:t>
      </w:r>
      <w:r>
        <w:rPr>
          <w:iCs/>
          <w:i/>
        </w:rPr>
        <w:t xml:space="preserve">AI-sceptical</w:t>
      </w:r>
      <w:r>
        <w:t xml:space="preserve"> </w:t>
      </w:r>
      <w:r>
        <w:t xml:space="preserve">(17.4%, TRFS 30.9),</w:t>
      </w:r>
      <w:r>
        <w:t xml:space="preserve"> </w:t>
      </w:r>
      <w:r>
        <w:rPr>
          <w:iCs/>
          <w:i/>
        </w:rPr>
        <w:t xml:space="preserve">ambivalent</w:t>
      </w:r>
      <w:r>
        <w:t xml:space="preserve"> </w:t>
      </w:r>
      <w:r>
        <w:t xml:space="preserve">(49.4%, TRFS 46.5) and</w:t>
      </w:r>
      <w:r>
        <w:t xml:space="preserve"> </w:t>
      </w:r>
      <w:r>
        <w:rPr>
          <w:iCs/>
          <w:i/>
        </w:rPr>
        <w:t xml:space="preserve">AI-enthusiastic</w:t>
      </w:r>
      <w:r>
        <w:t xml:space="preserve"> </w:t>
      </w:r>
      <w:r>
        <w:t xml:space="preserve">students (33.2%, TRFS 66.6). For the enthusiastic third of students the mean overall score lies</w:t>
      </w:r>
      <w:r>
        <w:t xml:space="preserve"> </w:t>
      </w:r>
      <w:r>
        <w:rPr>
          <w:iCs/>
          <w:i/>
        </w:rPr>
        <w:t xml:space="preserve">above</w:t>
      </w:r>
      <w:r>
        <w:t xml:space="preserve"> </w:t>
      </w:r>
      <w:r>
        <w:t xml:space="preserve">the full-replacement threshold. Two activities exceed 65 in this group (content explanation 66.0 and personalised learning 65.2), and most others lie just below it (Fig. 14b). For the sceptical sixth, eight of the ten activities fall into the human-involvement band; only content explanation and question answering (both about 39) remain in the partial band. Content explanation is among the two highest-rated activities in every group, and problem solving is among the three lowest. The middle of the ranking differs between groups: sceptics, for example, place emotional and social support third, whereas enthusiasts place it last. This activity partly reflects concerns about reduced human contact (reverse-coded), which vary less with general AI confidence than the capability items do. Typology was only weakly associated with field of study (Cramér’s</w:t>
      </w:r>
      <w:r>
        <w:t xml:space="preserve"> </w:t>
      </w:r>
      <m:oMath>
        <m:r>
          <m:t>V</m:t>
        </m:r>
        <m:r>
          <m:rPr>
            <m:sty m:val="p"/>
          </m:rPr>
          <m:t>=</m:t>
        </m:r>
        <m:r>
          <m:t>0.059</m:t>
        </m:r>
      </m:oMath>
      <w:r>
        <w:t xml:space="preserve">), but it was clearly associated with the TSI (</w:t>
      </w:r>
      <m:oMath>
        <m:sSup>
          <m:e>
            <m:r>
              <m:t>ε</m:t>
            </m:r>
          </m:e>
          <m:sup>
            <m:r>
              <m:t>2</m:t>
            </m:r>
          </m:sup>
        </m:sSup>
        <m:r>
          <m:rPr>
            <m:sty m:val="p"/>
          </m:rPr>
          <m:t>=</m:t>
        </m:r>
        <m:r>
          <m:t>0.168</m:t>
        </m:r>
      </m:oMath>
      <w:r>
        <w:t xml:space="preserve">).</w:t>
      </w:r>
    </w:p>
    <w:p>
      <w:pPr>
        <w:pStyle w:val="CaptionedFigure"/>
      </w:pPr>
      <w:r>
        <w:drawing>
          <wp:inline>
            <wp:extent cx="5334000" cy="2513751"/>
            <wp:effectExtent b="0" l="0" r="0" t="0"/>
            <wp:docPr descr="" title="" id="106" name="Picture"/>
            <a:graphic>
              <a:graphicData uri="http://schemas.openxmlformats.org/drawingml/2006/picture">
                <pic:pic>
                  <pic:nvPicPr>
                    <pic:cNvPr descr="/home/user/Data-Visualization/ai-teacher-feasibility/results/figures/fig15_typology.png" id="107" name="Picture"/>
                    <pic:cNvPicPr>
                      <a:picLocks noChangeArrowheads="1" noChangeAspect="1"/>
                    </pic:cNvPicPr>
                  </pic:nvPicPr>
                  <pic:blipFill>
                    <a:blip r:embed="rId105"/>
                    <a:stretch>
                      <a:fillRect/>
                    </a:stretch>
                  </pic:blipFill>
                  <pic:spPr bwMode="auto">
                    <a:xfrm>
                      <a:off x="0" y="0"/>
                      <a:ext cx="5334000" cy="2513751"/>
                    </a:xfrm>
                    <a:prstGeom prst="rect">
                      <a:avLst/>
                    </a:prstGeom>
                    <a:noFill/>
                    <a:ln w="9525">
                      <a:noFill/>
                      <a:headEnd/>
                      <a:tailEnd/>
                    </a:ln>
                  </pic:spPr>
                </pic:pic>
              </a:graphicData>
            </a:graphic>
          </wp:inline>
        </w:drawing>
      </w:r>
    </w:p>
    <w:p>
      <w:pPr>
        <w:pStyle w:val="ImageCaption"/>
      </w:pPr>
      <w:r>
        <w:t xml:space="preserve">Fig. 14. Student typologies (</w:t>
      </w:r>
      <m:oMath>
        <m:r>
          <m:t>k</m:t>
        </m:r>
      </m:oMath>
      <w:r>
        <w:t xml:space="preserve">-means, three-cluster solution). (a) Mean perceived capability per activity (1–5). (b) Mean activity feasibility scores per typology; shaded bands mark the human-involvement and full-replacement regions.</w:t>
      </w:r>
    </w:p>
    <w:bookmarkEnd w:id="108"/>
    <w:bookmarkStart w:id="115" w:name="Xba7556a32e485db4cce5e69b23bb914b7892ac7"/>
    <w:p>
      <w:pPr>
        <w:pStyle w:val="Heading2"/>
      </w:pPr>
      <w:r>
        <w:rPr>
          <w:rStyle w:val="SectionNumber"/>
        </w:rPr>
        <w:t xml:space="preserve">5.12</w:t>
      </w:r>
      <w:r>
        <w:tab/>
      </w:r>
      <w:r>
        <w:t xml:space="preserve">Effect sizes, practical equivalence and measurement invariance</w:t>
      </w:r>
    </w:p>
    <w:p>
      <w:pPr>
        <w:pStyle w:val="FirstParagraph"/>
      </w:pPr>
      <w:r>
        <w:t xml:space="preserve">Fig. 15 shows the full distribution of every activity score. The effect sizes against the neutral centre were small (Cohen’s</w:t>
      </w:r>
      <w:r>
        <w:t xml:space="preserve"> </w:t>
      </w:r>
      <m:oMath>
        <m:sSub>
          <m:e>
            <m:r>
              <m:t>d</m:t>
            </m:r>
          </m:e>
          <m:sub>
            <m:r>
              <m:t>z</m:t>
            </m:r>
          </m:sub>
        </m:sSub>
      </m:oMath>
      <w:r>
        <w:t xml:space="preserve"> </w:t>
      </w:r>
      <w:r>
        <w:t xml:space="preserve">from -0.18 to 0.25; Fig. 16a). TOST established practical equivalence to 50 (</w:t>
      </w:r>
      <m:oMath>
        <m:r>
          <m:rPr>
            <m:sty m:val="p"/>
          </m:rPr>
          <m:t>±</m:t>
        </m:r>
        <m:r>
          <m:t>2</m:t>
        </m:r>
      </m:oMath>
      <w:r>
        <w:t xml:space="preserve"> </w:t>
      </w:r>
      <w:r>
        <w:t xml:space="preserve">points) for 5 activities: personalised learning, assignment feedback, assessment, motivation and academic guidance. Their mean scores are thus statistically indistinguishable from a perfectly balanced human–AI split. Content explanation and question answering lay reliably above this band, and problem solving, classroom communication and socio-emotional support lay below it. Every activity mean was significantly below the 65-point replacement threshold (one-sided</w:t>
      </w:r>
      <w:r>
        <w:t xml:space="preserve"> </w:t>
      </w:r>
      <m:oMath>
        <m:r>
          <m:t>p</m:t>
        </m:r>
        <m:r>
          <m:rPr>
            <m:sty m:val="p"/>
          </m:rPr>
          <m:t>&lt;</m:t>
        </m:r>
        <m:r>
          <m:t>0.001</m:t>
        </m:r>
      </m:oMath>
      <w:r>
        <w:t xml:space="preserve">).</w:t>
      </w:r>
    </w:p>
    <w:p>
      <w:pPr>
        <w:pStyle w:val="BodyText"/>
      </w:pPr>
      <w:r>
        <w:t xml:space="preserve">The eight-factor model fitted acceptably in all 12 subgroups (CFI </w:t>
      </w:r>
      <m:oMath>
        <m:r>
          <m:rPr>
            <m:sty m:val="p"/>
          </m:rPr>
          <m:t>≥</m:t>
        </m:r>
        <m:r>
          <m:t>0.924</m:t>
        </m:r>
      </m:oMath>
      <w:r>
        <w:t xml:space="preserve">, RMSEA </w:t>
      </w:r>
      <m:oMath>
        <m:r>
          <m:rPr>
            <m:sty m:val="p"/>
          </m:rPr>
          <m:t>≤</m:t>
        </m:r>
        <m:r>
          <m:t>0.062</m:t>
        </m:r>
      </m:oMath>
      <w:r>
        <w:t xml:space="preserve">; Table 10). Tucker’s congruence between group-specific and pooled loadings was at least 0.987 for every factor and group, well above the 0.95 criterion for factorial equality. The largest loading difference (0.16) occurred in the smallest language groups. The factor scores therefore measure the same constructs across genders, levels, disciplines and questionnaire languages, and subgroup comparisons of the TRFS are meaningful.</w:t>
      </w:r>
    </w:p>
    <w:p>
      <w:pPr>
        <w:pStyle w:val="CaptionedFigure"/>
      </w:pPr>
      <w:r>
        <w:drawing>
          <wp:inline>
            <wp:extent cx="5334000" cy="2976113"/>
            <wp:effectExtent b="0" l="0" r="0" t="0"/>
            <wp:docPr descr="" title="" id="110" name="Picture"/>
            <a:graphic>
              <a:graphicData uri="http://schemas.openxmlformats.org/drawingml/2006/picture">
                <pic:pic>
                  <pic:nvPicPr>
                    <pic:cNvPr descr="/home/user/Data-Visualization/ai-teacher-feasibility/results/figures/fig11_activity_raincloud.png" id="111" name="Picture"/>
                    <pic:cNvPicPr>
                      <a:picLocks noChangeArrowheads="1" noChangeAspect="1"/>
                    </pic:cNvPicPr>
                  </pic:nvPicPr>
                  <pic:blipFill>
                    <a:blip r:embed="rId109"/>
                    <a:stretch>
                      <a:fillRect/>
                    </a:stretch>
                  </pic:blipFill>
                  <pic:spPr bwMode="auto">
                    <a:xfrm>
                      <a:off x="0" y="0"/>
                      <a:ext cx="5334000" cy="2976113"/>
                    </a:xfrm>
                    <a:prstGeom prst="rect">
                      <a:avLst/>
                    </a:prstGeom>
                    <a:noFill/>
                    <a:ln w="9525">
                      <a:noFill/>
                      <a:headEnd/>
                      <a:tailEnd/>
                    </a:ln>
                  </pic:spPr>
                </pic:pic>
              </a:graphicData>
            </a:graphic>
          </wp:inline>
        </w:drawing>
      </w:r>
    </w:p>
    <w:p>
      <w:pPr>
        <w:pStyle w:val="ImageCaption"/>
      </w:pPr>
      <w:r>
        <w:t xml:space="preserve">Fig. 15. Raincloud plots of the ten activity feasibility scores: kernel density (cloud), interquartile range (bar), mean (circle) and a random subsample of 400 individual scores per activity (rain). Shaded regions mark the three decision categories.</w:t>
      </w:r>
    </w:p>
    <w:p>
      <w:pPr>
        <w:pStyle w:val="CaptionedFigure"/>
      </w:pPr>
      <w:r>
        <w:drawing>
          <wp:inline>
            <wp:extent cx="5334000" cy="1983497"/>
            <wp:effectExtent b="0" l="0" r="0" t="0"/>
            <wp:docPr descr="" title="" id="113" name="Picture"/>
            <a:graphic>
              <a:graphicData uri="http://schemas.openxmlformats.org/drawingml/2006/picture">
                <pic:pic>
                  <pic:nvPicPr>
                    <pic:cNvPr descr="/home/user/Data-Visualization/ai-teacher-feasibility/results/figures/fig17_effects_and_variants.png" id="114" name="Picture"/>
                    <pic:cNvPicPr>
                      <a:picLocks noChangeArrowheads="1" noChangeAspect="1"/>
                    </pic:cNvPicPr>
                  </pic:nvPicPr>
                  <pic:blipFill>
                    <a:blip r:embed="rId112"/>
                    <a:stretch>
                      <a:fillRect/>
                    </a:stretch>
                  </pic:blipFill>
                  <pic:spPr bwMode="auto">
                    <a:xfrm>
                      <a:off x="0" y="0"/>
                      <a:ext cx="5334000" cy="1983497"/>
                    </a:xfrm>
                    <a:prstGeom prst="rect">
                      <a:avLst/>
                    </a:prstGeom>
                    <a:noFill/>
                    <a:ln w="9525">
                      <a:noFill/>
                      <a:headEnd/>
                      <a:tailEnd/>
                    </a:ln>
                  </pic:spPr>
                </pic:pic>
              </a:graphicData>
            </a:graphic>
          </wp:inline>
        </w:drawing>
      </w:r>
    </w:p>
    <w:p>
      <w:pPr>
        <w:pStyle w:val="ImageCaption"/>
      </w:pPr>
      <w:r>
        <w:t xml:space="preserve">Fig. 16. (a) Cohen’s</w:t>
      </w:r>
      <w:r>
        <w:t xml:space="preserve"> </w:t>
      </w:r>
      <m:oMath>
        <m:sSub>
          <m:e>
            <m:r>
              <m:t>d</m:t>
            </m:r>
          </m:e>
          <m:sub>
            <m:r>
              <m:t>z</m:t>
            </m:r>
          </m:sub>
        </m:sSub>
      </m:oMath>
      <w:r>
        <w:t xml:space="preserve"> </w:t>
      </w:r>
      <w:r>
        <w:t xml:space="preserve">of each activity score against the neutral value 50 with 95% CIs; the grey band is the TOST equivalence region (</w:t>
      </w:r>
      <m:oMath>
        <m:r>
          <m:rPr>
            <m:sty m:val="p"/>
          </m:rPr>
          <m:t>±</m:t>
        </m:r>
        <m:r>
          <m:t>2</m:t>
        </m:r>
      </m:oMath>
      <w:r>
        <w:t xml:space="preserve"> </w:t>
      </w:r>
      <w:r>
        <w:t xml:space="preserve">points). (b) Mean activity scores under Mamdani and provably monotone weighted-average inference.</w:t>
      </w:r>
    </w:p>
    <w:p>
      <w:pPr>
        <w:pStyle w:val="TableCaption"/>
      </w:pPr>
      <w:r>
        <w:t xml:space="preserve">Table 10. Measurement invariance of the eight-factor model: group-wise CFA fit and Tucker’s congruence coefficient</w:t>
      </w:r>
      <w:r>
        <w:t xml:space="preserve"> </w:t>
      </w:r>
      <m:oMath>
        <m:r>
          <m:t>φ</m:t>
        </m:r>
      </m:oMath>
      <w:r>
        <w:t xml:space="preserve"> </w:t>
      </w:r>
      <w:r>
        <w:t xml:space="preserve">(Eq. 8) between group and pooled loadings (minimum over the eight factors);</w:t>
      </w:r>
      <w:r>
        <w:t xml:space="preserve"> </w:t>
      </w:r>
      <m:oMath>
        <m:r>
          <m:t>φ</m:t>
        </m:r>
        <m:r>
          <m:rPr>
            <m:sty m:val="p"/>
          </m:rPr>
          <m:t>≥</m:t>
        </m:r>
        <m:r>
          <m:t>0.95</m:t>
        </m:r>
      </m:oMath>
      <w:r>
        <w:t xml:space="preserve"> </w:t>
      </w:r>
      <w:r>
        <w:t xml:space="preserve">indicates factorial equality.</w:t>
      </w:r>
    </w:p>
    <w:tbl>
      <w:tblPr>
        <w:tblStyle w:val="Table"/>
        <w:tblLook w:firstRow="1" w:lastRow="0" w:firstColumn="0" w:lastColumn="0" w:noHBand="0" w:noVBand="0" w:val="0020"/>
        <w:jc w:val="start"/>
        <w:tblCaption w:val="Table 10. Measurement invariance of the eight-factor model: group-wise CFA fit and Tucker’s congruence coefficient \varphi (Eq. 8) between group and pooled loadings (minimum over the eight factors); \varphi\ge0.95 indicates factorial equality."/>
        <w:tblW w:w="5000" w:type="pct"/>
        <w:tblLayout w:type="autofit"/>
        <w:tblBorders>
          <w:top w:val="single" w:sz="12" w:space="0" w:color="000000"/>
          <w:bottom w:val="single" w:sz="12" w:space="0" w:color="000000"/>
        </w:tblBorders>
      </w:tblPr>
      <w:tblGrid>
        <w:gridCol/>
        <w:gridCol/>
        <w:gridCol/>
        <w:gridCol/>
        <w:gridCol/>
        <w:gridCol/>
        <w:gridCol/>
        <w:gridCol/>
      </w:tblGrid>
      <w:tr>
        <w:trPr>
          <w:tblHeader w:val="true"/>
        </w:trPr>
        <w:tc>
          <w:tcPr>
            <w:tcBorders>
              <w:bottom w:val="single" w:sz="6" w:space="0" w:color="000000"/>
            </w:tcBorders>
          </w:tcPr>
          <w:p>
            <w:pPr>
              <w:pStyle w:val="Compact"/>
              <w:spacing w:after="0" w:before="0" w:line="240" w:lineRule="auto"/>
              <w:jc w:val="left"/>
            </w:pPr>
            <w:r>
              <w:rPr>
                <w:b/>
                <w:sz w:val="16"/>
              </w:rPr>
              <w:t xml:space="preserve">Grouping</w:t>
            </w:r>
          </w:p>
        </w:tc>
        <w:tc>
          <w:tcPr>
            <w:tcBorders>
              <w:bottom w:val="single" w:sz="6" w:space="0" w:color="000000"/>
            </w:tcBorders>
          </w:tcPr>
          <w:p>
            <w:pPr>
              <w:pStyle w:val="Compact"/>
              <w:spacing w:after="0" w:before="0" w:line="240" w:lineRule="auto"/>
              <w:jc w:val="left"/>
            </w:pPr>
            <w:r>
              <w:rPr>
                <w:b/>
                <w:sz w:val="16"/>
              </w:rPr>
              <w:t xml:space="preserve">Group</w:t>
            </w:r>
          </w:p>
        </w:tc>
        <w:tc>
          <w:tcPr>
            <w:tcBorders>
              <w:bottom w:val="single" w:sz="6" w:space="0" w:color="000000"/>
            </w:tcBorders>
          </w:tcPr>
          <w:p>
            <w:pPr>
              <w:pStyle w:val="Compact"/>
              <w:spacing w:after="0" w:before="0" w:line="240" w:lineRule="auto"/>
              <w:jc w:val="right"/>
            </w:pPr>
            <m:oMath>
              <m:r>
                <m:t>n</m:t>
              </m:r>
            </m:oMath>
          </w:p>
        </w:tc>
        <w:tc>
          <w:tcPr>
            <w:tcBorders>
              <w:bottom w:val="single" w:sz="6" w:space="0" w:color="000000"/>
            </w:tcBorders>
          </w:tcPr>
          <w:p>
            <w:pPr>
              <w:pStyle w:val="Compact"/>
              <w:spacing w:after="0" w:before="0" w:line="240" w:lineRule="auto"/>
              <w:jc w:val="center"/>
            </w:pPr>
            <w:r>
              <w:rPr>
                <w:b/>
                <w:sz w:val="16"/>
              </w:rPr>
              <w:t xml:space="preserve">CFI</w:t>
            </w:r>
          </w:p>
        </w:tc>
        <w:tc>
          <w:tcPr>
            <w:tcBorders>
              <w:bottom w:val="single" w:sz="6" w:space="0" w:color="000000"/>
            </w:tcBorders>
          </w:tcPr>
          <w:p>
            <w:pPr>
              <w:pStyle w:val="Compact"/>
              <w:spacing w:after="0" w:before="0" w:line="240" w:lineRule="auto"/>
              <w:jc w:val="center"/>
            </w:pPr>
            <w:r>
              <w:rPr>
                <w:b/>
                <w:sz w:val="16"/>
              </w:rPr>
              <w:t xml:space="preserve">RMSEA</w:t>
            </w:r>
          </w:p>
        </w:tc>
        <w:tc>
          <w:tcPr>
            <w:tcBorders>
              <w:bottom w:val="single" w:sz="6" w:space="0" w:color="000000"/>
            </w:tcBorders>
          </w:tcPr>
          <w:p>
            <w:pPr>
              <w:pStyle w:val="Compact"/>
              <w:spacing w:after="0" w:before="0" w:line="240" w:lineRule="auto"/>
              <w:jc w:val="center"/>
            </w:pPr>
            <w:r>
              <w:rPr>
                <w:b/>
                <w:sz w:val="16"/>
              </w:rPr>
              <w:t xml:space="preserve">SRMR</w:t>
            </w:r>
          </w:p>
        </w:tc>
        <w:tc>
          <w:tcPr>
            <w:tcBorders>
              <w:bottom w:val="single" w:sz="6" w:space="0" w:color="000000"/>
            </w:tcBorders>
          </w:tcPr>
          <w:p>
            <w:pPr>
              <w:pStyle w:val="Compact"/>
              <w:spacing w:after="0" w:before="0" w:line="240" w:lineRule="auto"/>
              <w:jc w:val="center"/>
            </w:pPr>
            <w:r>
              <w:rPr>
                <w:b/>
                <w:sz w:val="16"/>
              </w:rPr>
              <w:t xml:space="preserve">min</w:t>
            </w:r>
            <w:r>
              <w:rPr>
                <w:b/>
                <w:sz w:val="16"/>
              </w:rPr>
              <w:t xml:space="preserve"> </w:t>
            </w:r>
            <m:oMath>
              <m:r>
                <m:t>φ</m:t>
              </m:r>
            </m:oMath>
          </w:p>
        </w:tc>
        <w:tc>
          <w:tcPr>
            <w:tcBorders>
              <w:bottom w:val="single" w:sz="6" w:space="0" w:color="000000"/>
            </w:tcBorders>
          </w:tcPr>
          <w:p>
            <w:pPr>
              <w:pStyle w:val="Compact"/>
              <w:spacing w:after="0" w:before="0" w:line="240" w:lineRule="auto"/>
              <w:jc w:val="center"/>
            </w:pPr>
            <w:r>
              <w:rPr>
                <w:b/>
                <w:sz w:val="16"/>
              </w:rPr>
              <w:t xml:space="preserve">max</w:t>
            </w:r>
            <w:r>
              <w:rPr>
                <w:b/>
                <w:sz w:val="16"/>
              </w:rPr>
              <w:t xml:space="preserve"> </w:t>
            </w:r>
            <m:oMath>
              <m:d>
                <m:dPr>
                  <m:begChr m:val="|"/>
                  <m:endChr m:val="|"/>
                  <m:sepChr m:val=""/>
                  <m:grow/>
                </m:dPr>
                <m:e>
                  <m:r>
                    <m:t>Δ</m:t>
                  </m:r>
                  <m:r>
                    <m:t>λ</m:t>
                  </m:r>
                </m:e>
              </m:d>
            </m:oMath>
          </w:p>
        </w:tc>
      </w:tr>
      <w:tr>
        <w:tc>
          <w:tcPr/>
          <w:p>
            <w:pPr>
              <w:pStyle w:val="Compact"/>
              <w:spacing w:after="0" w:before="0" w:line="240" w:lineRule="auto"/>
              <w:jc w:val="left"/>
            </w:pPr>
            <w:r>
              <w:rPr>
                <w:sz w:val="16"/>
              </w:rPr>
              <w:t xml:space="preserve">Gender</w:t>
            </w:r>
          </w:p>
        </w:tc>
        <w:tc>
          <w:tcPr/>
          <w:p>
            <w:pPr>
              <w:pStyle w:val="Compact"/>
              <w:spacing w:after="0" w:before="0" w:line="240" w:lineRule="auto"/>
              <w:jc w:val="left"/>
            </w:pPr>
            <w:r>
              <w:rPr>
                <w:sz w:val="16"/>
              </w:rPr>
              <w:t xml:space="preserve">Female</w:t>
            </w:r>
          </w:p>
        </w:tc>
        <w:tc>
          <w:tcPr/>
          <w:p>
            <w:pPr>
              <w:pStyle w:val="Compact"/>
              <w:spacing w:after="0" w:before="0" w:line="240" w:lineRule="auto"/>
              <w:jc w:val="right"/>
            </w:pPr>
            <w:r>
              <w:rPr>
                <w:sz w:val="16"/>
              </w:rPr>
              <w:t xml:space="preserve">6,476</w:t>
            </w:r>
          </w:p>
        </w:tc>
        <w:tc>
          <w:tcPr/>
          <w:p>
            <w:pPr>
              <w:pStyle w:val="Compact"/>
              <w:spacing w:after="0" w:before="0" w:line="240" w:lineRule="auto"/>
              <w:jc w:val="center"/>
            </w:pPr>
            <w:r>
              <w:rPr>
                <w:sz w:val="16"/>
              </w:rPr>
              <w:t xml:space="preserve">0.939</w:t>
            </w:r>
          </w:p>
        </w:tc>
        <w:tc>
          <w:tcPr/>
          <w:p>
            <w:pPr>
              <w:pStyle w:val="Compact"/>
              <w:spacing w:after="0" w:before="0" w:line="240" w:lineRule="auto"/>
              <w:jc w:val="center"/>
            </w:pPr>
            <w:r>
              <w:rPr>
                <w:sz w:val="16"/>
              </w:rPr>
              <w:t xml:space="preserve">0.053</w:t>
            </w:r>
          </w:p>
        </w:tc>
        <w:tc>
          <w:tcPr/>
          <w:p>
            <w:pPr>
              <w:pStyle w:val="Compact"/>
              <w:spacing w:after="0" w:before="0" w:line="240" w:lineRule="auto"/>
              <w:jc w:val="center"/>
            </w:pPr>
            <w:r>
              <w:rPr>
                <w:sz w:val="16"/>
              </w:rPr>
              <w:t xml:space="preserve">0.048</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0.03</w:t>
            </w:r>
          </w:p>
        </w:tc>
      </w:tr>
      <w:tr>
        <w:tc>
          <w:tcPr/>
          <w:p>
            <w:pPr>
              <w:pStyle w:val="Compact"/>
              <w:spacing w:after="0" w:before="0" w:line="240" w:lineRule="auto"/>
              <w:jc w:val="left"/>
            </w:pPr>
            <w:r>
              <w:rPr>
                <w:sz w:val="16"/>
              </w:rPr>
              <w:t xml:space="preserve">Gender</w:t>
            </w:r>
          </w:p>
        </w:tc>
        <w:tc>
          <w:tcPr/>
          <w:p>
            <w:pPr>
              <w:pStyle w:val="Compact"/>
              <w:spacing w:after="0" w:before="0" w:line="240" w:lineRule="auto"/>
              <w:jc w:val="left"/>
            </w:pPr>
            <w:r>
              <w:rPr>
                <w:sz w:val="16"/>
              </w:rPr>
              <w:t xml:space="preserve">Male</w:t>
            </w:r>
          </w:p>
        </w:tc>
        <w:tc>
          <w:tcPr/>
          <w:p>
            <w:pPr>
              <w:pStyle w:val="Compact"/>
              <w:spacing w:after="0" w:before="0" w:line="240" w:lineRule="auto"/>
              <w:jc w:val="right"/>
            </w:pPr>
            <w:r>
              <w:rPr>
                <w:sz w:val="16"/>
              </w:rPr>
              <w:t xml:space="preserve">5,266</w:t>
            </w:r>
          </w:p>
        </w:tc>
        <w:tc>
          <w:tcPr/>
          <w:p>
            <w:pPr>
              <w:pStyle w:val="Compact"/>
              <w:spacing w:after="0" w:before="0" w:line="240" w:lineRule="auto"/>
              <w:jc w:val="center"/>
            </w:pPr>
            <w:r>
              <w:rPr>
                <w:sz w:val="16"/>
              </w:rPr>
              <w:t xml:space="preserve">0.936</w:t>
            </w:r>
          </w:p>
        </w:tc>
        <w:tc>
          <w:tcPr/>
          <w:p>
            <w:pPr>
              <w:pStyle w:val="Compact"/>
              <w:spacing w:after="0" w:before="0" w:line="240" w:lineRule="auto"/>
              <w:jc w:val="center"/>
            </w:pPr>
            <w:r>
              <w:rPr>
                <w:sz w:val="16"/>
              </w:rPr>
              <w:t xml:space="preserve">0.053</w:t>
            </w:r>
          </w:p>
        </w:tc>
        <w:tc>
          <w:tcPr/>
          <w:p>
            <w:pPr>
              <w:pStyle w:val="Compact"/>
              <w:spacing w:after="0" w:before="0" w:line="240" w:lineRule="auto"/>
              <w:jc w:val="center"/>
            </w:pPr>
            <w:r>
              <w:rPr>
                <w:sz w:val="16"/>
              </w:rPr>
              <w:t xml:space="preserve">0.046</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0.04</w:t>
            </w:r>
          </w:p>
        </w:tc>
      </w:tr>
      <w:tr>
        <w:tc>
          <w:tcPr/>
          <w:p>
            <w:pPr>
              <w:pStyle w:val="Compact"/>
              <w:spacing w:after="0" w:before="0" w:line="240" w:lineRule="auto"/>
              <w:jc w:val="left"/>
            </w:pPr>
            <w:r>
              <w:rPr>
                <w:sz w:val="16"/>
              </w:rPr>
              <w:t xml:space="preserve">Level</w:t>
            </w:r>
          </w:p>
        </w:tc>
        <w:tc>
          <w:tcPr/>
          <w:p>
            <w:pPr>
              <w:pStyle w:val="Compact"/>
              <w:spacing w:after="0" w:before="0" w:line="240" w:lineRule="auto"/>
              <w:jc w:val="left"/>
            </w:pPr>
            <w:r>
              <w:rPr>
                <w:sz w:val="16"/>
              </w:rPr>
              <w:t xml:space="preserve">Postgraduate</w:t>
            </w:r>
          </w:p>
        </w:tc>
        <w:tc>
          <w:tcPr/>
          <w:p>
            <w:pPr>
              <w:pStyle w:val="Compact"/>
              <w:spacing w:after="0" w:before="0" w:line="240" w:lineRule="auto"/>
              <w:jc w:val="right"/>
            </w:pPr>
            <w:r>
              <w:rPr>
                <w:sz w:val="16"/>
              </w:rPr>
              <w:t xml:space="preserve">1,971</w:t>
            </w:r>
          </w:p>
        </w:tc>
        <w:tc>
          <w:tcPr/>
          <w:p>
            <w:pPr>
              <w:pStyle w:val="Compact"/>
              <w:spacing w:after="0" w:before="0" w:line="240" w:lineRule="auto"/>
              <w:jc w:val="center"/>
            </w:pPr>
            <w:r>
              <w:rPr>
                <w:sz w:val="16"/>
              </w:rPr>
              <w:t xml:space="preserve">0.938</w:t>
            </w:r>
          </w:p>
        </w:tc>
        <w:tc>
          <w:tcPr/>
          <w:p>
            <w:pPr>
              <w:pStyle w:val="Compact"/>
              <w:spacing w:after="0" w:before="0" w:line="240" w:lineRule="auto"/>
              <w:jc w:val="center"/>
            </w:pPr>
            <w:r>
              <w:rPr>
                <w:sz w:val="16"/>
              </w:rPr>
              <w:t xml:space="preserve">0.053</w:t>
            </w:r>
          </w:p>
        </w:tc>
        <w:tc>
          <w:tcPr/>
          <w:p>
            <w:pPr>
              <w:pStyle w:val="Compact"/>
              <w:spacing w:after="0" w:before="0" w:line="240" w:lineRule="auto"/>
              <w:jc w:val="center"/>
            </w:pPr>
            <w:r>
              <w:rPr>
                <w:sz w:val="16"/>
              </w:rPr>
              <w:t xml:space="preserve">0.046</w:t>
            </w:r>
          </w:p>
        </w:tc>
        <w:tc>
          <w:tcPr/>
          <w:p>
            <w:pPr>
              <w:pStyle w:val="Compact"/>
              <w:spacing w:after="0" w:before="0" w:line="240" w:lineRule="auto"/>
              <w:jc w:val="center"/>
            </w:pPr>
            <w:r>
              <w:rPr>
                <w:sz w:val="16"/>
              </w:rPr>
              <w:t xml:space="preserve">0.999</w:t>
            </w:r>
          </w:p>
        </w:tc>
        <w:tc>
          <w:tcPr/>
          <w:p>
            <w:pPr>
              <w:pStyle w:val="Compact"/>
              <w:spacing w:after="0" w:before="0" w:line="240" w:lineRule="auto"/>
              <w:jc w:val="center"/>
            </w:pPr>
            <w:r>
              <w:rPr>
                <w:sz w:val="16"/>
              </w:rPr>
              <w:t xml:space="preserve">0.08</w:t>
            </w:r>
          </w:p>
        </w:tc>
      </w:tr>
      <w:tr>
        <w:tc>
          <w:tcPr/>
          <w:p>
            <w:pPr>
              <w:pStyle w:val="Compact"/>
              <w:spacing w:after="0" w:before="0" w:line="240" w:lineRule="auto"/>
              <w:jc w:val="left"/>
            </w:pPr>
            <w:r>
              <w:rPr>
                <w:sz w:val="16"/>
              </w:rPr>
              <w:t xml:space="preserve">Level</w:t>
            </w:r>
          </w:p>
        </w:tc>
        <w:tc>
          <w:tcPr/>
          <w:p>
            <w:pPr>
              <w:pStyle w:val="Compact"/>
              <w:spacing w:after="0" w:before="0" w:line="240" w:lineRule="auto"/>
              <w:jc w:val="left"/>
            </w:pPr>
            <w:r>
              <w:rPr>
                <w:sz w:val="16"/>
              </w:rPr>
              <w:t xml:space="preserve">Undergraduate</w:t>
            </w:r>
          </w:p>
        </w:tc>
        <w:tc>
          <w:tcPr/>
          <w:p>
            <w:pPr>
              <w:pStyle w:val="Compact"/>
              <w:spacing w:after="0" w:before="0" w:line="240" w:lineRule="auto"/>
              <w:jc w:val="right"/>
            </w:pPr>
            <w:r>
              <w:rPr>
                <w:sz w:val="16"/>
              </w:rPr>
              <w:t xml:space="preserve">9,856</w:t>
            </w:r>
          </w:p>
        </w:tc>
        <w:tc>
          <w:tcPr/>
          <w:p>
            <w:pPr>
              <w:pStyle w:val="Compact"/>
              <w:spacing w:after="0" w:before="0" w:line="240" w:lineRule="auto"/>
              <w:jc w:val="center"/>
            </w:pPr>
            <w:r>
              <w:rPr>
                <w:sz w:val="16"/>
              </w:rPr>
              <w:t xml:space="preserve">0.939</w:t>
            </w:r>
          </w:p>
        </w:tc>
        <w:tc>
          <w:tcPr/>
          <w:p>
            <w:pPr>
              <w:pStyle w:val="Compact"/>
              <w:spacing w:after="0" w:before="0" w:line="240" w:lineRule="auto"/>
              <w:jc w:val="center"/>
            </w:pPr>
            <w:r>
              <w:rPr>
                <w:sz w:val="16"/>
              </w:rPr>
              <w:t xml:space="preserve">0.052</w:t>
            </w:r>
          </w:p>
        </w:tc>
        <w:tc>
          <w:tcPr/>
          <w:p>
            <w:pPr>
              <w:pStyle w:val="Compact"/>
              <w:spacing w:after="0" w:before="0" w:line="240" w:lineRule="auto"/>
              <w:jc w:val="center"/>
            </w:pPr>
            <w:r>
              <w:rPr>
                <w:sz w:val="16"/>
              </w:rPr>
              <w:t xml:space="preserve">0.046</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0.01</w:t>
            </w:r>
          </w:p>
        </w:tc>
      </w:tr>
      <w:tr>
        <w:tc>
          <w:tcPr/>
          <w:p>
            <w:pPr>
              <w:pStyle w:val="Compact"/>
              <w:spacing w:after="0" w:before="0" w:line="240" w:lineRule="auto"/>
              <w:jc w:val="left"/>
            </w:pPr>
            <w:r>
              <w:rPr>
                <w:sz w:val="16"/>
              </w:rPr>
              <w:t xml:space="preserve">Field</w:t>
            </w:r>
          </w:p>
        </w:tc>
        <w:tc>
          <w:tcPr/>
          <w:p>
            <w:pPr>
              <w:pStyle w:val="Compact"/>
              <w:spacing w:after="0" w:before="0" w:line="240" w:lineRule="auto"/>
              <w:jc w:val="left"/>
            </w:pPr>
            <w:r>
              <w:rPr>
                <w:sz w:val="16"/>
              </w:rPr>
              <w:t xml:space="preserve">Applied Sciences</w:t>
            </w:r>
          </w:p>
        </w:tc>
        <w:tc>
          <w:tcPr/>
          <w:p>
            <w:pPr>
              <w:pStyle w:val="Compact"/>
              <w:spacing w:after="0" w:before="0" w:line="240" w:lineRule="auto"/>
              <w:jc w:val="right"/>
            </w:pPr>
            <w:r>
              <w:rPr>
                <w:sz w:val="16"/>
              </w:rPr>
              <w:t xml:space="preserve">4,274</w:t>
            </w:r>
          </w:p>
        </w:tc>
        <w:tc>
          <w:tcPr/>
          <w:p>
            <w:pPr>
              <w:pStyle w:val="Compact"/>
              <w:spacing w:after="0" w:before="0" w:line="240" w:lineRule="auto"/>
              <w:jc w:val="center"/>
            </w:pPr>
            <w:r>
              <w:rPr>
                <w:sz w:val="16"/>
              </w:rPr>
              <w:t xml:space="preserve">0.939</w:t>
            </w:r>
          </w:p>
        </w:tc>
        <w:tc>
          <w:tcPr/>
          <w:p>
            <w:pPr>
              <w:pStyle w:val="Compact"/>
              <w:spacing w:after="0" w:before="0" w:line="240" w:lineRule="auto"/>
              <w:jc w:val="center"/>
            </w:pPr>
            <w:r>
              <w:rPr>
                <w:sz w:val="16"/>
              </w:rPr>
              <w:t xml:space="preserve">0.052</w:t>
            </w:r>
          </w:p>
        </w:tc>
        <w:tc>
          <w:tcPr/>
          <w:p>
            <w:pPr>
              <w:pStyle w:val="Compact"/>
              <w:spacing w:after="0" w:before="0" w:line="240" w:lineRule="auto"/>
              <w:jc w:val="center"/>
            </w:pPr>
            <w:r>
              <w:rPr>
                <w:sz w:val="16"/>
              </w:rPr>
              <w:t xml:space="preserve">0.045</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0.03</w:t>
            </w:r>
          </w:p>
        </w:tc>
      </w:tr>
      <w:tr>
        <w:tc>
          <w:tcPr/>
          <w:p>
            <w:pPr>
              <w:pStyle w:val="Compact"/>
              <w:spacing w:after="0" w:before="0" w:line="240" w:lineRule="auto"/>
              <w:jc w:val="left"/>
            </w:pPr>
            <w:r>
              <w:rPr>
                <w:sz w:val="16"/>
              </w:rPr>
              <w:t xml:space="preserve">Field</w:t>
            </w:r>
          </w:p>
        </w:tc>
        <w:tc>
          <w:tcPr/>
          <w:p>
            <w:pPr>
              <w:pStyle w:val="Compact"/>
              <w:spacing w:after="0" w:before="0" w:line="240" w:lineRule="auto"/>
              <w:jc w:val="left"/>
            </w:pPr>
            <w:r>
              <w:rPr>
                <w:sz w:val="16"/>
              </w:rPr>
              <w:t xml:space="preserve">Arts &amp; Humanities</w:t>
            </w:r>
          </w:p>
        </w:tc>
        <w:tc>
          <w:tcPr/>
          <w:p>
            <w:pPr>
              <w:pStyle w:val="Compact"/>
              <w:spacing w:after="0" w:before="0" w:line="240" w:lineRule="auto"/>
              <w:jc w:val="right"/>
            </w:pPr>
            <w:r>
              <w:rPr>
                <w:sz w:val="16"/>
              </w:rPr>
              <w:t xml:space="preserve">1,423</w:t>
            </w:r>
          </w:p>
        </w:tc>
        <w:tc>
          <w:tcPr/>
          <w:p>
            <w:pPr>
              <w:pStyle w:val="Compact"/>
              <w:spacing w:after="0" w:before="0" w:line="240" w:lineRule="auto"/>
              <w:jc w:val="center"/>
            </w:pPr>
            <w:r>
              <w:rPr>
                <w:sz w:val="16"/>
              </w:rPr>
              <w:t xml:space="preserve">0.927</w:t>
            </w:r>
          </w:p>
        </w:tc>
        <w:tc>
          <w:tcPr/>
          <w:p>
            <w:pPr>
              <w:pStyle w:val="Compact"/>
              <w:spacing w:after="0" w:before="0" w:line="240" w:lineRule="auto"/>
              <w:jc w:val="center"/>
            </w:pPr>
            <w:r>
              <w:rPr>
                <w:sz w:val="16"/>
              </w:rPr>
              <w:t xml:space="preserve">0.058</w:t>
            </w:r>
          </w:p>
        </w:tc>
        <w:tc>
          <w:tcPr/>
          <w:p>
            <w:pPr>
              <w:pStyle w:val="Compact"/>
              <w:spacing w:after="0" w:before="0" w:line="240" w:lineRule="auto"/>
              <w:jc w:val="center"/>
            </w:pPr>
            <w:r>
              <w:rPr>
                <w:sz w:val="16"/>
              </w:rPr>
              <w:t xml:space="preserve">0.054</w:t>
            </w:r>
          </w:p>
        </w:tc>
        <w:tc>
          <w:tcPr/>
          <w:p>
            <w:pPr>
              <w:pStyle w:val="Compact"/>
              <w:spacing w:after="0" w:before="0" w:line="240" w:lineRule="auto"/>
              <w:jc w:val="center"/>
            </w:pPr>
            <w:r>
              <w:rPr>
                <w:sz w:val="16"/>
              </w:rPr>
              <w:t xml:space="preserve">0.999</w:t>
            </w:r>
          </w:p>
        </w:tc>
        <w:tc>
          <w:tcPr/>
          <w:p>
            <w:pPr>
              <w:pStyle w:val="Compact"/>
              <w:spacing w:after="0" w:before="0" w:line="240" w:lineRule="auto"/>
              <w:jc w:val="center"/>
            </w:pPr>
            <w:r>
              <w:rPr>
                <w:sz w:val="16"/>
              </w:rPr>
              <w:t xml:space="preserve">0.08</w:t>
            </w:r>
          </w:p>
        </w:tc>
      </w:tr>
      <w:tr>
        <w:tc>
          <w:tcPr/>
          <w:p>
            <w:pPr>
              <w:pStyle w:val="Compact"/>
              <w:spacing w:after="0" w:before="0" w:line="240" w:lineRule="auto"/>
              <w:jc w:val="left"/>
            </w:pPr>
            <w:r>
              <w:rPr>
                <w:sz w:val="16"/>
              </w:rPr>
              <w:t xml:space="preserve">Field</w:t>
            </w:r>
          </w:p>
        </w:tc>
        <w:tc>
          <w:tcPr/>
          <w:p>
            <w:pPr>
              <w:pStyle w:val="Compact"/>
              <w:spacing w:after="0" w:before="0" w:line="240" w:lineRule="auto"/>
              <w:jc w:val="left"/>
            </w:pPr>
            <w:r>
              <w:rPr>
                <w:sz w:val="16"/>
              </w:rPr>
              <w:t xml:space="preserve">Natural &amp; Life Sciences</w:t>
            </w:r>
          </w:p>
        </w:tc>
        <w:tc>
          <w:tcPr/>
          <w:p>
            <w:pPr>
              <w:pStyle w:val="Compact"/>
              <w:spacing w:after="0" w:before="0" w:line="240" w:lineRule="auto"/>
              <w:jc w:val="right"/>
            </w:pPr>
            <w:r>
              <w:rPr>
                <w:sz w:val="16"/>
              </w:rPr>
              <w:t xml:space="preserve">1,291</w:t>
            </w:r>
          </w:p>
        </w:tc>
        <w:tc>
          <w:tcPr/>
          <w:p>
            <w:pPr>
              <w:pStyle w:val="Compact"/>
              <w:spacing w:after="0" w:before="0" w:line="240" w:lineRule="auto"/>
              <w:jc w:val="center"/>
            </w:pPr>
            <w:r>
              <w:rPr>
                <w:sz w:val="16"/>
              </w:rPr>
              <w:t xml:space="preserve">0.939</w:t>
            </w:r>
          </w:p>
        </w:tc>
        <w:tc>
          <w:tcPr/>
          <w:p>
            <w:pPr>
              <w:pStyle w:val="Compact"/>
              <w:spacing w:after="0" w:before="0" w:line="240" w:lineRule="auto"/>
              <w:jc w:val="center"/>
            </w:pPr>
            <w:r>
              <w:rPr>
                <w:sz w:val="16"/>
              </w:rPr>
              <w:t xml:space="preserve">0.055</w:t>
            </w:r>
          </w:p>
        </w:tc>
        <w:tc>
          <w:tcPr/>
          <w:p>
            <w:pPr>
              <w:pStyle w:val="Compact"/>
              <w:spacing w:after="0" w:before="0" w:line="240" w:lineRule="auto"/>
              <w:jc w:val="center"/>
            </w:pPr>
            <w:r>
              <w:rPr>
                <w:sz w:val="16"/>
              </w:rPr>
              <w:t xml:space="preserve">0.047</w:t>
            </w:r>
          </w:p>
        </w:tc>
        <w:tc>
          <w:tcPr/>
          <w:p>
            <w:pPr>
              <w:pStyle w:val="Compact"/>
              <w:spacing w:after="0" w:before="0" w:line="240" w:lineRule="auto"/>
              <w:jc w:val="center"/>
            </w:pPr>
            <w:r>
              <w:rPr>
                <w:sz w:val="16"/>
              </w:rPr>
              <w:t xml:space="preserve">0.999</w:t>
            </w:r>
          </w:p>
        </w:tc>
        <w:tc>
          <w:tcPr/>
          <w:p>
            <w:pPr>
              <w:pStyle w:val="Compact"/>
              <w:spacing w:after="0" w:before="0" w:line="240" w:lineRule="auto"/>
              <w:jc w:val="center"/>
            </w:pPr>
            <w:r>
              <w:rPr>
                <w:sz w:val="16"/>
              </w:rPr>
              <w:t xml:space="preserve">0.05</w:t>
            </w:r>
          </w:p>
        </w:tc>
      </w:tr>
      <w:tr>
        <w:tc>
          <w:tcPr/>
          <w:p>
            <w:pPr>
              <w:pStyle w:val="Compact"/>
              <w:spacing w:after="0" w:before="0" w:line="240" w:lineRule="auto"/>
              <w:jc w:val="left"/>
            </w:pPr>
            <w:r>
              <w:rPr>
                <w:sz w:val="16"/>
              </w:rPr>
              <w:t xml:space="preserve">Field</w:t>
            </w:r>
          </w:p>
        </w:tc>
        <w:tc>
          <w:tcPr/>
          <w:p>
            <w:pPr>
              <w:pStyle w:val="Compact"/>
              <w:spacing w:after="0" w:before="0" w:line="240" w:lineRule="auto"/>
              <w:jc w:val="left"/>
            </w:pPr>
            <w:r>
              <w:rPr>
                <w:sz w:val="16"/>
              </w:rPr>
              <w:t xml:space="preserve">Social Sciences</w:t>
            </w:r>
          </w:p>
        </w:tc>
        <w:tc>
          <w:tcPr/>
          <w:p>
            <w:pPr>
              <w:pStyle w:val="Compact"/>
              <w:spacing w:after="0" w:before="0" w:line="240" w:lineRule="auto"/>
              <w:jc w:val="right"/>
            </w:pPr>
            <w:r>
              <w:rPr>
                <w:sz w:val="16"/>
              </w:rPr>
              <w:t xml:space="preserve">4,824</w:t>
            </w:r>
          </w:p>
        </w:tc>
        <w:tc>
          <w:tcPr/>
          <w:p>
            <w:pPr>
              <w:pStyle w:val="Compact"/>
              <w:spacing w:after="0" w:before="0" w:line="240" w:lineRule="auto"/>
              <w:jc w:val="center"/>
            </w:pPr>
            <w:r>
              <w:rPr>
                <w:sz w:val="16"/>
              </w:rPr>
              <w:t xml:space="preserve">0.938</w:t>
            </w:r>
          </w:p>
        </w:tc>
        <w:tc>
          <w:tcPr/>
          <w:p>
            <w:pPr>
              <w:pStyle w:val="Compact"/>
              <w:spacing w:after="0" w:before="0" w:line="240" w:lineRule="auto"/>
              <w:jc w:val="center"/>
            </w:pPr>
            <w:r>
              <w:rPr>
                <w:sz w:val="16"/>
              </w:rPr>
              <w:t xml:space="preserve">0.052</w:t>
            </w:r>
          </w:p>
        </w:tc>
        <w:tc>
          <w:tcPr/>
          <w:p>
            <w:pPr>
              <w:pStyle w:val="Compact"/>
              <w:spacing w:after="0" w:before="0" w:line="240" w:lineRule="auto"/>
              <w:jc w:val="center"/>
            </w:pPr>
            <w:r>
              <w:rPr>
                <w:sz w:val="16"/>
              </w:rPr>
              <w:t xml:space="preserve">0.047</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0.04</w:t>
            </w:r>
          </w:p>
        </w:tc>
      </w:tr>
      <w:tr>
        <w:tc>
          <w:tcPr/>
          <w:p>
            <w:pPr>
              <w:pStyle w:val="Compact"/>
              <w:spacing w:after="0" w:before="0" w:line="240" w:lineRule="auto"/>
              <w:jc w:val="left"/>
            </w:pPr>
            <w:r>
              <w:rPr>
                <w:sz w:val="16"/>
              </w:rPr>
              <w:t xml:space="preserve">Language</w:t>
            </w:r>
          </w:p>
        </w:tc>
        <w:tc>
          <w:tcPr/>
          <w:p>
            <w:pPr>
              <w:pStyle w:val="Compact"/>
              <w:spacing w:after="0" w:before="0" w:line="240" w:lineRule="auto"/>
              <w:jc w:val="left"/>
            </w:pPr>
            <w:r>
              <w:rPr>
                <w:sz w:val="16"/>
              </w:rPr>
              <w:t xml:space="preserve">Arabic</w:t>
            </w:r>
          </w:p>
        </w:tc>
        <w:tc>
          <w:tcPr/>
          <w:p>
            <w:pPr>
              <w:pStyle w:val="Compact"/>
              <w:spacing w:after="0" w:before="0" w:line="240" w:lineRule="auto"/>
              <w:jc w:val="right"/>
            </w:pPr>
            <w:r>
              <w:rPr>
                <w:sz w:val="16"/>
              </w:rPr>
              <w:t xml:space="preserve">448</w:t>
            </w:r>
          </w:p>
        </w:tc>
        <w:tc>
          <w:tcPr/>
          <w:p>
            <w:pPr>
              <w:pStyle w:val="Compact"/>
              <w:spacing w:after="0" w:before="0" w:line="240" w:lineRule="auto"/>
              <w:jc w:val="center"/>
            </w:pPr>
            <w:r>
              <w:rPr>
                <w:sz w:val="16"/>
              </w:rPr>
              <w:t xml:space="preserve">0.930</w:t>
            </w:r>
          </w:p>
        </w:tc>
        <w:tc>
          <w:tcPr/>
          <w:p>
            <w:pPr>
              <w:pStyle w:val="Compact"/>
              <w:spacing w:after="0" w:before="0" w:line="240" w:lineRule="auto"/>
              <w:jc w:val="center"/>
            </w:pPr>
            <w:r>
              <w:rPr>
                <w:sz w:val="16"/>
              </w:rPr>
              <w:t xml:space="preserve">0.062</w:t>
            </w:r>
          </w:p>
        </w:tc>
        <w:tc>
          <w:tcPr/>
          <w:p>
            <w:pPr>
              <w:pStyle w:val="Compact"/>
              <w:spacing w:after="0" w:before="0" w:line="240" w:lineRule="auto"/>
              <w:jc w:val="center"/>
            </w:pPr>
            <w:r>
              <w:rPr>
                <w:sz w:val="16"/>
              </w:rPr>
              <w:t xml:space="preserve">0.049</w:t>
            </w:r>
          </w:p>
        </w:tc>
        <w:tc>
          <w:tcPr/>
          <w:p>
            <w:pPr>
              <w:pStyle w:val="Compact"/>
              <w:spacing w:after="0" w:before="0" w:line="240" w:lineRule="auto"/>
              <w:jc w:val="center"/>
            </w:pPr>
            <w:r>
              <w:rPr>
                <w:sz w:val="16"/>
              </w:rPr>
              <w:t xml:space="preserve">0.987</w:t>
            </w:r>
          </w:p>
        </w:tc>
        <w:tc>
          <w:tcPr/>
          <w:p>
            <w:pPr>
              <w:pStyle w:val="Compact"/>
              <w:spacing w:after="0" w:before="0" w:line="240" w:lineRule="auto"/>
              <w:jc w:val="center"/>
            </w:pPr>
            <w:r>
              <w:rPr>
                <w:sz w:val="16"/>
              </w:rPr>
              <w:t xml:space="preserve">0.15</w:t>
            </w:r>
          </w:p>
        </w:tc>
      </w:tr>
      <w:tr>
        <w:tc>
          <w:tcPr/>
          <w:p>
            <w:pPr>
              <w:pStyle w:val="Compact"/>
              <w:spacing w:after="0" w:before="0" w:line="240" w:lineRule="auto"/>
              <w:jc w:val="left"/>
            </w:pPr>
            <w:r>
              <w:rPr>
                <w:sz w:val="16"/>
              </w:rPr>
              <w:t xml:space="preserve">Language</w:t>
            </w:r>
          </w:p>
        </w:tc>
        <w:tc>
          <w:tcPr/>
          <w:p>
            <w:pPr>
              <w:pStyle w:val="Compact"/>
              <w:spacing w:after="0" w:before="0" w:line="240" w:lineRule="auto"/>
              <w:jc w:val="left"/>
            </w:pPr>
            <w:r>
              <w:rPr>
                <w:sz w:val="16"/>
              </w:rPr>
              <w:t xml:space="preserve">English</w:t>
            </w:r>
          </w:p>
        </w:tc>
        <w:tc>
          <w:tcPr/>
          <w:p>
            <w:pPr>
              <w:pStyle w:val="Compact"/>
              <w:spacing w:after="0" w:before="0" w:line="240" w:lineRule="auto"/>
              <w:jc w:val="right"/>
            </w:pPr>
            <w:r>
              <w:rPr>
                <w:sz w:val="16"/>
              </w:rPr>
              <w:t xml:space="preserve">7,422</w:t>
            </w:r>
          </w:p>
        </w:tc>
        <w:tc>
          <w:tcPr/>
          <w:p>
            <w:pPr>
              <w:pStyle w:val="Compact"/>
              <w:spacing w:after="0" w:before="0" w:line="240" w:lineRule="auto"/>
              <w:jc w:val="center"/>
            </w:pPr>
            <w:r>
              <w:rPr>
                <w:sz w:val="16"/>
              </w:rPr>
              <w:t xml:space="preserve">0.939</w:t>
            </w:r>
          </w:p>
        </w:tc>
        <w:tc>
          <w:tcPr/>
          <w:p>
            <w:pPr>
              <w:pStyle w:val="Compact"/>
              <w:spacing w:after="0" w:before="0" w:line="240" w:lineRule="auto"/>
              <w:jc w:val="center"/>
            </w:pPr>
            <w:r>
              <w:rPr>
                <w:sz w:val="16"/>
              </w:rPr>
              <w:t xml:space="preserve">0.052</w:t>
            </w:r>
          </w:p>
        </w:tc>
        <w:tc>
          <w:tcPr/>
          <w:p>
            <w:pPr>
              <w:pStyle w:val="Compact"/>
              <w:spacing w:after="0" w:before="0" w:line="240" w:lineRule="auto"/>
              <w:jc w:val="center"/>
            </w:pPr>
            <w:r>
              <w:rPr>
                <w:sz w:val="16"/>
              </w:rPr>
              <w:t xml:space="preserve">0.046</w:t>
            </w:r>
          </w:p>
        </w:tc>
        <w:tc>
          <w:tcPr/>
          <w:p>
            <w:pPr>
              <w:pStyle w:val="Compact"/>
              <w:spacing w:after="0" w:before="0" w:line="240" w:lineRule="auto"/>
              <w:jc w:val="center"/>
            </w:pPr>
            <w:r>
              <w:rPr>
                <w:sz w:val="16"/>
              </w:rPr>
              <w:t xml:space="preserve">1.000</w:t>
            </w:r>
          </w:p>
        </w:tc>
        <w:tc>
          <w:tcPr/>
          <w:p>
            <w:pPr>
              <w:pStyle w:val="Compact"/>
              <w:spacing w:after="0" w:before="0" w:line="240" w:lineRule="auto"/>
              <w:jc w:val="center"/>
            </w:pPr>
            <w:r>
              <w:rPr>
                <w:sz w:val="16"/>
              </w:rPr>
              <w:t xml:space="preserve">0.03</w:t>
            </w:r>
          </w:p>
        </w:tc>
      </w:tr>
      <w:tr>
        <w:tc>
          <w:tcPr/>
          <w:p>
            <w:pPr>
              <w:pStyle w:val="Compact"/>
              <w:spacing w:after="0" w:before="0" w:line="240" w:lineRule="auto"/>
              <w:jc w:val="left"/>
            </w:pPr>
            <w:r>
              <w:rPr>
                <w:sz w:val="16"/>
              </w:rPr>
              <w:t xml:space="preserve">Language</w:t>
            </w:r>
          </w:p>
        </w:tc>
        <w:tc>
          <w:tcPr/>
          <w:p>
            <w:pPr>
              <w:pStyle w:val="Compact"/>
              <w:spacing w:after="0" w:before="0" w:line="240" w:lineRule="auto"/>
              <w:jc w:val="left"/>
            </w:pPr>
            <w:r>
              <w:rPr>
                <w:sz w:val="16"/>
              </w:rPr>
              <w:t xml:space="preserve">Italian</w:t>
            </w:r>
          </w:p>
        </w:tc>
        <w:tc>
          <w:tcPr/>
          <w:p>
            <w:pPr>
              <w:pStyle w:val="Compact"/>
              <w:spacing w:after="0" w:before="0" w:line="240" w:lineRule="auto"/>
              <w:jc w:val="right"/>
            </w:pPr>
            <w:r>
              <w:rPr>
                <w:sz w:val="16"/>
              </w:rPr>
              <w:t xml:space="preserve">501</w:t>
            </w:r>
          </w:p>
        </w:tc>
        <w:tc>
          <w:tcPr/>
          <w:p>
            <w:pPr>
              <w:pStyle w:val="Compact"/>
              <w:spacing w:after="0" w:before="0" w:line="240" w:lineRule="auto"/>
              <w:jc w:val="center"/>
            </w:pPr>
            <w:r>
              <w:rPr>
                <w:sz w:val="16"/>
              </w:rPr>
              <w:t xml:space="preserve">0.924</w:t>
            </w:r>
          </w:p>
        </w:tc>
        <w:tc>
          <w:tcPr/>
          <w:p>
            <w:pPr>
              <w:pStyle w:val="Compact"/>
              <w:spacing w:after="0" w:before="0" w:line="240" w:lineRule="auto"/>
              <w:jc w:val="center"/>
            </w:pPr>
            <w:r>
              <w:rPr>
                <w:sz w:val="16"/>
              </w:rPr>
              <w:t xml:space="preserve">0.060</w:t>
            </w:r>
          </w:p>
        </w:tc>
        <w:tc>
          <w:tcPr/>
          <w:p>
            <w:pPr>
              <w:pStyle w:val="Compact"/>
              <w:spacing w:after="0" w:before="0" w:line="240" w:lineRule="auto"/>
              <w:jc w:val="center"/>
            </w:pPr>
            <w:r>
              <w:rPr>
                <w:sz w:val="16"/>
              </w:rPr>
              <w:t xml:space="preserve">0.056</w:t>
            </w:r>
          </w:p>
        </w:tc>
        <w:tc>
          <w:tcPr/>
          <w:p>
            <w:pPr>
              <w:pStyle w:val="Compact"/>
              <w:spacing w:after="0" w:before="0" w:line="240" w:lineRule="auto"/>
              <w:jc w:val="center"/>
            </w:pPr>
            <w:r>
              <w:rPr>
                <w:sz w:val="16"/>
              </w:rPr>
              <w:t xml:space="preserve">0.993</w:t>
            </w:r>
          </w:p>
        </w:tc>
        <w:tc>
          <w:tcPr/>
          <w:p>
            <w:pPr>
              <w:pStyle w:val="Compact"/>
              <w:spacing w:after="0" w:before="0" w:line="240" w:lineRule="auto"/>
              <w:jc w:val="center"/>
            </w:pPr>
            <w:r>
              <w:rPr>
                <w:sz w:val="16"/>
              </w:rPr>
              <w:t xml:space="preserve">0.16</w:t>
            </w:r>
          </w:p>
        </w:tc>
      </w:tr>
      <w:tr>
        <w:tc>
          <w:tcPr/>
          <w:p>
            <w:pPr>
              <w:pStyle w:val="Compact"/>
              <w:spacing w:after="0" w:before="0" w:line="240" w:lineRule="auto"/>
              <w:jc w:val="left"/>
            </w:pPr>
            <w:r>
              <w:rPr>
                <w:sz w:val="16"/>
              </w:rPr>
              <w:t xml:space="preserve">Language</w:t>
            </w:r>
          </w:p>
        </w:tc>
        <w:tc>
          <w:tcPr/>
          <w:p>
            <w:pPr>
              <w:pStyle w:val="Compact"/>
              <w:spacing w:after="0" w:before="0" w:line="240" w:lineRule="auto"/>
              <w:jc w:val="left"/>
            </w:pPr>
            <w:r>
              <w:rPr>
                <w:sz w:val="16"/>
              </w:rPr>
              <w:t xml:space="preserve">Spanish</w:t>
            </w:r>
          </w:p>
        </w:tc>
        <w:tc>
          <w:tcPr/>
          <w:p>
            <w:pPr>
              <w:pStyle w:val="Compact"/>
              <w:spacing w:after="0" w:before="0" w:line="240" w:lineRule="auto"/>
              <w:jc w:val="right"/>
            </w:pPr>
            <w:r>
              <w:rPr>
                <w:sz w:val="16"/>
              </w:rPr>
              <w:t xml:space="preserve">3,046</w:t>
            </w:r>
          </w:p>
        </w:tc>
        <w:tc>
          <w:tcPr/>
          <w:p>
            <w:pPr>
              <w:pStyle w:val="Compact"/>
              <w:spacing w:after="0" w:before="0" w:line="240" w:lineRule="auto"/>
              <w:jc w:val="center"/>
            </w:pPr>
            <w:r>
              <w:rPr>
                <w:sz w:val="16"/>
              </w:rPr>
              <w:t xml:space="preserve">0.937</w:t>
            </w:r>
          </w:p>
        </w:tc>
        <w:tc>
          <w:tcPr/>
          <w:p>
            <w:pPr>
              <w:pStyle w:val="Compact"/>
              <w:spacing w:after="0" w:before="0" w:line="240" w:lineRule="auto"/>
              <w:jc w:val="center"/>
            </w:pPr>
            <w:r>
              <w:rPr>
                <w:sz w:val="16"/>
              </w:rPr>
              <w:t xml:space="preserve">0.056</w:t>
            </w:r>
          </w:p>
        </w:tc>
        <w:tc>
          <w:tcPr/>
          <w:p>
            <w:pPr>
              <w:pStyle w:val="Compact"/>
              <w:spacing w:after="0" w:before="0" w:line="240" w:lineRule="auto"/>
              <w:jc w:val="center"/>
            </w:pPr>
            <w:r>
              <w:rPr>
                <w:sz w:val="16"/>
              </w:rPr>
              <w:t xml:space="preserve">0.051</w:t>
            </w:r>
          </w:p>
        </w:tc>
        <w:tc>
          <w:tcPr/>
          <w:p>
            <w:pPr>
              <w:pStyle w:val="Compact"/>
              <w:spacing w:after="0" w:before="0" w:line="240" w:lineRule="auto"/>
              <w:jc w:val="center"/>
            </w:pPr>
            <w:r>
              <w:rPr>
                <w:sz w:val="16"/>
              </w:rPr>
              <w:t xml:space="preserve">0.999</w:t>
            </w:r>
          </w:p>
        </w:tc>
        <w:tc>
          <w:tcPr/>
          <w:p>
            <w:pPr>
              <w:pStyle w:val="Compact"/>
              <w:spacing w:after="0" w:before="0" w:line="240" w:lineRule="auto"/>
              <w:jc w:val="center"/>
            </w:pPr>
            <w:r>
              <w:rPr>
                <w:sz w:val="16"/>
              </w:rPr>
              <w:t xml:space="preserve">0.07</w:t>
            </w:r>
          </w:p>
        </w:tc>
      </w:tr>
    </w:tbl>
    <w:bookmarkEnd w:id="115"/>
    <w:bookmarkEnd w:id="116"/>
    <w:bookmarkStart w:id="121" w:name="discussion"/>
    <w:p>
      <w:pPr>
        <w:pStyle w:val="Heading1"/>
      </w:pPr>
      <w:r>
        <w:rPr>
          <w:rStyle w:val="SectionNumber"/>
        </w:rPr>
        <w:t xml:space="preserve">6</w:t>
      </w:r>
      <w:r>
        <w:tab/>
      </w:r>
      <w:r>
        <w:t xml:space="preserve">Discussion</w:t>
      </w:r>
    </w:p>
    <w:bookmarkStart w:id="117" w:name="answers-to-the-research-questions"/>
    <w:p>
      <w:pPr>
        <w:pStyle w:val="Heading2"/>
      </w:pPr>
      <w:r>
        <w:rPr>
          <w:rStyle w:val="SectionNumber"/>
        </w:rPr>
        <w:t xml:space="preserve">6.1</w:t>
      </w:r>
      <w:r>
        <w:tab/>
      </w:r>
      <w:r>
        <w:t xml:space="preserve">Answers to the research questions</w:t>
      </w:r>
    </w:p>
    <w:p>
      <w:pPr>
        <w:pStyle w:val="FirstParagraph"/>
      </w:pPr>
      <w:r>
        <w:rPr>
          <w:bCs/>
          <w:b/>
        </w:rPr>
        <w:t xml:space="preserve">RQ1 and RQ4: which activities can AI perform?</w:t>
      </w:r>
      <w:r>
        <w:t xml:space="preserve"> </w:t>
      </w:r>
      <w:r>
        <w:t xml:space="preserve">Students see generative AI as most capable in</w:t>
      </w:r>
      <w:r>
        <w:t xml:space="preserve"> </w:t>
      </w:r>
      <w:r>
        <w:rPr>
          <w:iCs/>
          <w:i/>
        </w:rPr>
        <w:t xml:space="preserve">content explanation</w:t>
      </w:r>
      <w:r>
        <w:t xml:space="preserve">,</w:t>
      </w:r>
      <w:r>
        <w:t xml:space="preserve"> </w:t>
      </w:r>
      <w:r>
        <w:rPr>
          <w:iCs/>
          <w:i/>
        </w:rPr>
        <w:t xml:space="preserve">question answering</w:t>
      </w:r>
      <w:r>
        <w:t xml:space="preserve"> </w:t>
      </w:r>
      <w:r>
        <w:t xml:space="preserve">and, to a lesser extent,</w:t>
      </w:r>
      <w:r>
        <w:t xml:space="preserve"> </w:t>
      </w:r>
      <w:r>
        <w:rPr>
          <w:iCs/>
          <w:i/>
        </w:rPr>
        <w:t xml:space="preserve">personalised learning</w:t>
      </w:r>
      <w:r>
        <w:t xml:space="preserve">: tasks that consist of retrieving, restructuring and re-expressing codified knowledge. These activities form the AI-leaning end of the partial-assistance band. Activities that require diagnosing an individual’s state over time, exercising evaluative judgement or building relationships (assessment, motivation, academic guidance, classroom communication and socio-emotional support) form the human-leaning end. Higher-order problem solving and critical thinking ranks lowest. Although AI can produce solutions, students do not believe it</w:t>
      </w:r>
      <w:r>
        <w:t xml:space="preserve"> </w:t>
      </w:r>
      <w:r>
        <w:rPr>
          <w:iCs/>
          <w:i/>
        </w:rPr>
        <w:t xml:space="preserve">develops</w:t>
      </w:r>
      <w:r>
        <w:t xml:space="preserve"> </w:t>
      </w:r>
      <w:r>
        <w:t xml:space="preserve">their own problem-solving, analytical and critical-thinking skills, a concern also voiced in qualitative studies</w:t>
      </w:r>
      <w:r>
        <w:t xml:space="preserve"> </w:t>
      </w:r>
      <w:r>
        <w:t xml:space="preserve">(Chan and Tsi 2024; Chan and Hu 2023)</w:t>
      </w:r>
      <w:r>
        <w:t xml:space="preserve">. No activity reached the full-replacement band. This contradicts the expectation of the original proposal that routine activities such as answering repetitive questions would qualify for full replacement. Under current perceptions, even the most automatable teaching tasks call for AI</w:t>
      </w:r>
      <w:r>
        <w:t xml:space="preserve"> </w:t>
      </w:r>
      <w:r>
        <w:rPr>
          <w:iCs/>
          <w:i/>
        </w:rPr>
        <w:t xml:space="preserve">assistance under human oversight</w:t>
      </w:r>
      <w:r>
        <w:t xml:space="preserve">.</w:t>
      </w:r>
    </w:p>
    <w:p>
      <w:pPr>
        <w:pStyle w:val="BodyText"/>
      </w:pPr>
      <w:r>
        <w:rPr>
          <w:bCs/>
          <w:b/>
        </w:rPr>
        <w:t xml:space="preserve">RQ2: what drives feasibility?</w:t>
      </w:r>
      <w:r>
        <w:t xml:space="preserve"> </w:t>
      </w:r>
      <w:r>
        <w:t xml:space="preserve">Reliability is the gatekeeper. It was the strongest unique predictor of the substitution criterion and the largest lever in the fuzzy system, and it was also among the lowest-rated factors. This matches the finding of</w:t>
      </w:r>
      <w:r>
        <w:t xml:space="preserve"> </w:t>
      </w:r>
      <w:r>
        <w:t xml:space="preserve">Ravšelj et al. (2025b)</w:t>
      </w:r>
      <w:r>
        <w:t xml:space="preserve"> </w:t>
      </w:r>
      <w:r>
        <w:t xml:space="preserve">that students value ChatGPT’s capabilities but doubt its reliability. Improvements in factual accuracy and verifiability are therefore likely to matter more for substitution feasibility than further gains in fluency or conversational quality. Communication had the smallest unique effect: being easy to talk to does not make an AI a substitute for a teacher.</w:t>
      </w:r>
    </w:p>
    <w:p>
      <w:pPr>
        <w:pStyle w:val="BodyText"/>
      </w:pPr>
      <w:r>
        <w:rPr>
          <w:bCs/>
          <w:b/>
        </w:rPr>
        <w:t xml:space="preserve">RQ3: can soft computing quantify feasibility?</w:t>
      </w:r>
      <w:r>
        <w:t xml:space="preserve"> </w:t>
      </w:r>
      <w:r>
        <w:t xml:space="preserve">Yes, with caveats. The hierarchical fuzzy system produced a score that was reliable to compute and convergently and discriminantly valid, robust to its design choices, and fully transparent: each of the 126 rules can be inspected and debated. The ANN matched the best tree ensemble and beat linear regression only by a small margin, and fusing it with the fuzzy outputs did not help. Data-driven models are therefore best used to</w:t>
      </w:r>
      <w:r>
        <w:t xml:space="preserve"> </w:t>
      </w:r>
      <w:r>
        <w:rPr>
          <w:iCs/>
          <w:i/>
        </w:rPr>
        <w:t xml:space="preserve">validate and calibrate</w:t>
      </w:r>
      <w:r>
        <w:t xml:space="preserve"> </w:t>
      </w:r>
      <w:r>
        <w:t xml:space="preserve">the interpretable expert system rather than to replace it. The trade-off is clear: the ANN explains about 1.7 times more criterion variance than the untrained fuzzy score, while the fuzzy score explains</w:t>
      </w:r>
      <w:r>
        <w:t xml:space="preserve"> </w:t>
      </w:r>
      <w:r>
        <w:rPr>
          <w:iCs/>
          <w:i/>
        </w:rPr>
        <w:t xml:space="preserve">why</w:t>
      </w:r>
      <w:r>
        <w:t xml:space="preserve"> </w:t>
      </w:r>
      <w:r>
        <w:t xml:space="preserve">a given activity is or is not feasible. For policy decisions about delegating teaching work, interpretability is arguably the more important property.</w:t>
      </w:r>
    </w:p>
    <w:p>
      <w:pPr>
        <w:pStyle w:val="BodyText"/>
      </w:pPr>
      <w:r>
        <w:rPr>
          <w:bCs/>
          <w:b/>
        </w:rPr>
        <w:t xml:space="preserve">RQ5: what are AI’s limitations relative to teachers?</w:t>
      </w:r>
      <w:r>
        <w:t xml:space="preserve"> </w:t>
      </w:r>
      <w:r>
        <w:t xml:space="preserve">The results point to four limitations: (i) unreliable information, the lowest-rated capability factor and the strongest determinant; (ii) weak support for higher-order skill development; (iii) limited capacity for socio-emotional support and classroom interaction, where students fear reduced human contact and social isolation; and (iv) persistent ethical concerns about cheating, plagiarism and privacy. Ethical suitability scored lowest of all factors.</w:t>
      </w:r>
    </w:p>
    <w:bookmarkEnd w:id="117"/>
    <w:bookmarkStart w:id="118" w:name="X7870baa281a9f971527cf98b8bb792f6aa6a9c2"/>
    <w:p>
      <w:pPr>
        <w:pStyle w:val="Heading2"/>
      </w:pPr>
      <w:r>
        <w:rPr>
          <w:rStyle w:val="SectionNumber"/>
        </w:rPr>
        <w:t xml:space="preserve">6.2</w:t>
      </w:r>
      <w:r>
        <w:tab/>
      </w:r>
      <w:r>
        <w:t xml:space="preserve">Heterogeneity and the mathematical guarantees</w:t>
      </w:r>
    </w:p>
    <w:p>
      <w:pPr>
        <w:pStyle w:val="FirstParagraph"/>
      </w:pPr>
      <w:r>
        <w:t xml:space="preserve">The aggregate result (</w:t>
      </w:r>
      <w:r>
        <w:t xml:space="preserve">“</w:t>
      </w:r>
      <w:r>
        <w:t xml:space="preserve">partial assistance for every activity</w:t>
      </w:r>
      <w:r>
        <w:t xml:space="preserve">”</w:t>
      </w:r>
      <w:r>
        <w:t xml:space="preserve">) hides substantial heterogeneity between students. For the AI-enthusiastic third of the sample, AI already approaches or exceeds the full-replacement threshold for explanation, question answering and personalised learning. For the sceptical sixth it remains in the human-involvement band for most activities. Policies that treat students as a homogeneous group will therefore suit neither extreme. Universities may need to offer AI-led options to students who want them while protecting access to human teaching for those who do not. The activity ranking was almost identical across fields of study, and content explanation was rated near the top in every typology. A common core of delegable tasks can therefore guide institutional policy even though the</w:t>
      </w:r>
      <w:r>
        <w:t xml:space="preserve"> </w:t>
      </w:r>
      <w:r>
        <w:rPr>
          <w:iCs/>
          <w:i/>
        </w:rPr>
        <w:t xml:space="preserve">level</w:t>
      </w:r>
      <w:r>
        <w:t xml:space="preserve"> </w:t>
      </w:r>
      <w:r>
        <w:t xml:space="preserve">of acceptance varies; the ordering of the remaining tasks depends more on students’ general stance towards AI.</w:t>
      </w:r>
    </w:p>
    <w:p>
      <w:pPr>
        <w:pStyle w:val="BodyText"/>
      </w:pPr>
      <w:r>
        <w:t xml:space="preserve">The mathematical analysis has a practical corollary. A feasibility score used for decisions should never fall when an AI tool improves on any dimension. The widely used Mamdani scheme does not guarantee this, whereas the weighted-average variant does (Proposition 3). Because both schemes gave the same conclusions here, we recommend the monotone variant for operational deployment, where scores may be recomputed as tools evolve and must be defensible to stakeholders.</w:t>
      </w:r>
    </w:p>
    <w:bookmarkEnd w:id="118"/>
    <w:bookmarkStart w:id="119" w:name="the-normativeempirical-gap-on-ethics"/>
    <w:p>
      <w:pPr>
        <w:pStyle w:val="Heading2"/>
      </w:pPr>
      <w:r>
        <w:rPr>
          <w:rStyle w:val="SectionNumber"/>
        </w:rPr>
        <w:t xml:space="preserve">6.3</w:t>
      </w:r>
      <w:r>
        <w:tab/>
      </w:r>
      <w:r>
        <w:t xml:space="preserve">The normative–empirical gap on ethics</w:t>
      </w:r>
    </w:p>
    <w:p>
      <w:pPr>
        <w:pStyle w:val="FirstParagraph"/>
      </w:pPr>
      <w:r>
        <w:t xml:space="preserve">Ethical suitability was the second most influential input of the expert rule base but almost irrelevant to students’ own substitution judgements. This gap matters for governance. Students’ willingness to replace professors by AI is driven by convenience and perceived competence, not by ethical reservations, even though these reservations are widespread. Institutions therefore cannot rely on students’ preferences alone to keep AI use within ethical bounds. Explicit policies on disclosure, integrity and data protection remain necessary</w:t>
      </w:r>
      <w:r>
        <w:t xml:space="preserve"> </w:t>
      </w:r>
      <w:r>
        <w:t xml:space="preserve">(Miao and Holmes 2023; Cotton, Cotton, and Shipway 2024)</w:t>
      </w:r>
      <w:r>
        <w:t xml:space="preserve">. The fuzzy framework makes this normative choice explicit and adjustable: an institution can raise or lower the weight of ethics in FIS</w:t>
      </w:r>
      <m:oMath>
        <m:sSub>
          <m:e>
            <m:r>
              <m:t>​</m:t>
            </m:r>
          </m:e>
          <m:sub>
            <m:r>
              <m:t>3</m:t>
            </m:r>
          </m:sub>
        </m:sSub>
      </m:oMath>
      <w:r>
        <w:t xml:space="preserve"> </w:t>
      </w:r>
      <w:r>
        <w:t xml:space="preserve">and see the consequences immediately.</w:t>
      </w:r>
    </w:p>
    <w:bookmarkEnd w:id="119"/>
    <w:bookmarkStart w:id="120" w:name="Xfa6998f97780fa932c74a4947ea858f2397724e"/>
    <w:p>
      <w:pPr>
        <w:pStyle w:val="Heading2"/>
      </w:pPr>
      <w:r>
        <w:rPr>
          <w:rStyle w:val="SectionNumber"/>
        </w:rPr>
        <w:t xml:space="preserve">6.4</w:t>
      </w:r>
      <w:r>
        <w:tab/>
      </w:r>
      <w:r>
        <w:t xml:space="preserve">Practical implications: a task-level collaboration model</w:t>
      </w:r>
    </w:p>
    <w:p>
      <w:pPr>
        <w:pStyle w:val="FirstParagraph"/>
      </w:pPr>
      <w:r>
        <w:t xml:space="preserve">The results translate into a graded allocation of teaching work:</w:t>
      </w:r>
    </w:p>
    <w:p>
      <w:pPr>
        <w:numPr>
          <w:ilvl w:val="0"/>
          <w:numId w:val="1002"/>
        </w:numPr>
      </w:pPr>
      <w:r>
        <w:rPr>
          <w:bCs/>
          <w:b/>
        </w:rPr>
        <w:t xml:space="preserve">AI-led with human oversight</w:t>
      </w:r>
      <w:r>
        <w:t xml:space="preserve"> </w:t>
      </w:r>
      <w:r>
        <w:t xml:space="preserve">(explanation, question answering, personalised practice): AI can provide first-line explanations, round-the-clock answers to routine questions and adaptive practice. Teachers curate sources, spot-check accuracy and handle escalations.</w:t>
      </w:r>
    </w:p>
    <w:p>
      <w:pPr>
        <w:numPr>
          <w:ilvl w:val="0"/>
          <w:numId w:val="1002"/>
        </w:numPr>
      </w:pPr>
      <w:r>
        <w:rPr>
          <w:bCs/>
          <w:b/>
        </w:rPr>
        <w:t xml:space="preserve">Shared</w:t>
      </w:r>
      <w:r>
        <w:t xml:space="preserve"> </w:t>
      </w:r>
      <w:r>
        <w:t xml:space="preserve">(feedback on assignments): AI drafts formative feedback; teachers verify it and add judgement on argument quality and originality.</w:t>
      </w:r>
    </w:p>
    <w:p>
      <w:pPr>
        <w:numPr>
          <w:ilvl w:val="0"/>
          <w:numId w:val="1002"/>
        </w:numPr>
      </w:pPr>
      <w:r>
        <w:rPr>
          <w:bCs/>
          <w:b/>
        </w:rPr>
        <w:t xml:space="preserve">Human-led with AI support</w:t>
      </w:r>
      <w:r>
        <w:t xml:space="preserve"> </w:t>
      </w:r>
      <w:r>
        <w:t xml:space="preserve">(assessment, motivation, academic guidance, classroom communication, socio-emotional support, higher-order problem solving): teachers remain responsible. AI may support administrative and preparatory sub-tasks, such as generating practice items or summarising student progress, but should not make summative or pastoral decisions.</w:t>
      </w:r>
    </w:p>
    <w:p>
      <w:pPr>
        <w:pStyle w:val="FirstParagraph"/>
      </w:pPr>
      <w:r>
        <w:t xml:space="preserve">Because reliability is the binding constraint, investments in retrieval-grounded, citation-producing AI tools and in students’ verification skills are likely to give the largest returns. The open, vectorised implementation also allows institutions to re-score activities with their own data as AI capabilities and attitudes evolve.</w:t>
      </w:r>
    </w:p>
    <w:bookmarkEnd w:id="120"/>
    <w:bookmarkEnd w:id="121"/>
    <w:bookmarkStart w:id="122" w:name="limitations-and-future-work"/>
    <w:p>
      <w:pPr>
        <w:pStyle w:val="Heading1"/>
      </w:pPr>
      <w:r>
        <w:rPr>
          <w:rStyle w:val="SectionNumber"/>
        </w:rPr>
        <w:t xml:space="preserve">7</w:t>
      </w:r>
      <w:r>
        <w:tab/>
      </w:r>
      <w:r>
        <w:t xml:space="preserve">Limitations and future work</w:t>
      </w:r>
    </w:p>
    <w:p>
      <w:pPr>
        <w:pStyle w:val="FirstParagraph"/>
      </w:pPr>
      <w:r>
        <w:t xml:space="preserve">Several limitations qualify these conclusions. First, the data reflect</w:t>
      </w:r>
      <w:r>
        <w:t xml:space="preserve"> </w:t>
      </w:r>
      <w:r>
        <w:rPr>
          <w:iCs/>
          <w:i/>
        </w:rPr>
        <w:t xml:space="preserve">students’</w:t>
      </w:r>
      <w:r>
        <w:t xml:space="preserve"> </w:t>
      </w:r>
      <w:r>
        <w:t xml:space="preserve">perceptions of one AI system (ChatGPT, mostly the free GPT-3.5 version) in late 2023 and early 2024. Perceived capability is not observed teaching performance, teachers’ views are not represented, and capabilities are changing rapidly. Second, the survey was not designed for this framework. Some activities, notably student assessment and emotional support, are measured by proxies, and two items form the TSI criterion. Third, the learning-outcome factors (SE, P, AC) are highly correlated and fail the strict Fornell–Larcker criterion, although HTMT supports their distinctness. Fourth, convenience sampling and the over-representation of some countries limit generalisability, although the activity ranking was stable across subgroups. The student typologies are dominated by overall response level (the first principal component explains 53.7% of the variance), so they should be read as levels of AI confidence rather than qualitatively distinct profiles. Fifth, the fuzzy rule base, although derived systematically from the proposal and stress-tested, embodies normative choices (e.g. the reliability veto and the double weight of pedagogical capability) that other stakeholders may weigh differently.</w:t>
      </w:r>
    </w:p>
    <w:p>
      <w:pPr>
        <w:pStyle w:val="BodyText"/>
      </w:pPr>
      <w:r>
        <w:t xml:space="preserve">Future work should (i) collect purpose-built data from both students and teachers, linking perceptions to observed AI performance on authentic teaching tasks; (ii) elicit rule bases from expert panels, for example via Delphi studies, and compare them with data-driven rule learning such as ANFIS</w:t>
      </w:r>
      <w:r>
        <w:t xml:space="preserve"> </w:t>
      </w:r>
      <w:r>
        <w:t xml:space="preserve">(Jang 1993)</w:t>
      </w:r>
      <w:r>
        <w:t xml:space="preserve"> </w:t>
      </w:r>
      <w:r>
        <w:t xml:space="preserve">or genetic fuzzy systems; (iii) track changes over time with the follow-up waves of the global survey; and (iv) deploy the framework as an interactive decision-support tool for institutions.</w:t>
      </w:r>
    </w:p>
    <w:bookmarkEnd w:id="122"/>
    <w:bookmarkStart w:id="123" w:name="conclusion"/>
    <w:p>
      <w:pPr>
        <w:pStyle w:val="Heading1"/>
      </w:pPr>
      <w:r>
        <w:rPr>
          <w:rStyle w:val="SectionNumber"/>
        </w:rPr>
        <w:t xml:space="preserve">8</w:t>
      </w:r>
      <w:r>
        <w:tab/>
      </w:r>
      <w:r>
        <w:t xml:space="preserve">Conclusion</w:t>
      </w:r>
    </w:p>
    <w:p>
      <w:pPr>
        <w:pStyle w:val="FirstParagraph"/>
      </w:pPr>
      <w:r>
        <w:t xml:space="preserve">This study turned the question</w:t>
      </w:r>
      <w:r>
        <w:t xml:space="preserve"> </w:t>
      </w:r>
      <w:r>
        <w:t xml:space="preserve">“</w:t>
      </w:r>
      <w:r>
        <w:t xml:space="preserve">Can AI replace teachers?</w:t>
      </w:r>
      <w:r>
        <w:t xml:space="preserve">”</w:t>
      </w:r>
      <w:r>
        <w:t xml:space="preserve"> </w:t>
      </w:r>
      <w:r>
        <w:t xml:space="preserve">into a measurable, task-level assessment. A hierarchical fuzzy inference system combined eight validated evaluation factors from more than eleven thousand students in 92 countries into an interpretable Teacher Replacement Feasibility Score. Neural and conventional learners were used to validate and benchmark it. Students regard AI as most capable for explanatory and question-answering work and least capable for assessment, motivation, socio-emotional support and the development of higher-order thinking. However, no teaching activity reaches the threshold for full replacement, and reliability is the decisive bottleneck. The future of higher education suggested by these data is therefore not one of teacher replacement. It is one of deliberate human–AI collaboration, in which AI takes on routine explanatory work and human teachers retain responsibility for judgement, motivation, mentoring and care.</w:t>
      </w:r>
    </w:p>
    <w:bookmarkEnd w:id="123"/>
    <w:bookmarkStart w:id="124" w:name="acknowledgements"/>
    <w:p>
      <w:pPr>
        <w:pStyle w:val="Heading1"/>
      </w:pPr>
      <w:r>
        <w:t xml:space="preserve">Acknowledgements</w:t>
      </w:r>
    </w:p>
    <w:p>
      <w:pPr>
        <w:pStyle w:val="FirstParagraph"/>
      </w:pPr>
      <w:r>
        <w:t xml:space="preserve">The author thanks D. Ravšelj, A. Aristovnik and the Global ChatGPT Student Survey consortium for making their data openly available.</w:t>
      </w:r>
    </w:p>
    <w:bookmarkEnd w:id="124"/>
    <w:bookmarkStart w:id="125" w:name="declarations"/>
    <w:p>
      <w:pPr>
        <w:pStyle w:val="Heading1"/>
      </w:pPr>
      <w:r>
        <w:t xml:space="preserve">Declarations</w:t>
      </w:r>
    </w:p>
    <w:p>
      <w:pPr>
        <w:numPr>
          <w:ilvl w:val="0"/>
          <w:numId w:val="1003"/>
        </w:numPr>
      </w:pPr>
      <w:r>
        <w:rPr>
          <w:bCs/>
          <w:b/>
        </w:rPr>
        <w:t xml:space="preserve">Funding:</w:t>
      </w:r>
      <w:r>
        <w:t xml:space="preserve"> </w:t>
      </w:r>
      <w:r>
        <w:t xml:space="preserve">The author did not receive support from any organization for the submitted work.</w:t>
      </w:r>
    </w:p>
    <w:p>
      <w:pPr>
        <w:numPr>
          <w:ilvl w:val="0"/>
          <w:numId w:val="1003"/>
        </w:numPr>
      </w:pPr>
      <w:r>
        <w:rPr>
          <w:bCs/>
          <w:b/>
        </w:rPr>
        <w:t xml:space="preserve">Conflict of interest/Competing interests:</w:t>
      </w:r>
      <w:r>
        <w:t xml:space="preserve"> </w:t>
      </w:r>
      <w:r>
        <w:t xml:space="preserve">The author declares no competing interests.</w:t>
      </w:r>
    </w:p>
    <w:p>
      <w:pPr>
        <w:numPr>
          <w:ilvl w:val="0"/>
          <w:numId w:val="1003"/>
        </w:numPr>
      </w:pPr>
      <w:r>
        <w:rPr>
          <w:bCs/>
          <w:b/>
        </w:rPr>
        <w:t xml:space="preserve">Ethics approval and consent to participate:</w:t>
      </w:r>
      <w:r>
        <w:t xml:space="preserve"> </w:t>
      </w:r>
      <w:r>
        <w:t xml:space="preserve">Not applicable. This study is a secondary analysis of a fully anonymised, publicly available dataset collected with informed consent by the original investigators</w:t>
      </w:r>
      <w:r>
        <w:t xml:space="preserve"> </w:t>
      </w:r>
      <w:r>
        <w:t xml:space="preserve">(Ravšelj et al. 2025b)</w:t>
      </w:r>
      <w:r>
        <w:t xml:space="preserve">; no new data were collected.</w:t>
      </w:r>
    </w:p>
    <w:p>
      <w:pPr>
        <w:numPr>
          <w:ilvl w:val="0"/>
          <w:numId w:val="1003"/>
        </w:numPr>
      </w:pPr>
      <w:r>
        <w:rPr>
          <w:bCs/>
          <w:b/>
        </w:rPr>
        <w:t xml:space="preserve">Consent for publication:</w:t>
      </w:r>
      <w:r>
        <w:t xml:space="preserve"> </w:t>
      </w:r>
      <w:r>
        <w:t xml:space="preserve">Not applicable.</w:t>
      </w:r>
    </w:p>
    <w:p>
      <w:pPr>
        <w:numPr>
          <w:ilvl w:val="0"/>
          <w:numId w:val="1003"/>
        </w:numPr>
      </w:pPr>
      <w:r>
        <w:rPr>
          <w:bCs/>
          <w:b/>
        </w:rPr>
        <w:t xml:space="preserve">Data availability:</w:t>
      </w:r>
      <w:r>
        <w:t xml:space="preserve"> </w:t>
      </w:r>
      <w:r>
        <w:t xml:space="preserve">The survey data are openly available from Mendeley Data under a CC BY 4.0 licence</w:t>
      </w:r>
      <w:r>
        <w:t xml:space="preserve"> </w:t>
      </w:r>
      <w:r>
        <w:t xml:space="preserve">(Ravšelj et al. 2025a)</w:t>
      </w:r>
      <w:r>
        <w:t xml:space="preserve">.</w:t>
      </w:r>
    </w:p>
    <w:p>
      <w:pPr>
        <w:numPr>
          <w:ilvl w:val="0"/>
          <w:numId w:val="1003"/>
        </w:numPr>
      </w:pPr>
      <w:r>
        <w:rPr>
          <w:bCs/>
          <w:b/>
        </w:rPr>
        <w:t xml:space="preserve">Code availability:</w:t>
      </w:r>
      <w:r>
        <w:t xml:space="preserve"> </w:t>
      </w:r>
      <w:r>
        <w:t xml:space="preserve">The analysis code (Python) that reproduces all tables and figures is available from the corresponding author on reasonable request.</w:t>
      </w:r>
    </w:p>
    <w:p>
      <w:pPr>
        <w:numPr>
          <w:ilvl w:val="0"/>
          <w:numId w:val="1003"/>
        </w:numPr>
      </w:pPr>
      <w:r>
        <w:rPr>
          <w:bCs/>
          <w:b/>
        </w:rPr>
        <w:t xml:space="preserve">Use of generative AI:</w:t>
      </w:r>
      <w:r>
        <w:t xml:space="preserve"> </w:t>
      </w:r>
      <w:r>
        <w:t xml:space="preserve">During the preparation of this work the author used Claude (Anthropic), a large language model, to assist with writing the analysis code and drafting and editing the manuscript text. The author reviewed, verified and edited all analyses and text and takes full responsibility for the content of the publication.</w:t>
      </w:r>
    </w:p>
    <w:p>
      <w:pPr>
        <w:numPr>
          <w:ilvl w:val="0"/>
          <w:numId w:val="1003"/>
        </w:numPr>
      </w:pPr>
      <w:r>
        <w:rPr>
          <w:bCs/>
          <w:b/>
        </w:rPr>
        <w:t xml:space="preserve">Author contribution:</w:t>
      </w:r>
      <w:r>
        <w:t xml:space="preserve"> </w:t>
      </w:r>
      <w:r>
        <w:t xml:space="preserve">M.B.S.: conceptualization, methodology, software, formal analysis, visualization, writing – original draft, writing – review &amp; editing.</w:t>
      </w:r>
    </w:p>
    <w:bookmarkEnd w:id="125"/>
    <w:bookmarkStart w:id="237" w:name="references"/>
    <w:p>
      <w:pPr>
        <w:pStyle w:val="Heading1"/>
      </w:pPr>
      <w:r>
        <w:t xml:space="preserve">References</w:t>
      </w:r>
    </w:p>
    <w:bookmarkStart w:id="236" w:name="refs"/>
    <w:bookmarkStart w:id="127" w:name="ref-allen2019"/>
    <w:p>
      <w:pPr>
        <w:pStyle w:val="Bibliography"/>
      </w:pPr>
      <w:r>
        <w:t xml:space="preserve">Allen, Micah, Davide Poggiali, Kirstie Whitaker, Tom Rhys Marshall, and Rogier A. Kievit. 2019.</w:t>
      </w:r>
      <w:r>
        <w:t xml:space="preserve"> </w:t>
      </w:r>
      <w:r>
        <w:t xml:space="preserve">“Raincloud Plots: A Multi-Platform Tool for Robust Data Visualization.”</w:t>
      </w:r>
      <w:r>
        <w:t xml:space="preserve"> </w:t>
      </w:r>
      <w:r>
        <w:rPr>
          <w:iCs/>
          <w:i/>
        </w:rPr>
        <w:t xml:space="preserve">Wellcome Open Research</w:t>
      </w:r>
      <w:r>
        <w:t xml:space="preserve"> </w:t>
      </w:r>
      <w:r>
        <w:t xml:space="preserve">4: 63.</w:t>
      </w:r>
      <w:r>
        <w:t xml:space="preserve"> </w:t>
      </w:r>
      <w:hyperlink r:id="rId126">
        <w:r>
          <w:rPr>
            <w:rStyle w:val="Hyperlink"/>
          </w:rPr>
          <w:t xml:space="preserve">https://doi.org/10.12688/wellcomeopenres.15191.1</w:t>
        </w:r>
      </w:hyperlink>
      <w:r>
        <w:t xml:space="preserve">.</w:t>
      </w:r>
    </w:p>
    <w:bookmarkEnd w:id="127"/>
    <w:bookmarkStart w:id="129" w:name="ref-autor2003"/>
    <w:p>
      <w:pPr>
        <w:pStyle w:val="Bibliography"/>
      </w:pPr>
      <w:r>
        <w:t xml:space="preserve">Autor, David H., Frank Levy, and Richard J. Murnane. 2003.</w:t>
      </w:r>
      <w:r>
        <w:t xml:space="preserve"> </w:t>
      </w:r>
      <w:r>
        <w:t xml:space="preserve">“The Skill Content of Recent Technological Change: An Empirical Exploration.”</w:t>
      </w:r>
      <w:r>
        <w:t xml:space="preserve"> </w:t>
      </w:r>
      <w:r>
        <w:rPr>
          <w:iCs/>
          <w:i/>
        </w:rPr>
        <w:t xml:space="preserve">The Quarterly Journal of Economics</w:t>
      </w:r>
      <w:r>
        <w:t xml:space="preserve"> </w:t>
      </w:r>
      <w:r>
        <w:t xml:space="preserve">118 (4): 1279–1333.</w:t>
      </w:r>
      <w:r>
        <w:t xml:space="preserve"> </w:t>
      </w:r>
      <w:hyperlink r:id="rId128">
        <w:r>
          <w:rPr>
            <w:rStyle w:val="Hyperlink"/>
          </w:rPr>
          <w:t xml:space="preserve">https://doi.org/10.1162/003355303322552801</w:t>
        </w:r>
      </w:hyperlink>
      <w:r>
        <w:t xml:space="preserve">.</w:t>
      </w:r>
    </w:p>
    <w:bookmarkEnd w:id="129"/>
    <w:bookmarkStart w:id="130" w:name="ref-biswas1995"/>
    <w:p>
      <w:pPr>
        <w:pStyle w:val="Bibliography"/>
      </w:pPr>
      <w:r>
        <w:t xml:space="preserve">Biswas, Ranjit. 1995.</w:t>
      </w:r>
      <w:r>
        <w:t xml:space="preserve"> </w:t>
      </w:r>
      <w:r>
        <w:t xml:space="preserve">“An Application of Fuzzy Sets in Students’ Evaluation.”</w:t>
      </w:r>
      <w:r>
        <w:t xml:space="preserve"> </w:t>
      </w:r>
      <w:r>
        <w:rPr>
          <w:iCs/>
          <w:i/>
        </w:rPr>
        <w:t xml:space="preserve">Fuzzy Sets and Systems</w:t>
      </w:r>
      <w:r>
        <w:t xml:space="preserve"> </w:t>
      </w:r>
      <w:r>
        <w:t xml:space="preserve">74 (2): 187–94.</w:t>
      </w:r>
    </w:p>
    <w:bookmarkEnd w:id="130"/>
    <w:bookmarkStart w:id="132" w:name="ref-bond2024"/>
    <w:p>
      <w:pPr>
        <w:pStyle w:val="Bibliography"/>
      </w:pPr>
      <w:r>
        <w:t xml:space="preserve">Bond, Melissa, Hassan Khosravi, Maarten De Laat, Nina Bergdahl, Violeta Negrea, Emily Oxley, Phuong Pham, Sin Wang Chong, and George Siemens. 2024.</w:t>
      </w:r>
      <w:r>
        <w:t xml:space="preserve"> </w:t>
      </w:r>
      <w:r>
        <w:t xml:space="preserve">“A Meta Systematic Review of Artificial Intelligence in Higher Education: A Call for Increased Ethics, Collaboration, and Rigour.”</w:t>
      </w:r>
      <w:r>
        <w:t xml:space="preserve"> </w:t>
      </w:r>
      <w:r>
        <w:rPr>
          <w:iCs/>
          <w:i/>
        </w:rPr>
        <w:t xml:space="preserve">International Journal of Educational Technology in Higher Education</w:t>
      </w:r>
      <w:r>
        <w:t xml:space="preserve"> </w:t>
      </w:r>
      <w:r>
        <w:t xml:space="preserve">21: 4.</w:t>
      </w:r>
      <w:r>
        <w:t xml:space="preserve"> </w:t>
      </w:r>
      <w:hyperlink r:id="rId131">
        <w:r>
          <w:rPr>
            <w:rStyle w:val="Hyperlink"/>
          </w:rPr>
          <w:t xml:space="preserve">https://doi.org/10.1186/s41239-023-00436-z</w:t>
        </w:r>
      </w:hyperlink>
      <w:r>
        <w:t xml:space="preserve">.</w:t>
      </w:r>
    </w:p>
    <w:bookmarkEnd w:id="132"/>
    <w:bookmarkStart w:id="134" w:name="ref-breiman2001"/>
    <w:p>
      <w:pPr>
        <w:pStyle w:val="Bibliography"/>
      </w:pPr>
      <w:r>
        <w:t xml:space="preserve">Breiman, Leo. 2001.</w:t>
      </w:r>
      <w:r>
        <w:t xml:space="preserve"> </w:t>
      </w:r>
      <w:r>
        <w:t xml:space="preserve">“Random Forests.”</w:t>
      </w:r>
      <w:r>
        <w:t xml:space="preserve"> </w:t>
      </w:r>
      <w:r>
        <w:rPr>
          <w:iCs/>
          <w:i/>
        </w:rPr>
        <w:t xml:space="preserve">Machine Learning</w:t>
      </w:r>
      <w:r>
        <w:t xml:space="preserve"> </w:t>
      </w:r>
      <w:r>
        <w:t xml:space="preserve">45 (1): 5–32.</w:t>
      </w:r>
      <w:r>
        <w:t xml:space="preserve"> </w:t>
      </w:r>
      <w:hyperlink r:id="rId133">
        <w:r>
          <w:rPr>
            <w:rStyle w:val="Hyperlink"/>
          </w:rPr>
          <w:t xml:space="preserve">https://doi.org/10.1023/A:1010933404324</w:t>
        </w:r>
      </w:hyperlink>
      <w:r>
        <w:t xml:space="preserve">.</w:t>
      </w:r>
    </w:p>
    <w:bookmarkEnd w:id="134"/>
    <w:bookmarkStart w:id="136" w:name="ref-budescu1993"/>
    <w:p>
      <w:pPr>
        <w:pStyle w:val="Bibliography"/>
      </w:pPr>
      <w:r>
        <w:t xml:space="preserve">Budescu, David V. 1993.</w:t>
      </w:r>
      <w:r>
        <w:t xml:space="preserve"> </w:t>
      </w:r>
      <w:r>
        <w:t xml:space="preserve">“Dominance Analysis: A New Approach to the Problem of Relative Importance of Predictors in Multiple Regression.”</w:t>
      </w:r>
      <w:r>
        <w:t xml:space="preserve"> </w:t>
      </w:r>
      <w:r>
        <w:rPr>
          <w:iCs/>
          <w:i/>
        </w:rPr>
        <w:t xml:space="preserve">Psychological Bulletin</w:t>
      </w:r>
      <w:r>
        <w:t xml:space="preserve"> </w:t>
      </w:r>
      <w:r>
        <w:t xml:space="preserve">114 (3): 542–51.</w:t>
      </w:r>
      <w:r>
        <w:t xml:space="preserve"> </w:t>
      </w:r>
      <w:hyperlink r:id="rId135">
        <w:r>
          <w:rPr>
            <w:rStyle w:val="Hyperlink"/>
          </w:rPr>
          <w:t xml:space="preserve">https://doi.org/10.1037/0033-2909.114.3.542</w:t>
        </w:r>
      </w:hyperlink>
      <w:r>
        <w:t xml:space="preserve">.</w:t>
      </w:r>
    </w:p>
    <w:bookmarkEnd w:id="136"/>
    <w:bookmarkStart w:id="138" w:name="ref-chanhu2023"/>
    <w:p>
      <w:pPr>
        <w:pStyle w:val="Bibliography"/>
      </w:pPr>
      <w:r>
        <w:t xml:space="preserve">Chan, Cecilia Ka Yuk, and Wenjie Hu. 2023.</w:t>
      </w:r>
      <w:r>
        <w:t xml:space="preserve"> </w:t>
      </w:r>
      <w:r>
        <w:t xml:space="preserve">“Students’ Voices on Generative</w:t>
      </w:r>
      <w:r>
        <w:t xml:space="preserve"> </w:t>
      </w:r>
      <w:r>
        <w:t xml:space="preserve">AI</w:t>
      </w:r>
      <w:r>
        <w:t xml:space="preserve">: Perceptions, Benefits, and Challenges in Higher Education.”</w:t>
      </w:r>
      <w:r>
        <w:t xml:space="preserve"> </w:t>
      </w:r>
      <w:r>
        <w:rPr>
          <w:iCs/>
          <w:i/>
        </w:rPr>
        <w:t xml:space="preserve">International Journal of Educational Technology in Higher Education</w:t>
      </w:r>
      <w:r>
        <w:t xml:space="preserve"> </w:t>
      </w:r>
      <w:r>
        <w:t xml:space="preserve">20: 43.</w:t>
      </w:r>
      <w:r>
        <w:t xml:space="preserve"> </w:t>
      </w:r>
      <w:hyperlink r:id="rId137">
        <w:r>
          <w:rPr>
            <w:rStyle w:val="Hyperlink"/>
          </w:rPr>
          <w:t xml:space="preserve">https://doi.org/10.1186/s41239-023-00411-8</w:t>
        </w:r>
      </w:hyperlink>
      <w:r>
        <w:t xml:space="preserve">.</w:t>
      </w:r>
    </w:p>
    <w:bookmarkEnd w:id="138"/>
    <w:bookmarkStart w:id="140" w:name="ref-chantsi2024"/>
    <w:p>
      <w:pPr>
        <w:pStyle w:val="Bibliography"/>
      </w:pPr>
      <w:r>
        <w:t xml:space="preserve">Chan, Cecilia Ka Yuk, and Louisa H. Y. Tsi. 2024.</w:t>
      </w:r>
      <w:r>
        <w:t xml:space="preserve"> </w:t>
      </w:r>
      <w:r>
        <w:t xml:space="preserve">“Will Generative</w:t>
      </w:r>
      <w:r>
        <w:t xml:space="preserve"> </w:t>
      </w:r>
      <w:r>
        <w:t xml:space="preserve">AI</w:t>
      </w:r>
      <w:r>
        <w:t xml:space="preserve"> </w:t>
      </w:r>
      <w:r>
        <w:t xml:space="preserve">Replace Teachers in Higher Education?</w:t>
      </w:r>
      <w:r>
        <w:t xml:space="preserve"> </w:t>
      </w:r>
      <w:r>
        <w:t xml:space="preserve">A</w:t>
      </w:r>
      <w:r>
        <w:t xml:space="preserve"> </w:t>
      </w:r>
      <w:r>
        <w:t xml:space="preserve">Study of Teacher and Student Perceptions.”</w:t>
      </w:r>
      <w:r>
        <w:t xml:space="preserve"> </w:t>
      </w:r>
      <w:r>
        <w:rPr>
          <w:iCs/>
          <w:i/>
        </w:rPr>
        <w:t xml:space="preserve">Studies in Educational Evaluation</w:t>
      </w:r>
      <w:r>
        <w:t xml:space="preserve"> </w:t>
      </w:r>
      <w:r>
        <w:t xml:space="preserve">83: 101395.</w:t>
      </w:r>
      <w:r>
        <w:t xml:space="preserve"> </w:t>
      </w:r>
      <w:hyperlink r:id="rId139">
        <w:r>
          <w:rPr>
            <w:rStyle w:val="Hyperlink"/>
          </w:rPr>
          <w:t xml:space="preserve">https://doi.org/10.1016/j.stueduc.2024.101395</w:t>
        </w:r>
      </w:hyperlink>
      <w:r>
        <w:t xml:space="preserve">.</w:t>
      </w:r>
    </w:p>
    <w:bookmarkEnd w:id="140"/>
    <w:bookmarkStart w:id="141" w:name="ref-chenlee1999"/>
    <w:p>
      <w:pPr>
        <w:pStyle w:val="Bibliography"/>
      </w:pPr>
      <w:r>
        <w:t xml:space="preserve">Chen, Shyi-Ming, and Chia-Hoang Lee. 1999.</w:t>
      </w:r>
      <w:r>
        <w:t xml:space="preserve"> </w:t>
      </w:r>
      <w:r>
        <w:t xml:space="preserve">“New Methods for Students’ Evaluation Using Fuzzy Sets.”</w:t>
      </w:r>
      <w:r>
        <w:t xml:space="preserve"> </w:t>
      </w:r>
      <w:r>
        <w:rPr>
          <w:iCs/>
          <w:i/>
        </w:rPr>
        <w:t xml:space="preserve">Fuzzy Sets and Systems</w:t>
      </w:r>
      <w:r>
        <w:t xml:space="preserve"> </w:t>
      </w:r>
      <w:r>
        <w:t xml:space="preserve">104 (2): 209–18.</w:t>
      </w:r>
    </w:p>
    <w:bookmarkEnd w:id="141"/>
    <w:bookmarkStart w:id="143" w:name="ref-cotton2024"/>
    <w:p>
      <w:pPr>
        <w:pStyle w:val="Bibliography"/>
      </w:pPr>
      <w:r>
        <w:t xml:space="preserve">Cotton, Debby R. E., Peter A. Cotton, and J. Reuben Shipway. 2024.</w:t>
      </w:r>
      <w:r>
        <w:t xml:space="preserve"> </w:t>
      </w:r>
      <w:r>
        <w:t xml:space="preserve">“Chatting and Cheating: Ensuring Academic Integrity in the Era of</w:t>
      </w:r>
      <w:r>
        <w:t xml:space="preserve"> </w:t>
      </w:r>
      <w:r>
        <w:t xml:space="preserve">ChatGPT</w:t>
      </w:r>
      <w:r>
        <w:t xml:space="preserve">.”</w:t>
      </w:r>
      <w:r>
        <w:t xml:space="preserve"> </w:t>
      </w:r>
      <w:r>
        <w:rPr>
          <w:iCs/>
          <w:i/>
        </w:rPr>
        <w:t xml:space="preserve">Innovations in Education and Teaching International</w:t>
      </w:r>
      <w:r>
        <w:t xml:space="preserve"> </w:t>
      </w:r>
      <w:r>
        <w:t xml:space="preserve">61 (2): 228–39.</w:t>
      </w:r>
      <w:r>
        <w:t xml:space="preserve"> </w:t>
      </w:r>
      <w:hyperlink r:id="rId142">
        <w:r>
          <w:rPr>
            <w:rStyle w:val="Hyperlink"/>
          </w:rPr>
          <w:t xml:space="preserve">https://doi.org/10.1080/14703297.2023.2190148</w:t>
        </w:r>
      </w:hyperlink>
      <w:r>
        <w:t xml:space="preserve">.</w:t>
      </w:r>
    </w:p>
    <w:bookmarkEnd w:id="143"/>
    <w:bookmarkStart w:id="145" w:name="ref-crompton2023"/>
    <w:p>
      <w:pPr>
        <w:pStyle w:val="Bibliography"/>
      </w:pPr>
      <w:r>
        <w:t xml:space="preserve">Crompton, Helen, and Diane Burke. 2023.</w:t>
      </w:r>
      <w:r>
        <w:t xml:space="preserve"> </w:t>
      </w:r>
      <w:r>
        <w:t xml:space="preserve">“Artificial Intelligence in Higher Education: The State of the Field.”</w:t>
      </w:r>
      <w:r>
        <w:t xml:space="preserve"> </w:t>
      </w:r>
      <w:r>
        <w:rPr>
          <w:iCs/>
          <w:i/>
        </w:rPr>
        <w:t xml:space="preserve">International Journal of Educational Technology in Higher Education</w:t>
      </w:r>
      <w:r>
        <w:t xml:space="preserve"> </w:t>
      </w:r>
      <w:r>
        <w:t xml:space="preserve">20: 22.</w:t>
      </w:r>
      <w:r>
        <w:t xml:space="preserve"> </w:t>
      </w:r>
      <w:hyperlink r:id="rId144">
        <w:r>
          <w:rPr>
            <w:rStyle w:val="Hyperlink"/>
          </w:rPr>
          <w:t xml:space="preserve">https://doi.org/10.1186/s41239-023-00392-8</w:t>
        </w:r>
      </w:hyperlink>
      <w:r>
        <w:t xml:space="preserve">.</w:t>
      </w:r>
    </w:p>
    <w:bookmarkEnd w:id="145"/>
    <w:bookmarkStart w:id="147" w:name="ref-cronbach1951"/>
    <w:p>
      <w:pPr>
        <w:pStyle w:val="Bibliography"/>
      </w:pPr>
      <w:r>
        <w:t xml:space="preserve">Cronbach, Lee J. 1951.</w:t>
      </w:r>
      <w:r>
        <w:t xml:space="preserve"> </w:t>
      </w:r>
      <w:r>
        <w:t xml:space="preserve">“Coefficient Alpha and the Internal Structure of Tests.”</w:t>
      </w:r>
      <w:r>
        <w:t xml:space="preserve"> </w:t>
      </w:r>
      <w:r>
        <w:rPr>
          <w:iCs/>
          <w:i/>
        </w:rPr>
        <w:t xml:space="preserve">Psychometrika</w:t>
      </w:r>
      <w:r>
        <w:t xml:space="preserve"> </w:t>
      </w:r>
      <w:r>
        <w:t xml:space="preserve">16 (3): 297–334.</w:t>
      </w:r>
      <w:r>
        <w:t xml:space="preserve"> </w:t>
      </w:r>
      <w:hyperlink r:id="rId146">
        <w:r>
          <w:rPr>
            <w:rStyle w:val="Hyperlink"/>
          </w:rPr>
          <w:t xml:space="preserve">https://doi.org/10.1007/BF02310555</w:t>
        </w:r>
      </w:hyperlink>
      <w:r>
        <w:t xml:space="preserve">.</w:t>
      </w:r>
    </w:p>
    <w:bookmarkEnd w:id="147"/>
    <w:bookmarkStart w:id="149" w:name="ref-dwivedi2023"/>
    <w:p>
      <w:pPr>
        <w:pStyle w:val="Bibliography"/>
      </w:pPr>
      <w:r>
        <w:t xml:space="preserve">Dwivedi, Yogesh K. et al. 2023.</w:t>
      </w:r>
      <w:r>
        <w:t xml:space="preserve"> </w:t>
      </w:r>
      <w:r>
        <w:t xml:space="preserve">“</w:t>
      </w:r>
      <w:r>
        <w:t xml:space="preserve">‘</w:t>
      </w:r>
      <w:r>
        <w:t xml:space="preserve">So</w:t>
      </w:r>
      <w:r>
        <w:t xml:space="preserve"> </w:t>
      </w:r>
      <w:r>
        <w:t xml:space="preserve">What If</w:t>
      </w:r>
      <w:r>
        <w:t xml:space="preserve"> </w:t>
      </w:r>
      <w:r>
        <w:t xml:space="preserve">ChatGPT</w:t>
      </w:r>
      <w:r>
        <w:t xml:space="preserve"> </w:t>
      </w:r>
      <w:r>
        <w:t xml:space="preserve">Wrote It?’</w:t>
      </w:r>
      <w:r>
        <w:t xml:space="preserve"> </w:t>
      </w:r>
      <w:r>
        <w:t xml:space="preserve">Multidisciplinary</w:t>
      </w:r>
      <w:r>
        <w:t xml:space="preserve"> </w:t>
      </w:r>
      <w:r>
        <w:t xml:space="preserve">Perspectives on Opportunities, Challenges and Implications of Generative Conversational</w:t>
      </w:r>
      <w:r>
        <w:t xml:space="preserve"> </w:t>
      </w:r>
      <w:r>
        <w:t xml:space="preserve">AI</w:t>
      </w:r>
      <w:r>
        <w:t xml:space="preserve"> </w:t>
      </w:r>
      <w:r>
        <w:t xml:space="preserve">for Research, Practice and Policy.”</w:t>
      </w:r>
      <w:r>
        <w:t xml:space="preserve"> </w:t>
      </w:r>
      <w:r>
        <w:rPr>
          <w:iCs/>
          <w:i/>
        </w:rPr>
        <w:t xml:space="preserve">International Journal of Information Management</w:t>
      </w:r>
      <w:r>
        <w:t xml:space="preserve"> </w:t>
      </w:r>
      <w:r>
        <w:t xml:space="preserve">71: 102642.</w:t>
      </w:r>
      <w:r>
        <w:t xml:space="preserve"> </w:t>
      </w:r>
      <w:hyperlink r:id="rId148">
        <w:r>
          <w:rPr>
            <w:rStyle w:val="Hyperlink"/>
          </w:rPr>
          <w:t xml:space="preserve">https://doi.org/10.1016/j.ijinfomgt.2023.102642</w:t>
        </w:r>
      </w:hyperlink>
      <w:r>
        <w:t xml:space="preserve">.</w:t>
      </w:r>
    </w:p>
    <w:bookmarkEnd w:id="149"/>
    <w:bookmarkStart w:id="150" w:name="ref-efron1993"/>
    <w:p>
      <w:pPr>
        <w:pStyle w:val="Bibliography"/>
      </w:pPr>
      <w:r>
        <w:t xml:space="preserve">Efron, Bradley, and Robert J. Tibshirani. 1993.</w:t>
      </w:r>
      <w:r>
        <w:t xml:space="preserve"> </w:t>
      </w:r>
      <w:r>
        <w:rPr>
          <w:iCs/>
          <w:i/>
        </w:rPr>
        <w:t xml:space="preserve">An Introduction to the Bootstrap</w:t>
      </w:r>
      <w:r>
        <w:t xml:space="preserve">. New York: Chapman &amp; Hall.</w:t>
      </w:r>
    </w:p>
    <w:bookmarkEnd w:id="150"/>
    <w:bookmarkStart w:id="152" w:name="ref-eloundou2024"/>
    <w:p>
      <w:pPr>
        <w:pStyle w:val="Bibliography"/>
      </w:pPr>
      <w:r>
        <w:t xml:space="preserve">Eloundou, Tyna, Sam Manning, Pamela Mishkin, and Daniel Rock. 2024.</w:t>
      </w:r>
      <w:r>
        <w:t xml:space="preserve"> </w:t>
      </w:r>
      <w:r>
        <w:t xml:space="preserve">“</w:t>
      </w:r>
      <w:r>
        <w:t xml:space="preserve">GPTs</w:t>
      </w:r>
      <w:r>
        <w:t xml:space="preserve"> </w:t>
      </w:r>
      <w:r>
        <w:t xml:space="preserve">Are</w:t>
      </w:r>
      <w:r>
        <w:t xml:space="preserve"> </w:t>
      </w:r>
      <w:r>
        <w:t xml:space="preserve">GPTs</w:t>
      </w:r>
      <w:r>
        <w:t xml:space="preserve">: Labor Market Impact Potential of</w:t>
      </w:r>
      <w:r>
        <w:t xml:space="preserve"> </w:t>
      </w:r>
      <w:r>
        <w:t xml:space="preserve">LLMs</w:t>
      </w:r>
      <w:r>
        <w:t xml:space="preserve">.”</w:t>
      </w:r>
      <w:r>
        <w:t xml:space="preserve"> </w:t>
      </w:r>
      <w:r>
        <w:rPr>
          <w:iCs/>
          <w:i/>
        </w:rPr>
        <w:t xml:space="preserve">Science</w:t>
      </w:r>
      <w:r>
        <w:t xml:space="preserve"> </w:t>
      </w:r>
      <w:r>
        <w:t xml:space="preserve">384 (6702): 1306–8.</w:t>
      </w:r>
      <w:r>
        <w:t xml:space="preserve"> </w:t>
      </w:r>
      <w:hyperlink r:id="rId151">
        <w:r>
          <w:rPr>
            <w:rStyle w:val="Hyperlink"/>
          </w:rPr>
          <w:t xml:space="preserve">https://doi.org/10.1126/science.adj0998</w:t>
        </w:r>
      </w:hyperlink>
      <w:r>
        <w:t xml:space="preserve">.</w:t>
      </w:r>
    </w:p>
    <w:bookmarkEnd w:id="152"/>
    <w:bookmarkStart w:id="154" w:name="ref-fornell1981"/>
    <w:p>
      <w:pPr>
        <w:pStyle w:val="Bibliography"/>
      </w:pPr>
      <w:r>
        <w:t xml:space="preserve">Fornell, Claes, and David F. Larcker. 1981.</w:t>
      </w:r>
      <w:r>
        <w:t xml:space="preserve"> </w:t>
      </w:r>
      <w:r>
        <w:t xml:space="preserve">“Evaluating Structural Equation Models with Unobservable Variables and Measurement Error.”</w:t>
      </w:r>
      <w:r>
        <w:t xml:space="preserve"> </w:t>
      </w:r>
      <w:r>
        <w:rPr>
          <w:iCs/>
          <w:i/>
        </w:rPr>
        <w:t xml:space="preserve">Journal of Marketing Research</w:t>
      </w:r>
      <w:r>
        <w:t xml:space="preserve"> </w:t>
      </w:r>
      <w:r>
        <w:t xml:space="preserve">18 (1): 39–50.</w:t>
      </w:r>
      <w:r>
        <w:t xml:space="preserve"> </w:t>
      </w:r>
      <w:hyperlink r:id="rId153">
        <w:r>
          <w:rPr>
            <w:rStyle w:val="Hyperlink"/>
          </w:rPr>
          <w:t xml:space="preserve">https://doi.org/10.1177/002224378101800104</w:t>
        </w:r>
      </w:hyperlink>
      <w:r>
        <w:t xml:space="preserve">.</w:t>
      </w:r>
    </w:p>
    <w:bookmarkEnd w:id="154"/>
    <w:bookmarkStart w:id="156" w:name="ref-frey2017"/>
    <w:p>
      <w:pPr>
        <w:pStyle w:val="Bibliography"/>
      </w:pPr>
      <w:r>
        <w:t xml:space="preserve">Frey, Carl Benedikt, and Michael A. Osborne. 2017.</w:t>
      </w:r>
      <w:r>
        <w:t xml:space="preserve"> </w:t>
      </w:r>
      <w:r>
        <w:t xml:space="preserve">“The Future of Employment: How Susceptible Are Jobs to Computerisation?”</w:t>
      </w:r>
      <w:r>
        <w:t xml:space="preserve"> </w:t>
      </w:r>
      <w:r>
        <w:rPr>
          <w:iCs/>
          <w:i/>
        </w:rPr>
        <w:t xml:space="preserve">Technological Forecasting and Social Change</w:t>
      </w:r>
      <w:r>
        <w:t xml:space="preserve"> </w:t>
      </w:r>
      <w:r>
        <w:t xml:space="preserve">114: 254–80.</w:t>
      </w:r>
      <w:r>
        <w:t xml:space="preserve"> </w:t>
      </w:r>
      <w:hyperlink r:id="rId155">
        <w:r>
          <w:rPr>
            <w:rStyle w:val="Hyperlink"/>
          </w:rPr>
          <w:t xml:space="preserve">https://doi.org/10.1016/j.techfore.2016.08.019</w:t>
        </w:r>
      </w:hyperlink>
      <w:r>
        <w:t xml:space="preserve">.</w:t>
      </w:r>
    </w:p>
    <w:bookmarkEnd w:id="156"/>
    <w:bookmarkStart w:id="158" w:name="ref-friedman2001"/>
    <w:p>
      <w:pPr>
        <w:pStyle w:val="Bibliography"/>
      </w:pPr>
      <w:r>
        <w:t xml:space="preserve">Friedman, Jerome H. 2001.</w:t>
      </w:r>
      <w:r>
        <w:t xml:space="preserve"> </w:t>
      </w:r>
      <w:r>
        <w:t xml:space="preserve">“Greedy Function Approximation: A Gradient Boosting Machine.”</w:t>
      </w:r>
      <w:r>
        <w:t xml:space="preserve"> </w:t>
      </w:r>
      <w:r>
        <w:rPr>
          <w:iCs/>
          <w:i/>
        </w:rPr>
        <w:t xml:space="preserve">The Annals of Statistics</w:t>
      </w:r>
      <w:r>
        <w:t xml:space="preserve"> </w:t>
      </w:r>
      <w:r>
        <w:t xml:space="preserve">29 (5): 1189–1232.</w:t>
      </w:r>
      <w:r>
        <w:t xml:space="preserve"> </w:t>
      </w:r>
      <w:hyperlink r:id="rId157">
        <w:r>
          <w:rPr>
            <w:rStyle w:val="Hyperlink"/>
          </w:rPr>
          <w:t xml:space="preserve">https://doi.org/10.1214/aos/1013203451</w:t>
        </w:r>
      </w:hyperlink>
      <w:r>
        <w:t xml:space="preserve">.</w:t>
      </w:r>
    </w:p>
    <w:bookmarkEnd w:id="158"/>
    <w:bookmarkStart w:id="160" w:name="ref-friedman1937"/>
    <w:p>
      <w:pPr>
        <w:pStyle w:val="Bibliography"/>
      </w:pPr>
      <w:r>
        <w:t xml:space="preserve">Friedman, Milton. 1937.</w:t>
      </w:r>
      <w:r>
        <w:t xml:space="preserve"> </w:t>
      </w:r>
      <w:r>
        <w:t xml:space="preserve">“The Use of Ranks to Avoid the Assumption of Normality Implicit in the Analysis of Variance.”</w:t>
      </w:r>
      <w:r>
        <w:t xml:space="preserve"> </w:t>
      </w:r>
      <w:r>
        <w:rPr>
          <w:iCs/>
          <w:i/>
        </w:rPr>
        <w:t xml:space="preserve">Journal of the American Statistical Association</w:t>
      </w:r>
      <w:r>
        <w:t xml:space="preserve"> </w:t>
      </w:r>
      <w:r>
        <w:t xml:space="preserve">32 (200): 675–701.</w:t>
      </w:r>
      <w:r>
        <w:t xml:space="preserve"> </w:t>
      </w:r>
      <w:hyperlink r:id="rId159">
        <w:r>
          <w:rPr>
            <w:rStyle w:val="Hyperlink"/>
          </w:rPr>
          <w:t xml:space="preserve">https://doi.org/10.1080/01621459.1937.10503522</w:t>
        </w:r>
      </w:hyperlink>
      <w:r>
        <w:t xml:space="preserve">.</w:t>
      </w:r>
    </w:p>
    <w:bookmarkEnd w:id="160"/>
    <w:bookmarkStart w:id="162" w:name="ref-henseler2015"/>
    <w:p>
      <w:pPr>
        <w:pStyle w:val="Bibliography"/>
      </w:pPr>
      <w:r>
        <w:t xml:space="preserve">Henseler, Jörg, Christian M. Ringle, and Marko Sarstedt. 2015.</w:t>
      </w:r>
      <w:r>
        <w:t xml:space="preserve"> </w:t>
      </w:r>
      <w:r>
        <w:t xml:space="preserve">“A New Criterion for Assessing Discriminant Validity in Variance-Based Structural Equation Modeling.”</w:t>
      </w:r>
      <w:r>
        <w:t xml:space="preserve"> </w:t>
      </w:r>
      <w:r>
        <w:rPr>
          <w:iCs/>
          <w:i/>
        </w:rPr>
        <w:t xml:space="preserve">Journal of the Academy of Marketing Science</w:t>
      </w:r>
      <w:r>
        <w:t xml:space="preserve"> </w:t>
      </w:r>
      <w:r>
        <w:t xml:space="preserve">43 (1): 115–35.</w:t>
      </w:r>
      <w:r>
        <w:t xml:space="preserve"> </w:t>
      </w:r>
      <w:hyperlink r:id="rId161">
        <w:r>
          <w:rPr>
            <w:rStyle w:val="Hyperlink"/>
          </w:rPr>
          <w:t xml:space="preserve">https://doi.org/10.1007/s11747-014-0403-8</w:t>
        </w:r>
      </w:hyperlink>
      <w:r>
        <w:t xml:space="preserve">.</w:t>
      </w:r>
    </w:p>
    <w:bookmarkEnd w:id="162"/>
    <w:bookmarkStart w:id="163" w:name="ref-holm1979"/>
    <w:p>
      <w:pPr>
        <w:pStyle w:val="Bibliography"/>
      </w:pPr>
      <w:r>
        <w:t xml:space="preserve">Holm, Sture.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p>
    <w:bookmarkEnd w:id="163"/>
    <w:bookmarkStart w:id="164" w:name="ref-holmes2019"/>
    <w:p>
      <w:pPr>
        <w:pStyle w:val="Bibliography"/>
      </w:pPr>
      <w:r>
        <w:t xml:space="preserve">Holmes, Wayne, Maya Bialik, and Charles Fadel. 2019.</w:t>
      </w:r>
      <w:r>
        <w:t xml:space="preserve"> </w:t>
      </w:r>
      <w:r>
        <w:rPr>
          <w:iCs/>
          <w:i/>
        </w:rPr>
        <w:t xml:space="preserve">Artificial Intelligence in Education: Promises and Implications for Teaching and Learning</w:t>
      </w:r>
      <w:r>
        <w:t xml:space="preserve">. Boston, MA: Center for Curriculum Redesign.</w:t>
      </w:r>
    </w:p>
    <w:bookmarkEnd w:id="164"/>
    <w:bookmarkStart w:id="166" w:name="ref-hornik1989"/>
    <w:p>
      <w:pPr>
        <w:pStyle w:val="Bibliography"/>
      </w:pPr>
      <w:r>
        <w:t xml:space="preserve">Hornik, Kurt, Maxwell Stinchcombe, and Halbert White. 1989.</w:t>
      </w:r>
      <w:r>
        <w:t xml:space="preserve"> </w:t>
      </w:r>
      <w:r>
        <w:t xml:space="preserve">“Multilayer Feedforward Networks Are Universal Approximators.”</w:t>
      </w:r>
      <w:r>
        <w:t xml:space="preserve"> </w:t>
      </w:r>
      <w:r>
        <w:rPr>
          <w:iCs/>
          <w:i/>
        </w:rPr>
        <w:t xml:space="preserve">Neural Networks</w:t>
      </w:r>
      <w:r>
        <w:t xml:space="preserve"> </w:t>
      </w:r>
      <w:r>
        <w:t xml:space="preserve">2 (5): 359–66.</w:t>
      </w:r>
      <w:r>
        <w:t xml:space="preserve"> </w:t>
      </w:r>
      <w:hyperlink r:id="rId165">
        <w:r>
          <w:rPr>
            <w:rStyle w:val="Hyperlink"/>
          </w:rPr>
          <w:t xml:space="preserve">https://doi.org/10.1016/0893-6080(89)90020-8</w:t>
        </w:r>
      </w:hyperlink>
      <w:r>
        <w:t xml:space="preserve">.</w:t>
      </w:r>
    </w:p>
    <w:bookmarkEnd w:id="166"/>
    <w:bookmarkStart w:id="168" w:name="ref-hu1999"/>
    <w:p>
      <w:pPr>
        <w:pStyle w:val="Bibliography"/>
      </w:pPr>
      <w:r>
        <w:t xml:space="preserve">Hu, Li-tze, and Peter M. Bentler. 1999.</w:t>
      </w:r>
      <w:r>
        <w:t xml:space="preserve"> </w:t>
      </w:r>
      <w:r>
        <w:t xml:space="preserve">“Cutoff Criteria for Fit Indexes in Covariance Structure Analysis: Conventional Criteria Versus New Alternatives.”</w:t>
      </w:r>
      <w:r>
        <w:t xml:space="preserve"> </w:t>
      </w:r>
      <w:r>
        <w:rPr>
          <w:iCs/>
          <w:i/>
        </w:rPr>
        <w:t xml:space="preserve">Structural Equation Modeling</w:t>
      </w:r>
      <w:r>
        <w:t xml:space="preserve"> </w:t>
      </w:r>
      <w:r>
        <w:t xml:space="preserve">6 (1): 1–55.</w:t>
      </w:r>
      <w:r>
        <w:t xml:space="preserve"> </w:t>
      </w:r>
      <w:hyperlink r:id="rId167">
        <w:r>
          <w:rPr>
            <w:rStyle w:val="Hyperlink"/>
          </w:rPr>
          <w:t xml:space="preserve">https://doi.org/10.1080/10705519909540118</w:t>
        </w:r>
      </w:hyperlink>
      <w:r>
        <w:t xml:space="preserve">.</w:t>
      </w:r>
    </w:p>
    <w:bookmarkEnd w:id="168"/>
    <w:bookmarkStart w:id="170" w:name="ref-hubert1985"/>
    <w:p>
      <w:pPr>
        <w:pStyle w:val="Bibliography"/>
      </w:pPr>
      <w:r>
        <w:t xml:space="preserve">Hubert, Lawrence, and Phipps Arabie. 1985.</w:t>
      </w:r>
      <w:r>
        <w:t xml:space="preserve"> </w:t>
      </w:r>
      <w:r>
        <w:t xml:space="preserve">“Comparing Partitions.”</w:t>
      </w:r>
      <w:r>
        <w:t xml:space="preserve"> </w:t>
      </w:r>
      <w:r>
        <w:rPr>
          <w:iCs/>
          <w:i/>
        </w:rPr>
        <w:t xml:space="preserve">Journal of Classification</w:t>
      </w:r>
      <w:r>
        <w:t xml:space="preserve"> </w:t>
      </w:r>
      <w:r>
        <w:t xml:space="preserve">2 (1): 193–218.</w:t>
      </w:r>
      <w:r>
        <w:t xml:space="preserve"> </w:t>
      </w:r>
      <w:hyperlink r:id="rId169">
        <w:r>
          <w:rPr>
            <w:rStyle w:val="Hyperlink"/>
          </w:rPr>
          <w:t xml:space="preserve">https://doi.org/10.1007/BF01908075</w:t>
        </w:r>
      </w:hyperlink>
      <w:r>
        <w:t xml:space="preserve">.</w:t>
      </w:r>
    </w:p>
    <w:bookmarkEnd w:id="170"/>
    <w:bookmarkStart w:id="172" w:name="ref-jang1993"/>
    <w:p>
      <w:pPr>
        <w:pStyle w:val="Bibliography"/>
      </w:pPr>
      <w:r>
        <w:t xml:space="preserve">Jang, Jyh-Shing Roger. 1993.</w:t>
      </w:r>
      <w:r>
        <w:t xml:space="preserve"> </w:t>
      </w:r>
      <w:r>
        <w:t xml:space="preserve">“</w:t>
      </w:r>
      <w:r>
        <w:t xml:space="preserve">ANFIS</w:t>
      </w:r>
      <w:r>
        <w:t xml:space="preserve">: Adaptive-Network-Based Fuzzy Inference System.”</w:t>
      </w:r>
      <w:r>
        <w:t xml:space="preserve"> </w:t>
      </w:r>
      <w:r>
        <w:rPr>
          <w:iCs/>
          <w:i/>
        </w:rPr>
        <w:t xml:space="preserve">IEEE Transactions on Systems, Man, and Cybernetics</w:t>
      </w:r>
      <w:r>
        <w:t xml:space="preserve"> </w:t>
      </w:r>
      <w:r>
        <w:t xml:space="preserve">23 (3): 665–85.</w:t>
      </w:r>
      <w:r>
        <w:t xml:space="preserve"> </w:t>
      </w:r>
      <w:hyperlink r:id="rId171">
        <w:r>
          <w:rPr>
            <w:rStyle w:val="Hyperlink"/>
          </w:rPr>
          <w:t xml:space="preserve">https://doi.org/10.1109/21.256541</w:t>
        </w:r>
      </w:hyperlink>
      <w:r>
        <w:t xml:space="preserve">.</w:t>
      </w:r>
    </w:p>
    <w:bookmarkEnd w:id="172"/>
    <w:bookmarkStart w:id="174" w:name="ref-kasneci2023"/>
    <w:p>
      <w:pPr>
        <w:pStyle w:val="Bibliography"/>
      </w:pPr>
      <w:r>
        <w:t xml:space="preserve">Kasneci, Enkelejda et al. 2023.</w:t>
      </w:r>
      <w:r>
        <w:t xml:space="preserve"> </w:t>
      </w:r>
      <w:r>
        <w:t xml:space="preserve">“</w:t>
      </w:r>
      <w:r>
        <w:t xml:space="preserve">ChatGPT</w:t>
      </w:r>
      <w:r>
        <w:t xml:space="preserve"> </w:t>
      </w:r>
      <w:r>
        <w:t xml:space="preserve">for Good?</w:t>
      </w:r>
      <w:r>
        <w:t xml:space="preserve"> </w:t>
      </w:r>
      <w:r>
        <w:t xml:space="preserve">O</w:t>
      </w:r>
      <w:r>
        <w:t xml:space="preserve">n Opportunities and Challenges of Large Language Models for Education.”</w:t>
      </w:r>
      <w:r>
        <w:t xml:space="preserve"> </w:t>
      </w:r>
      <w:r>
        <w:rPr>
          <w:iCs/>
          <w:i/>
        </w:rPr>
        <w:t xml:space="preserve">Learning and Individual Differences</w:t>
      </w:r>
      <w:r>
        <w:t xml:space="preserve"> </w:t>
      </w:r>
      <w:r>
        <w:t xml:space="preserve">103: 102274.</w:t>
      </w:r>
      <w:r>
        <w:t xml:space="preserve"> </w:t>
      </w:r>
      <w:hyperlink r:id="rId173">
        <w:r>
          <w:rPr>
            <w:rStyle w:val="Hyperlink"/>
          </w:rPr>
          <w:t xml:space="preserve">https://doi.org/10.1016/j.lindif.2023.102274</w:t>
        </w:r>
      </w:hyperlink>
      <w:r>
        <w:t xml:space="preserve">.</w:t>
      </w:r>
    </w:p>
    <w:bookmarkEnd w:id="174"/>
    <w:bookmarkStart w:id="175" w:name="ref-kingma2015"/>
    <w:p>
      <w:pPr>
        <w:pStyle w:val="Bibliography"/>
      </w:pPr>
      <w:r>
        <w:t xml:space="preserve">Kingma, Diederik P., and Jimmy Ba. 2015.</w:t>
      </w:r>
      <w:r>
        <w:t xml:space="preserve"> </w:t>
      </w:r>
      <w:r>
        <w:t xml:space="preserve">“Adam: A Method for Stochastic Optimization.”</w:t>
      </w:r>
      <w:r>
        <w:t xml:space="preserve"> </w:t>
      </w:r>
      <w:r>
        <w:t xml:space="preserve">In</w:t>
      </w:r>
      <w:r>
        <w:t xml:space="preserve"> </w:t>
      </w:r>
      <w:r>
        <w:rPr>
          <w:iCs/>
          <w:i/>
        </w:rPr>
        <w:t xml:space="preserve">Proceedings of the 3rd International Conference on Learning Representations (ICLR)</w:t>
      </w:r>
      <w:r>
        <w:t xml:space="preserve">.</w:t>
      </w:r>
    </w:p>
    <w:bookmarkEnd w:id="175"/>
    <w:bookmarkStart w:id="176" w:name="ref-kline2016"/>
    <w:p>
      <w:pPr>
        <w:pStyle w:val="Bibliography"/>
      </w:pPr>
      <w:r>
        <w:t xml:space="preserve">Kline, Rex B. 2016.</w:t>
      </w:r>
      <w:r>
        <w:t xml:space="preserve"> </w:t>
      </w:r>
      <w:r>
        <w:rPr>
          <w:iCs/>
          <w:i/>
        </w:rPr>
        <w:t xml:space="preserve">Principles and Practice of Structural Equation Modeling</w:t>
      </w:r>
      <w:r>
        <w:t xml:space="preserve">. 4th ed. New York: Guilford Press.</w:t>
      </w:r>
    </w:p>
    <w:bookmarkEnd w:id="176"/>
    <w:bookmarkStart w:id="178" w:name="ref-koenker1978"/>
    <w:p>
      <w:pPr>
        <w:pStyle w:val="Bibliography"/>
      </w:pPr>
      <w:r>
        <w:t xml:space="preserve">Koenker, Roger, and Gilbert Bassett. 1978.</w:t>
      </w:r>
      <w:r>
        <w:t xml:space="preserve"> </w:t>
      </w:r>
      <w:r>
        <w:t xml:space="preserve">“Regression Quantiles.”</w:t>
      </w:r>
      <w:r>
        <w:t xml:space="preserve"> </w:t>
      </w:r>
      <w:r>
        <w:rPr>
          <w:iCs/>
          <w:i/>
        </w:rPr>
        <w:t xml:space="preserve">Econometrica</w:t>
      </w:r>
      <w:r>
        <w:t xml:space="preserve"> </w:t>
      </w:r>
      <w:r>
        <w:t xml:space="preserve">46 (1): 33–50.</w:t>
      </w:r>
      <w:r>
        <w:t xml:space="preserve"> </w:t>
      </w:r>
      <w:hyperlink r:id="rId177">
        <w:r>
          <w:rPr>
            <w:rStyle w:val="Hyperlink"/>
          </w:rPr>
          <w:t xml:space="preserve">https://doi.org/10.2307/1913643</w:t>
        </w:r>
      </w:hyperlink>
      <w:r>
        <w:t xml:space="preserve">.</w:t>
      </w:r>
    </w:p>
    <w:bookmarkEnd w:id="178"/>
    <w:bookmarkStart w:id="180" w:name="ref-kulik2016"/>
    <w:p>
      <w:pPr>
        <w:pStyle w:val="Bibliography"/>
      </w:pPr>
      <w:r>
        <w:t xml:space="preserve">Kulik, James A., and J. D. Fletcher. 2016.</w:t>
      </w:r>
      <w:r>
        <w:t xml:space="preserve"> </w:t>
      </w:r>
      <w:r>
        <w:t xml:space="preserve">“Effectiveness of Intelligent Tutoring Systems: A Meta-Analytic Review.”</w:t>
      </w:r>
      <w:r>
        <w:t xml:space="preserve"> </w:t>
      </w:r>
      <w:r>
        <w:rPr>
          <w:iCs/>
          <w:i/>
        </w:rPr>
        <w:t xml:space="preserve">Review of Educational Research</w:t>
      </w:r>
      <w:r>
        <w:t xml:space="preserve"> </w:t>
      </w:r>
      <w:r>
        <w:t xml:space="preserve">86 (1): 42–78.</w:t>
      </w:r>
      <w:r>
        <w:t xml:space="preserve"> </w:t>
      </w:r>
      <w:hyperlink r:id="rId179">
        <w:r>
          <w:rPr>
            <w:rStyle w:val="Hyperlink"/>
          </w:rPr>
          <w:t xml:space="preserve">https://doi.org/10.3102/0034654315581420</w:t>
        </w:r>
      </w:hyperlink>
      <w:r>
        <w:t xml:space="preserve">.</w:t>
      </w:r>
    </w:p>
    <w:bookmarkEnd w:id="180"/>
    <w:bookmarkStart w:id="182" w:name="ref-lakens2017"/>
    <w:p>
      <w:pPr>
        <w:pStyle w:val="Bibliography"/>
      </w:pPr>
      <w:r>
        <w:t xml:space="preserve">Lakens, Daniël. 2017.</w:t>
      </w:r>
      <w:r>
        <w:t xml:space="preserve"> </w:t>
      </w:r>
      <w:r>
        <w:t xml:space="preserve">“Equivalence Tests: A Practical Primer for t Tests, Correlations, and Meta-Analyses.”</w:t>
      </w:r>
      <w:r>
        <w:t xml:space="preserve"> </w:t>
      </w:r>
      <w:r>
        <w:rPr>
          <w:iCs/>
          <w:i/>
        </w:rPr>
        <w:t xml:space="preserve">Social Psychological and Personality Science</w:t>
      </w:r>
      <w:r>
        <w:t xml:space="preserve"> </w:t>
      </w:r>
      <w:r>
        <w:t xml:space="preserve">8 (4): 355–62.</w:t>
      </w:r>
      <w:r>
        <w:t xml:space="preserve"> </w:t>
      </w:r>
      <w:hyperlink r:id="rId181">
        <w:r>
          <w:rPr>
            <w:rStyle w:val="Hyperlink"/>
          </w:rPr>
          <w:t xml:space="preserve">https://doi.org/10.1177/1948550617697177</w:t>
        </w:r>
      </w:hyperlink>
      <w:r>
        <w:t xml:space="preserve">.</w:t>
      </w:r>
    </w:p>
    <w:bookmarkEnd w:id="182"/>
    <w:bookmarkStart w:id="184" w:name="ref-lipovetsky2001"/>
    <w:p>
      <w:pPr>
        <w:pStyle w:val="Bibliography"/>
      </w:pPr>
      <w:r>
        <w:t xml:space="preserve">Lipovetsky, Stan, and Michael Conklin. 2001.</w:t>
      </w:r>
      <w:r>
        <w:t xml:space="preserve"> </w:t>
      </w:r>
      <w:r>
        <w:t xml:space="preserve">“Analysis of Regression in Game Theory Approach.”</w:t>
      </w:r>
      <w:r>
        <w:t xml:space="preserve"> </w:t>
      </w:r>
      <w:r>
        <w:rPr>
          <w:iCs/>
          <w:i/>
        </w:rPr>
        <w:t xml:space="preserve">Applied Stochastic Models in Business and Industry</w:t>
      </w:r>
      <w:r>
        <w:t xml:space="preserve"> </w:t>
      </w:r>
      <w:r>
        <w:t xml:space="preserve">17 (4): 319–30.</w:t>
      </w:r>
      <w:r>
        <w:t xml:space="preserve"> </w:t>
      </w:r>
      <w:hyperlink r:id="rId183">
        <w:r>
          <w:rPr>
            <w:rStyle w:val="Hyperlink"/>
          </w:rPr>
          <w:t xml:space="preserve">https://doi.org/10.1002/asmb.446</w:t>
        </w:r>
      </w:hyperlink>
      <w:r>
        <w:t xml:space="preserve">.</w:t>
      </w:r>
    </w:p>
    <w:bookmarkEnd w:id="184"/>
    <w:bookmarkStart w:id="186" w:name="ref-lloyd1982"/>
    <w:p>
      <w:pPr>
        <w:pStyle w:val="Bibliography"/>
      </w:pPr>
      <w:r>
        <w:t xml:space="preserve">Lloyd, Stuart P. 1982.</w:t>
      </w:r>
      <w:r>
        <w:t xml:space="preserve"> </w:t>
      </w:r>
      <w:r>
        <w:t xml:space="preserve">“Least Squares Quantization in</w:t>
      </w:r>
      <w:r>
        <w:t xml:space="preserve"> </w:t>
      </w:r>
      <w:r>
        <w:t xml:space="preserve">PCM</w:t>
      </w:r>
      <w:r>
        <w:t xml:space="preserve">.”</w:t>
      </w:r>
      <w:r>
        <w:t xml:space="preserve"> </w:t>
      </w:r>
      <w:r>
        <w:rPr>
          <w:iCs/>
          <w:i/>
        </w:rPr>
        <w:t xml:space="preserve">IEEE Transactions on Information Theory</w:t>
      </w:r>
      <w:r>
        <w:t xml:space="preserve"> </w:t>
      </w:r>
      <w:r>
        <w:t xml:space="preserve">28 (2): 129–37.</w:t>
      </w:r>
      <w:r>
        <w:t xml:space="preserve"> </w:t>
      </w:r>
      <w:hyperlink r:id="rId185">
        <w:r>
          <w:rPr>
            <w:rStyle w:val="Hyperlink"/>
          </w:rPr>
          <w:t xml:space="preserve">https://doi.org/10.1109/TIT.1982.1056489</w:t>
        </w:r>
      </w:hyperlink>
      <w:r>
        <w:t xml:space="preserve">.</w:t>
      </w:r>
    </w:p>
    <w:bookmarkEnd w:id="186"/>
    <w:bookmarkStart w:id="188" w:name="ref-lorenzo2006"/>
    <w:p>
      <w:pPr>
        <w:pStyle w:val="Bibliography"/>
      </w:pPr>
      <w:r>
        <w:t xml:space="preserve">Lorenzo-Seva, Urbano, and Jos M. F. ten Berge. 2006.</w:t>
      </w:r>
      <w:r>
        <w:t xml:space="preserve"> </w:t>
      </w:r>
      <w:r>
        <w:t xml:space="preserve">“Tucker’s Congruence Coefficient as a Meaningful Index of Factor Similarity.”</w:t>
      </w:r>
      <w:r>
        <w:t xml:space="preserve"> </w:t>
      </w:r>
      <w:r>
        <w:rPr>
          <w:iCs/>
          <w:i/>
        </w:rPr>
        <w:t xml:space="preserve">Methodology</w:t>
      </w:r>
      <w:r>
        <w:t xml:space="preserve"> </w:t>
      </w:r>
      <w:r>
        <w:t xml:space="preserve">2 (2): 57–64.</w:t>
      </w:r>
      <w:r>
        <w:t xml:space="preserve"> </w:t>
      </w:r>
      <w:hyperlink r:id="rId187">
        <w:r>
          <w:rPr>
            <w:rStyle w:val="Hyperlink"/>
          </w:rPr>
          <w:t xml:space="preserve">https://doi.org/10.1027/1614-2241.2.2.57</w:t>
        </w:r>
      </w:hyperlink>
      <w:r>
        <w:t xml:space="preserve">.</w:t>
      </w:r>
    </w:p>
    <w:bookmarkEnd w:id="188"/>
    <w:bookmarkStart w:id="189" w:name="ref-luckin2016"/>
    <w:p>
      <w:pPr>
        <w:pStyle w:val="Bibliography"/>
      </w:pPr>
      <w:r>
        <w:t xml:space="preserve">Luckin, Rose, Wayne Holmes, Mark Griffiths, and Laurie B. Forcier. 2016.</w:t>
      </w:r>
      <w:r>
        <w:t xml:space="preserve"> </w:t>
      </w:r>
      <w:r>
        <w:rPr>
          <w:iCs/>
          <w:i/>
        </w:rPr>
        <w:t xml:space="preserve">Intelligence Unleashed: An Argument for</w:t>
      </w:r>
      <w:r>
        <w:rPr>
          <w:iCs/>
          <w:i/>
        </w:rPr>
        <w:t xml:space="preserve"> </w:t>
      </w:r>
      <w:r>
        <w:rPr>
          <w:iCs/>
          <w:i/>
        </w:rPr>
        <w:t xml:space="preserve">AI</w:t>
      </w:r>
      <w:r>
        <w:rPr>
          <w:iCs/>
          <w:i/>
        </w:rPr>
        <w:t xml:space="preserve"> </w:t>
      </w:r>
      <w:r>
        <w:rPr>
          <w:iCs/>
          <w:i/>
        </w:rPr>
        <w:t xml:space="preserve">in Education</w:t>
      </w:r>
      <w:r>
        <w:t xml:space="preserve">. London: Pearson.</w:t>
      </w:r>
    </w:p>
    <w:bookmarkEnd w:id="189"/>
    <w:bookmarkStart w:id="191" w:name="ref-machado2005"/>
    <w:p>
      <w:pPr>
        <w:pStyle w:val="Bibliography"/>
      </w:pPr>
      <w:r>
        <w:t xml:space="preserve">Machado, José A. F., and J. M. C. Santos Silva. 2005.</w:t>
      </w:r>
      <w:r>
        <w:t xml:space="preserve"> </w:t>
      </w:r>
      <w:r>
        <w:t xml:space="preserve">“Quantiles for Counts.”</w:t>
      </w:r>
      <w:r>
        <w:t xml:space="preserve"> </w:t>
      </w:r>
      <w:r>
        <w:rPr>
          <w:iCs/>
          <w:i/>
        </w:rPr>
        <w:t xml:space="preserve">Journal of the American Statistical Association</w:t>
      </w:r>
      <w:r>
        <w:t xml:space="preserve"> </w:t>
      </w:r>
      <w:r>
        <w:t xml:space="preserve">100 (472): 1226–37.</w:t>
      </w:r>
      <w:r>
        <w:t xml:space="preserve"> </w:t>
      </w:r>
      <w:hyperlink r:id="rId190">
        <w:r>
          <w:rPr>
            <w:rStyle w:val="Hyperlink"/>
          </w:rPr>
          <w:t xml:space="preserve">https://doi.org/10.1198/016214505000000330</w:t>
        </w:r>
      </w:hyperlink>
      <w:r>
        <w:t xml:space="preserve">.</w:t>
      </w:r>
    </w:p>
    <w:bookmarkEnd w:id="191"/>
    <w:bookmarkStart w:id="193" w:name="ref-mamdani1975"/>
    <w:p>
      <w:pPr>
        <w:pStyle w:val="Bibliography"/>
      </w:pPr>
      <w:r>
        <w:t xml:space="preserve">Mamdani, Ebrahim H., and Sedrak Assilian. 1975.</w:t>
      </w:r>
      <w:r>
        <w:t xml:space="preserve"> </w:t>
      </w:r>
      <w:r>
        <w:t xml:space="preserve">“An Experiment in Linguistic Synthesis with a Fuzzy Logic Controller.”</w:t>
      </w:r>
      <w:r>
        <w:t xml:space="preserve"> </w:t>
      </w:r>
      <w:r>
        <w:rPr>
          <w:iCs/>
          <w:i/>
        </w:rPr>
        <w:t xml:space="preserve">International Journal of Man-Machine Studies</w:t>
      </w:r>
      <w:r>
        <w:t xml:space="preserve"> </w:t>
      </w:r>
      <w:r>
        <w:t xml:space="preserve">7 (1): 1–13.</w:t>
      </w:r>
      <w:r>
        <w:t xml:space="preserve"> </w:t>
      </w:r>
      <w:hyperlink r:id="rId192">
        <w:r>
          <w:rPr>
            <w:rStyle w:val="Hyperlink"/>
          </w:rPr>
          <w:t xml:space="preserve">https://doi.org/10.1016/S0020-7373(75)80002-2</w:t>
        </w:r>
      </w:hyperlink>
      <w:r>
        <w:t xml:space="preserve">.</w:t>
      </w:r>
    </w:p>
    <w:bookmarkEnd w:id="193"/>
    <w:bookmarkStart w:id="194" w:name="ref-unesco2023"/>
    <w:p>
      <w:pPr>
        <w:pStyle w:val="Bibliography"/>
      </w:pPr>
      <w:r>
        <w:t xml:space="preserve">Miao, Fengchun, and Wayne Holmes. 2023.</w:t>
      </w:r>
      <w:r>
        <w:t xml:space="preserve"> </w:t>
      </w:r>
      <w:r>
        <w:rPr>
          <w:iCs/>
          <w:i/>
        </w:rPr>
        <w:t xml:space="preserve">Guidance for Generative</w:t>
      </w:r>
      <w:r>
        <w:rPr>
          <w:iCs/>
          <w:i/>
        </w:rPr>
        <w:t xml:space="preserve"> </w:t>
      </w:r>
      <w:r>
        <w:rPr>
          <w:iCs/>
          <w:i/>
        </w:rPr>
        <w:t xml:space="preserve">AI</w:t>
      </w:r>
      <w:r>
        <w:rPr>
          <w:iCs/>
          <w:i/>
        </w:rPr>
        <w:t xml:space="preserve"> </w:t>
      </w:r>
      <w:r>
        <w:rPr>
          <w:iCs/>
          <w:i/>
        </w:rPr>
        <w:t xml:space="preserve">in Education and Research</w:t>
      </w:r>
      <w:r>
        <w:t xml:space="preserve">. Paris: UNESCO.</w:t>
      </w:r>
    </w:p>
    <w:bookmarkEnd w:id="194"/>
    <w:bookmarkStart w:id="196" w:name="ref-nadeau2003"/>
    <w:p>
      <w:pPr>
        <w:pStyle w:val="Bibliography"/>
      </w:pPr>
      <w:r>
        <w:t xml:space="preserve">Nadeau, Claude, and Yoshua Bengio. 2003.</w:t>
      </w:r>
      <w:r>
        <w:t xml:space="preserve"> </w:t>
      </w:r>
      <w:r>
        <w:t xml:space="preserve">“Inference for the Generalization Error.”</w:t>
      </w:r>
      <w:r>
        <w:t xml:space="preserve"> </w:t>
      </w:r>
      <w:r>
        <w:rPr>
          <w:iCs/>
          <w:i/>
        </w:rPr>
        <w:t xml:space="preserve">Machine Learning</w:t>
      </w:r>
      <w:r>
        <w:t xml:space="preserve"> </w:t>
      </w:r>
      <w:r>
        <w:t xml:space="preserve">52 (3): 239–81.</w:t>
      </w:r>
      <w:r>
        <w:t xml:space="preserve"> </w:t>
      </w:r>
      <w:hyperlink r:id="rId195">
        <w:r>
          <w:rPr>
            <w:rStyle w:val="Hyperlink"/>
          </w:rPr>
          <w:t xml:space="preserve">https://doi.org/10.1023/A:1024068626366</w:t>
        </w:r>
      </w:hyperlink>
      <w:r>
        <w:t xml:space="preserve">.</w:t>
      </w:r>
    </w:p>
    <w:bookmarkEnd w:id="196"/>
    <w:bookmarkStart w:id="198" w:name="ref-nakagawa2013"/>
    <w:p>
      <w:pPr>
        <w:pStyle w:val="Bibliography"/>
      </w:pPr>
      <w:r>
        <w:t xml:space="preserve">Nakagawa, Shinichi, and Holger Schielzeth. 2013.</w:t>
      </w:r>
      <w:r>
        <w:t xml:space="preserve"> </w:t>
      </w:r>
      <w:r>
        <w:t xml:space="preserve">“A General and Simple Method for Obtaining</w:t>
      </w:r>
      <w:r>
        <w:t xml:space="preserve"> </w:t>
      </w:r>
      <m:oMath>
        <m:sSup>
          <m:e>
            <m:r>
              <m:t>R</m:t>
            </m:r>
          </m:e>
          <m:sup>
            <m:r>
              <m:t>2</m:t>
            </m:r>
          </m:sup>
        </m:sSup>
      </m:oMath>
      <w:r>
        <w:t xml:space="preserve"> </w:t>
      </w:r>
      <w:r>
        <w:t xml:space="preserve">from Generalized Linear Mixed-Effects Models.”</w:t>
      </w:r>
      <w:r>
        <w:t xml:space="preserve"> </w:t>
      </w:r>
      <w:r>
        <w:rPr>
          <w:iCs/>
          <w:i/>
        </w:rPr>
        <w:t xml:space="preserve">Methods in Ecology and Evolution</w:t>
      </w:r>
      <w:r>
        <w:t xml:space="preserve"> </w:t>
      </w:r>
      <w:r>
        <w:t xml:space="preserve">4 (2): 133–42.</w:t>
      </w:r>
      <w:r>
        <w:t xml:space="preserve"> </w:t>
      </w:r>
      <w:hyperlink r:id="rId197">
        <w:r>
          <w:rPr>
            <w:rStyle w:val="Hyperlink"/>
          </w:rPr>
          <w:t xml:space="preserve">https://doi.org/10.1111/j.2041-210x.2012.00261.x</w:t>
        </w:r>
      </w:hyperlink>
      <w:r>
        <w:t xml:space="preserve">.</w:t>
      </w:r>
    </w:p>
    <w:bookmarkEnd w:id="198"/>
    <w:bookmarkStart w:id="199" w:name="ref-pedregosa2011"/>
    <w:p>
      <w:pPr>
        <w:pStyle w:val="Bibliography"/>
      </w:pPr>
      <w:r>
        <w:t xml:space="preserve">Pedregosa, Fabian et al. 2011.</w:t>
      </w:r>
      <w:r>
        <w:t xml:space="preserve"> </w:t>
      </w:r>
      <w:r>
        <w:t xml:space="preserve">“Scikit-Learn: Machine Learning in</w:t>
      </w:r>
      <w:r>
        <w:t xml:space="preserve"> </w:t>
      </w:r>
      <w:r>
        <w:t xml:space="preserve">Python</w:t>
      </w:r>
      <w:r>
        <w:t xml:space="preserve">.”</w:t>
      </w:r>
      <w:r>
        <w:t xml:space="preserve"> </w:t>
      </w:r>
      <w:r>
        <w:rPr>
          <w:iCs/>
          <w:i/>
        </w:rPr>
        <w:t xml:space="preserve">Journal of Machine Learning Research</w:t>
      </w:r>
      <w:r>
        <w:t xml:space="preserve"> </w:t>
      </w:r>
      <w:r>
        <w:t xml:space="preserve">12: 2825–30.</w:t>
      </w:r>
    </w:p>
    <w:bookmarkEnd w:id="199"/>
    <w:bookmarkStart w:id="201" w:name="ref-podsakoff2003"/>
    <w:p>
      <w:pPr>
        <w:pStyle w:val="Bibliography"/>
      </w:pPr>
      <w:r>
        <w:t xml:space="preserve">Podsakoff, Philip M., Scott B. MacKenzie, Jeong-Yeon Lee, and Nathan P. Podsakoff. 2003.</w:t>
      </w:r>
      <w:r>
        <w:t xml:space="preserve"> </w:t>
      </w:r>
      <w:r>
        <w:t xml:space="preserve">“Common Method Biases in Behavioral Research: A Critical Review of the Literature and Recommended Remedies.”</w:t>
      </w:r>
      <w:r>
        <w:t xml:space="preserve"> </w:t>
      </w:r>
      <w:r>
        <w:rPr>
          <w:iCs/>
          <w:i/>
        </w:rPr>
        <w:t xml:space="preserve">Journal of Applied Psychology</w:t>
      </w:r>
      <w:r>
        <w:t xml:space="preserve"> </w:t>
      </w:r>
      <w:r>
        <w:t xml:space="preserve">88 (5): 879–903.</w:t>
      </w:r>
      <w:r>
        <w:t xml:space="preserve"> </w:t>
      </w:r>
      <w:hyperlink r:id="rId200">
        <w:r>
          <w:rPr>
            <w:rStyle w:val="Hyperlink"/>
          </w:rPr>
          <w:t xml:space="preserve">https://doi.org/10.1037/0021-9010.88.5.879</w:t>
        </w:r>
      </w:hyperlink>
      <w:r>
        <w:t xml:space="preserve">.</w:t>
      </w:r>
    </w:p>
    <w:bookmarkEnd w:id="201"/>
    <w:bookmarkStart w:id="203" w:name="ref-popenici2017"/>
    <w:p>
      <w:pPr>
        <w:pStyle w:val="Bibliography"/>
      </w:pPr>
      <w:r>
        <w:t xml:space="preserve">Popenici, Stefan A. D., and Sharon Kerr. 2017.</w:t>
      </w:r>
      <w:r>
        <w:t xml:space="preserve"> </w:t>
      </w:r>
      <w:r>
        <w:t xml:space="preserve">“Exploring the Impact of Artificial Intelligence on Teaching and Learning in Higher Education.”</w:t>
      </w:r>
      <w:r>
        <w:t xml:space="preserve"> </w:t>
      </w:r>
      <w:r>
        <w:rPr>
          <w:iCs/>
          <w:i/>
        </w:rPr>
        <w:t xml:space="preserve">Research and Practice in Technology Enhanced Learning</w:t>
      </w:r>
      <w:r>
        <w:t xml:space="preserve"> </w:t>
      </w:r>
      <w:r>
        <w:t xml:space="preserve">12: 22.</w:t>
      </w:r>
      <w:r>
        <w:t xml:space="preserve"> </w:t>
      </w:r>
      <w:hyperlink r:id="rId202">
        <w:r>
          <w:rPr>
            <w:rStyle w:val="Hyperlink"/>
          </w:rPr>
          <w:t xml:space="preserve">https://doi.org/10.1186/s41039-017-0062-8</w:t>
        </w:r>
      </w:hyperlink>
      <w:r>
        <w:t xml:space="preserve">.</w:t>
      </w:r>
    </w:p>
    <w:bookmarkEnd w:id="203"/>
    <w:bookmarkStart w:id="204" w:name="ref-raudenbush2002"/>
    <w:p>
      <w:pPr>
        <w:pStyle w:val="Bibliography"/>
      </w:pPr>
      <w:r>
        <w:t xml:space="preserve">Raudenbush, Stephen W., and Anthony S. Bryk. 2002.</w:t>
      </w:r>
      <w:r>
        <w:t xml:space="preserve"> </w:t>
      </w:r>
      <w:r>
        <w:rPr>
          <w:iCs/>
          <w:i/>
        </w:rPr>
        <w:t xml:space="preserve">Hierarchical Linear Models: Applications and Data Analysis Methods</w:t>
      </w:r>
      <w:r>
        <w:t xml:space="preserve">. 2nd ed. Thousand Oaks, CA: Sage.</w:t>
      </w:r>
    </w:p>
    <w:bookmarkEnd w:id="204"/>
    <w:bookmarkStart w:id="206" w:name="ref-ravselj2024data"/>
    <w:p>
      <w:pPr>
        <w:pStyle w:val="Bibliography"/>
      </w:pPr>
      <w:r>
        <w:t xml:space="preserve">Ravšelj, Dejan et al. 2025a.</w:t>
      </w:r>
      <w:r>
        <w:t xml:space="preserve"> </w:t>
      </w:r>
      <w:r>
        <w:t xml:space="preserve">“Higher Education Students’ Early Perceptions of</w:t>
      </w:r>
      <w:r>
        <w:t xml:space="preserve"> </w:t>
      </w:r>
      <w:r>
        <w:t xml:space="preserve">ChatGPT</w:t>
      </w:r>
      <w:r>
        <w:t xml:space="preserve">: Global Survey Data.”</w:t>
      </w:r>
      <w:r>
        <w:t xml:space="preserve"> </w:t>
      </w:r>
      <w:r>
        <w:t xml:space="preserve">Mendeley Data, Version 2. Licence CC BY 4.0.</w:t>
      </w:r>
      <w:r>
        <w:t xml:space="preserve"> </w:t>
      </w:r>
      <w:hyperlink r:id="rId205">
        <w:r>
          <w:rPr>
            <w:rStyle w:val="Hyperlink"/>
          </w:rPr>
          <w:t xml:space="preserve">https://doi.org/10.17632/ymg9nsn6kn.2</w:t>
        </w:r>
      </w:hyperlink>
      <w:r>
        <w:t xml:space="preserve">.</w:t>
      </w:r>
    </w:p>
    <w:bookmarkEnd w:id="206"/>
    <w:bookmarkStart w:id="208" w:name="ref-ravselj2025"/>
    <w:p>
      <w:pPr>
        <w:pStyle w:val="Bibliography"/>
      </w:pPr>
      <w:r>
        <w:t xml:space="preserve">——— et al. 2025b.</w:t>
      </w:r>
      <w:r>
        <w:t xml:space="preserve"> </w:t>
      </w:r>
      <w:r>
        <w:t xml:space="preserve">“Higher Education Students’ Perceptions of</w:t>
      </w:r>
      <w:r>
        <w:t xml:space="preserve"> </w:t>
      </w:r>
      <w:r>
        <w:t xml:space="preserve">ChatGPT</w:t>
      </w:r>
      <w:r>
        <w:t xml:space="preserve">: A Global Study of Early Reactions.”</w:t>
      </w:r>
      <w:r>
        <w:t xml:space="preserve"> </w:t>
      </w:r>
      <w:r>
        <w:rPr>
          <w:iCs/>
          <w:i/>
        </w:rPr>
        <w:t xml:space="preserve">PLOS ONE</w:t>
      </w:r>
      <w:r>
        <w:t xml:space="preserve"> </w:t>
      </w:r>
      <w:r>
        <w:t xml:space="preserve">20 (2): e0315011.</w:t>
      </w:r>
      <w:r>
        <w:t xml:space="preserve"> </w:t>
      </w:r>
      <w:hyperlink r:id="rId207">
        <w:r>
          <w:rPr>
            <w:rStyle w:val="Hyperlink"/>
          </w:rPr>
          <w:t xml:space="preserve">https://doi.org/10.1371/journal.pone.0315011</w:t>
        </w:r>
      </w:hyperlink>
      <w:r>
        <w:t xml:space="preserve">.</w:t>
      </w:r>
    </w:p>
    <w:bookmarkEnd w:id="208"/>
    <w:bookmarkStart w:id="210" w:name="ref-ravselj2026corr"/>
    <w:p>
      <w:pPr>
        <w:pStyle w:val="Bibliography"/>
      </w:pPr>
      <w:r>
        <w:t xml:space="preserve">——— et al. 2026.</w:t>
      </w:r>
      <w:r>
        <w:t xml:space="preserve"> </w:t>
      </w:r>
      <w:r>
        <w:t xml:space="preserve">“Correction: Higher Education Students’ Perceptions of</w:t>
      </w:r>
      <w:r>
        <w:t xml:space="preserve"> </w:t>
      </w:r>
      <w:r>
        <w:t xml:space="preserve">ChatGPT</w:t>
      </w:r>
      <w:r>
        <w:t xml:space="preserve">: A Global Study of Early Reactions.”</w:t>
      </w:r>
      <w:r>
        <w:t xml:space="preserve"> </w:t>
      </w:r>
      <w:r>
        <w:rPr>
          <w:iCs/>
          <w:i/>
        </w:rPr>
        <w:t xml:space="preserve">PLOS ONE</w:t>
      </w:r>
      <w:r>
        <w:t xml:space="preserve"> </w:t>
      </w:r>
      <w:r>
        <w:t xml:space="preserve">21 (5): e0349691.</w:t>
      </w:r>
      <w:r>
        <w:t xml:space="preserve"> </w:t>
      </w:r>
      <w:hyperlink r:id="rId209">
        <w:r>
          <w:rPr>
            <w:rStyle w:val="Hyperlink"/>
          </w:rPr>
          <w:t xml:space="preserve">https://doi.org/10.1371/journal.pone.0349691</w:t>
        </w:r>
      </w:hyperlink>
      <w:r>
        <w:t xml:space="preserve">.</w:t>
      </w:r>
    </w:p>
    <w:bookmarkEnd w:id="210"/>
    <w:bookmarkStart w:id="212" w:name="ref-romero2020"/>
    <w:p>
      <w:pPr>
        <w:pStyle w:val="Bibliography"/>
      </w:pPr>
      <w:r>
        <w:t xml:space="preserve">Romero, Cristóbal, and Sebastián Ventura. 2020.</w:t>
      </w:r>
      <w:r>
        <w:t xml:space="preserve"> </w:t>
      </w:r>
      <w:r>
        <w:t xml:space="preserve">“Educational Data Mining and Learning Analytics: An Updated Survey.”</w:t>
      </w:r>
      <w:r>
        <w:t xml:space="preserve"> </w:t>
      </w:r>
      <w:r>
        <w:rPr>
          <w:iCs/>
          <w:i/>
        </w:rPr>
        <w:t xml:space="preserve">WIREs Data Mining and Knowledge Discovery</w:t>
      </w:r>
      <w:r>
        <w:t xml:space="preserve"> </w:t>
      </w:r>
      <w:r>
        <w:t xml:space="preserve">10 (3): e1355.</w:t>
      </w:r>
      <w:r>
        <w:t xml:space="preserve"> </w:t>
      </w:r>
      <w:hyperlink r:id="rId211">
        <w:r>
          <w:rPr>
            <w:rStyle w:val="Hyperlink"/>
          </w:rPr>
          <w:t xml:space="preserve">https://doi.org/10.1002/widm.1355</w:t>
        </w:r>
      </w:hyperlink>
      <w:r>
        <w:t xml:space="preserve">.</w:t>
      </w:r>
    </w:p>
    <w:bookmarkEnd w:id="212"/>
    <w:bookmarkStart w:id="213" w:name="ref-ross2010"/>
    <w:p>
      <w:pPr>
        <w:pStyle w:val="Bibliography"/>
      </w:pPr>
      <w:r>
        <w:t xml:space="preserve">Ross, Timothy J. 2010.</w:t>
      </w:r>
      <w:r>
        <w:t xml:space="preserve"> </w:t>
      </w:r>
      <w:r>
        <w:rPr>
          <w:iCs/>
          <w:i/>
        </w:rPr>
        <w:t xml:space="preserve">Fuzzy Logic with Engineering Applications</w:t>
      </w:r>
      <w:r>
        <w:t xml:space="preserve">. 3rd ed. Chichester: Wiley.</w:t>
      </w:r>
    </w:p>
    <w:bookmarkEnd w:id="213"/>
    <w:bookmarkStart w:id="215" w:name="ref-rousseeuw1987"/>
    <w:p>
      <w:pPr>
        <w:pStyle w:val="Bibliography"/>
      </w:pPr>
      <w:r>
        <w:t xml:space="preserve">Rousseeuw, Peter J. 1987.</w:t>
      </w:r>
      <w:r>
        <w:t xml:space="preserve"> </w:t>
      </w:r>
      <w:r>
        <w:t xml:space="preserve">“Silhouettes: A Graphical Aid to the Interpretation and Validation of Cluster Analysis.”</w:t>
      </w:r>
      <w:r>
        <w:t xml:space="preserve"> </w:t>
      </w:r>
      <w:r>
        <w:rPr>
          <w:iCs/>
          <w:i/>
        </w:rPr>
        <w:t xml:space="preserve">Journal of Computational and Applied Mathematics</w:t>
      </w:r>
      <w:r>
        <w:t xml:space="preserve"> </w:t>
      </w:r>
      <w:r>
        <w:t xml:space="preserve">20: 53–65.</w:t>
      </w:r>
      <w:r>
        <w:t xml:space="preserve"> </w:t>
      </w:r>
      <w:hyperlink r:id="rId214">
        <w:r>
          <w:rPr>
            <w:rStyle w:val="Hyperlink"/>
          </w:rPr>
          <w:t xml:space="preserve">https://doi.org/10.1016/0377-0427(87)90125-7</w:t>
        </w:r>
      </w:hyperlink>
      <w:r>
        <w:t xml:space="preserve">.</w:t>
      </w:r>
    </w:p>
    <w:bookmarkEnd w:id="215"/>
    <w:bookmarkStart w:id="217" w:name="ref-rudolph2023"/>
    <w:p>
      <w:pPr>
        <w:pStyle w:val="Bibliography"/>
      </w:pPr>
      <w:r>
        <w:t xml:space="preserve">Rudolph, Jürgen, Samson Tan, and Shannon Tan. 2023.</w:t>
      </w:r>
      <w:r>
        <w:t xml:space="preserve"> </w:t>
      </w:r>
      <w:r>
        <w:t xml:space="preserve">“</w:t>
      </w:r>
      <w:r>
        <w:t xml:space="preserve">ChatGPT</w:t>
      </w:r>
      <w:r>
        <w:t xml:space="preserve">: Bullshit Spewer or the End of Traditional Assessments in Higher Education?”</w:t>
      </w:r>
      <w:r>
        <w:t xml:space="preserve"> </w:t>
      </w:r>
      <w:r>
        <w:rPr>
          <w:iCs/>
          <w:i/>
        </w:rPr>
        <w:t xml:space="preserve">Journal of Applied Learning and Teaching</w:t>
      </w:r>
      <w:r>
        <w:t xml:space="preserve"> </w:t>
      </w:r>
      <w:r>
        <w:t xml:space="preserve">6 (1).</w:t>
      </w:r>
      <w:r>
        <w:t xml:space="preserve"> </w:t>
      </w:r>
      <w:hyperlink r:id="rId216">
        <w:r>
          <w:rPr>
            <w:rStyle w:val="Hyperlink"/>
          </w:rPr>
          <w:t xml:space="preserve">https://doi.org/10.37074/jalt.2023.6.1.9</w:t>
        </w:r>
      </w:hyperlink>
      <w:r>
        <w:t xml:space="preserve">.</w:t>
      </w:r>
    </w:p>
    <w:bookmarkEnd w:id="217"/>
    <w:bookmarkStart w:id="219" w:name="ref-rumelhart1986"/>
    <w:p>
      <w:pPr>
        <w:pStyle w:val="Bibliography"/>
      </w:pPr>
      <w:r>
        <w:t xml:space="preserve">Rumelhart, David E., Geoffrey E. Hinton, and Ronald J. Williams. 1986.</w:t>
      </w:r>
      <w:r>
        <w:t xml:space="preserve"> </w:t>
      </w:r>
      <w:r>
        <w:t xml:space="preserve">“Learning Representations by Back-Propagating Errors.”</w:t>
      </w:r>
      <w:r>
        <w:t xml:space="preserve"> </w:t>
      </w:r>
      <w:r>
        <w:rPr>
          <w:iCs/>
          <w:i/>
        </w:rPr>
        <w:t xml:space="preserve">Nature</w:t>
      </w:r>
      <w:r>
        <w:t xml:space="preserve"> </w:t>
      </w:r>
      <w:r>
        <w:t xml:space="preserve">323: 533–36.</w:t>
      </w:r>
      <w:r>
        <w:t xml:space="preserve"> </w:t>
      </w:r>
      <w:hyperlink r:id="rId218">
        <w:r>
          <w:rPr>
            <w:rStyle w:val="Hyperlink"/>
          </w:rPr>
          <w:t xml:space="preserve">https://doi.org/10.1038/323533a0</w:t>
        </w:r>
      </w:hyperlink>
      <w:r>
        <w:t xml:space="preserve">.</w:t>
      </w:r>
    </w:p>
    <w:bookmarkEnd w:id="219"/>
    <w:bookmarkStart w:id="221" w:name="ref-schuirmann1987"/>
    <w:p>
      <w:pPr>
        <w:pStyle w:val="Bibliography"/>
      </w:pPr>
      <w:r>
        <w:t xml:space="preserve">Schuirmann, Donald J. 1987.</w:t>
      </w:r>
      <w:r>
        <w:t xml:space="preserve"> </w:t>
      </w:r>
      <w:r>
        <w:t xml:space="preserve">“A Comparison of the Two One-Sided Tests Procedure and the Power Approach for Assessing the Equivalence of Average Bioavailability.”</w:t>
      </w:r>
      <w:r>
        <w:t xml:space="preserve"> </w:t>
      </w:r>
      <w:r>
        <w:rPr>
          <w:iCs/>
          <w:i/>
        </w:rPr>
        <w:t xml:space="preserve">Journal of Pharmacokinetics and Biopharmaceutics</w:t>
      </w:r>
      <w:r>
        <w:t xml:space="preserve"> </w:t>
      </w:r>
      <w:r>
        <w:t xml:space="preserve">15 (6): 657–80.</w:t>
      </w:r>
      <w:r>
        <w:t xml:space="preserve"> </w:t>
      </w:r>
      <w:hyperlink r:id="rId220">
        <w:r>
          <w:rPr>
            <w:rStyle w:val="Hyperlink"/>
          </w:rPr>
          <w:t xml:space="preserve">https://doi.org/10.1007/BF01068419</w:t>
        </w:r>
      </w:hyperlink>
      <w:r>
        <w:t xml:space="preserve">.</w:t>
      </w:r>
    </w:p>
    <w:bookmarkEnd w:id="221"/>
    <w:bookmarkStart w:id="223" w:name="ref-self1987"/>
    <w:p>
      <w:pPr>
        <w:pStyle w:val="Bibliography"/>
      </w:pPr>
      <w:r>
        <w:t xml:space="preserve">Self, Steven G., and Kung-Yee Liang. 1987.</w:t>
      </w:r>
      <w:r>
        <w:t xml:space="preserve"> </w:t>
      </w:r>
      <w:r>
        <w:t xml:space="preserve">“Asymptotic Properties of Maximum Likelihood Estimators and Likelihood Ratio Tests Under Nonstandard Conditions.”</w:t>
      </w:r>
      <w:r>
        <w:t xml:space="preserve"> </w:t>
      </w:r>
      <w:r>
        <w:rPr>
          <w:iCs/>
          <w:i/>
        </w:rPr>
        <w:t xml:space="preserve">Journal of the American Statistical Association</w:t>
      </w:r>
      <w:r>
        <w:t xml:space="preserve"> </w:t>
      </w:r>
      <w:r>
        <w:t xml:space="preserve">82 (398): 605–10.</w:t>
      </w:r>
      <w:r>
        <w:t xml:space="preserve"> </w:t>
      </w:r>
      <w:hyperlink r:id="rId222">
        <w:r>
          <w:rPr>
            <w:rStyle w:val="Hyperlink"/>
          </w:rPr>
          <w:t xml:space="preserve">https://doi.org/10.1080/01621459.1987.10478472</w:t>
        </w:r>
      </w:hyperlink>
      <w:r>
        <w:t xml:space="preserve">.</w:t>
      </w:r>
    </w:p>
    <w:bookmarkEnd w:id="223"/>
    <w:bookmarkStart w:id="224" w:name="ref-selwyn2019"/>
    <w:p>
      <w:pPr>
        <w:pStyle w:val="Bibliography"/>
      </w:pPr>
      <w:r>
        <w:t xml:space="preserve">Selwyn, Neil. 2019.</w:t>
      </w:r>
      <w:r>
        <w:t xml:space="preserve"> </w:t>
      </w:r>
      <w:r>
        <w:rPr>
          <w:iCs/>
          <w:i/>
        </w:rPr>
        <w:t xml:space="preserve">Should Robots Replace Teachers?</w:t>
      </w:r>
      <w:r>
        <w:rPr>
          <w:iCs/>
          <w:i/>
        </w:rPr>
        <w:t xml:space="preserve"> </w:t>
      </w:r>
      <w:r>
        <w:rPr>
          <w:iCs/>
          <w:i/>
        </w:rPr>
        <w:t xml:space="preserve">AI</w:t>
      </w:r>
      <w:r>
        <w:rPr>
          <w:iCs/>
          <w:i/>
        </w:rPr>
        <w:t xml:space="preserve"> </w:t>
      </w:r>
      <w:r>
        <w:rPr>
          <w:iCs/>
          <w:i/>
        </w:rPr>
        <w:t xml:space="preserve">and the Future of Education</w:t>
      </w:r>
      <w:r>
        <w:t xml:space="preserve">. Cambridge: Polity Press.</w:t>
      </w:r>
    </w:p>
    <w:bookmarkEnd w:id="224"/>
    <w:bookmarkStart w:id="226" w:name="ref-smola2004"/>
    <w:p>
      <w:pPr>
        <w:pStyle w:val="Bibliography"/>
      </w:pPr>
      <w:r>
        <w:t xml:space="preserve">Smola, Alex J., and Bernhard Schölkopf. 2004.</w:t>
      </w:r>
      <w:r>
        <w:t xml:space="preserve"> </w:t>
      </w:r>
      <w:r>
        <w:t xml:space="preserve">“A Tutorial on Support Vector Regression.”</w:t>
      </w:r>
      <w:r>
        <w:t xml:space="preserve"> </w:t>
      </w:r>
      <w:r>
        <w:rPr>
          <w:iCs/>
          <w:i/>
        </w:rPr>
        <w:t xml:space="preserve">Statistics and Computing</w:t>
      </w:r>
      <w:r>
        <w:t xml:space="preserve"> </w:t>
      </w:r>
      <w:r>
        <w:t xml:space="preserve">14 (3): 199–222.</w:t>
      </w:r>
      <w:r>
        <w:t xml:space="preserve"> </w:t>
      </w:r>
      <w:hyperlink r:id="rId225">
        <w:r>
          <w:rPr>
            <w:rStyle w:val="Hyperlink"/>
          </w:rPr>
          <w:t xml:space="preserve">https://doi.org/10.1023/B:STCO.0000035301.49549.88</w:t>
        </w:r>
      </w:hyperlink>
      <w:r>
        <w:t xml:space="preserve">.</w:t>
      </w:r>
    </w:p>
    <w:bookmarkEnd w:id="226"/>
    <w:bookmarkStart w:id="228" w:name="ref-vanlehn2011"/>
    <w:p>
      <w:pPr>
        <w:pStyle w:val="Bibliography"/>
      </w:pPr>
      <w:r>
        <w:t xml:space="preserve">VanLehn, Kurt. 2011.</w:t>
      </w:r>
      <w:r>
        <w:t xml:space="preserve"> </w:t>
      </w:r>
      <w:r>
        <w:t xml:space="preserve">“The Relative Effectiveness of Human Tutoring, Intelligent Tutoring Systems, and Other Tutoring Systems.”</w:t>
      </w:r>
      <w:r>
        <w:t xml:space="preserve"> </w:t>
      </w:r>
      <w:r>
        <w:rPr>
          <w:iCs/>
          <w:i/>
        </w:rPr>
        <w:t xml:space="preserve">Educational Psychologist</w:t>
      </w:r>
      <w:r>
        <w:t xml:space="preserve"> </w:t>
      </w:r>
      <w:r>
        <w:t xml:space="preserve">46 (4): 197–221.</w:t>
      </w:r>
      <w:r>
        <w:t xml:space="preserve"> </w:t>
      </w:r>
      <w:hyperlink r:id="rId227">
        <w:r>
          <w:rPr>
            <w:rStyle w:val="Hyperlink"/>
          </w:rPr>
          <w:t xml:space="preserve">https://doi.org/10.1080/00461520.2011.611369</w:t>
        </w:r>
      </w:hyperlink>
      <w:r>
        <w:t xml:space="preserve">.</w:t>
      </w:r>
    </w:p>
    <w:bookmarkEnd w:id="228"/>
    <w:bookmarkStart w:id="230" w:name="ref-venkatesh2003"/>
    <w:p>
      <w:pPr>
        <w:pStyle w:val="Bibliography"/>
      </w:pPr>
      <w:r>
        <w:t xml:space="preserve">Venkatesh, Viswanath, Michael G. Morris, Gordon B. Davis, and Fred D. Davis. 2003.</w:t>
      </w:r>
      <w:r>
        <w:t xml:space="preserve"> </w:t>
      </w:r>
      <w:r>
        <w:t xml:space="preserve">“User Acceptance of Information Technology: Toward a Unified View.”</w:t>
      </w:r>
      <w:r>
        <w:t xml:space="preserve"> </w:t>
      </w:r>
      <w:r>
        <w:rPr>
          <w:iCs/>
          <w:i/>
        </w:rPr>
        <w:t xml:space="preserve">MIS Quarterly</w:t>
      </w:r>
      <w:r>
        <w:t xml:space="preserve"> </w:t>
      </w:r>
      <w:r>
        <w:t xml:space="preserve">27 (3): 425–78.</w:t>
      </w:r>
      <w:r>
        <w:t xml:space="preserve"> </w:t>
      </w:r>
      <w:hyperlink r:id="rId229">
        <w:r>
          <w:rPr>
            <w:rStyle w:val="Hyperlink"/>
          </w:rPr>
          <w:t xml:space="preserve">https://doi.org/10.2307/30036540</w:t>
        </w:r>
      </w:hyperlink>
      <w:r>
        <w:t xml:space="preserve">.</w:t>
      </w:r>
    </w:p>
    <w:bookmarkEnd w:id="230"/>
    <w:bookmarkStart w:id="231" w:name="ref-wang1998"/>
    <w:p>
      <w:pPr>
        <w:pStyle w:val="Bibliography"/>
      </w:pPr>
      <w:r>
        <w:t xml:space="preserve">Wang, Li-Xin. 1998.</w:t>
      </w:r>
      <w:r>
        <w:t xml:space="preserve"> </w:t>
      </w:r>
      <w:r>
        <w:t xml:space="preserve">“Universal Approximation by Hierarchical Fuzzy Systems.”</w:t>
      </w:r>
      <w:r>
        <w:t xml:space="preserve"> </w:t>
      </w:r>
      <w:r>
        <w:rPr>
          <w:iCs/>
          <w:i/>
        </w:rPr>
        <w:t xml:space="preserve">Fuzzy Sets and Systems</w:t>
      </w:r>
      <w:r>
        <w:t xml:space="preserve"> </w:t>
      </w:r>
      <w:r>
        <w:t xml:space="preserve">93 (2): 223–30.</w:t>
      </w:r>
    </w:p>
    <w:bookmarkEnd w:id="231"/>
    <w:bookmarkStart w:id="233" w:name="ref-zadeh1965"/>
    <w:p>
      <w:pPr>
        <w:pStyle w:val="Bibliography"/>
      </w:pPr>
      <w:r>
        <w:t xml:space="preserve">Zadeh, Lotfi A. 1965.</w:t>
      </w:r>
      <w:r>
        <w:t xml:space="preserve"> </w:t>
      </w:r>
      <w:r>
        <w:t xml:space="preserve">“Fuzzy Sets.”</w:t>
      </w:r>
      <w:r>
        <w:t xml:space="preserve"> </w:t>
      </w:r>
      <w:r>
        <w:rPr>
          <w:iCs/>
          <w:i/>
        </w:rPr>
        <w:t xml:space="preserve">Information and Control</w:t>
      </w:r>
      <w:r>
        <w:t xml:space="preserve"> </w:t>
      </w:r>
      <w:r>
        <w:t xml:space="preserve">8 (3): 338–53.</w:t>
      </w:r>
      <w:r>
        <w:t xml:space="preserve"> </w:t>
      </w:r>
      <w:hyperlink r:id="rId232">
        <w:r>
          <w:rPr>
            <w:rStyle w:val="Hyperlink"/>
          </w:rPr>
          <w:t xml:space="preserve">https://doi.org/10.1016/S0019-9958(65)90241-X</w:t>
        </w:r>
      </w:hyperlink>
      <w:r>
        <w:t xml:space="preserve">.</w:t>
      </w:r>
    </w:p>
    <w:bookmarkEnd w:id="233"/>
    <w:bookmarkStart w:id="235" w:name="ref-zawacki2019"/>
    <w:p>
      <w:pPr>
        <w:pStyle w:val="Bibliography"/>
      </w:pPr>
      <w:r>
        <w:t xml:space="preserve">Zawacki-Richter, Olaf, Victoria I. Marín, Melissa Bond, and Franziska Gouverneur. 2019.</w:t>
      </w:r>
      <w:r>
        <w:t xml:space="preserve"> </w:t>
      </w:r>
      <w:r>
        <w:t xml:space="preserve">“Systematic Review of Research on Artificial Intelligence Applications in Higher Education – Where Are the Educators?”</w:t>
      </w:r>
      <w:r>
        <w:t xml:space="preserve"> </w:t>
      </w:r>
      <w:r>
        <w:rPr>
          <w:iCs/>
          <w:i/>
        </w:rPr>
        <w:t xml:space="preserve">International Journal of Educational Technology in Higher Education</w:t>
      </w:r>
      <w:r>
        <w:t xml:space="preserve"> </w:t>
      </w:r>
      <w:r>
        <w:t xml:space="preserve">16: 39.</w:t>
      </w:r>
      <w:r>
        <w:t xml:space="preserve"> </w:t>
      </w:r>
      <w:hyperlink r:id="rId234">
        <w:r>
          <w:rPr>
            <w:rStyle w:val="Hyperlink"/>
          </w:rPr>
          <w:t xml:space="preserve">https://doi.org/10.1186/s41239-019-0171-0</w:t>
        </w:r>
      </w:hyperlink>
      <w:r>
        <w:t xml:space="preserve">.</w:t>
      </w:r>
    </w:p>
    <w:bookmarkEnd w:id="235"/>
    <w:bookmarkEnd w:id="236"/>
    <w:bookmarkEnd w:id="237"/>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val="0"/>
      <w:sz w:val="20"/>
    </w:rPr>
  </w:style>
  <w:style w:customStyle="1" w:styleId="TableCaption" w:type="paragraph">
    <w:name w:val="Table Caption"/>
    <w:basedOn w:val="Caption"/>
    <w:pPr>
      <w:keepNext/>
    </w:pPr>
    <w:rPr>
      <w:rFonts w:ascii="Times New Roman" w:cs="Times New Roman" w:eastAsia="Times New Roman" w:hAnsi="Times New Roman"/>
      <w:i w:val="0"/>
      <w:sz w:val="20"/>
    </w:rPr>
  </w:style>
  <w:style w:customStyle="1" w:styleId="ImageCaption" w:type="paragraph">
    <w:name w:val="Image Caption"/>
    <w:basedOn w:val="Caption"/>
    <w:rPr>
      <w:rFonts w:ascii="Times New Roman" w:cs="Times New Roman" w:eastAsia="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9" Type="http://schemas.openxmlformats.org/officeDocument/2006/relationships/image" Target="media/rId89.png"/><Relationship Id="rId109" Type="http://schemas.openxmlformats.org/officeDocument/2006/relationships/image" Target="media/rId109.png"/><Relationship Id="rId94" Type="http://schemas.openxmlformats.org/officeDocument/2006/relationships/image" Target="media/rId94.png"/><Relationship Id="rId98" Type="http://schemas.openxmlformats.org/officeDocument/2006/relationships/image" Target="media/rId98.png"/><Relationship Id="rId102" Type="http://schemas.openxmlformats.org/officeDocument/2006/relationships/image" Target="media/rId102.png"/><Relationship Id="rId105" Type="http://schemas.openxmlformats.org/officeDocument/2006/relationships/image" Target="media/rId105.png"/><Relationship Id="rId31" Type="http://schemas.openxmlformats.org/officeDocument/2006/relationships/image" Target="media/rId31.png"/><Relationship Id="rId112" Type="http://schemas.openxmlformats.org/officeDocument/2006/relationships/image" Target="media/rId112.png"/><Relationship Id="rId44" Type="http://schemas.openxmlformats.org/officeDocument/2006/relationships/image" Target="media/rId44.png"/><Relationship Id="rId66" Type="http://schemas.openxmlformats.org/officeDocument/2006/relationships/image" Target="media/rId66.png"/><Relationship Id="rId70" Type="http://schemas.openxmlformats.org/officeDocument/2006/relationships/image" Target="media/rId70.png"/><Relationship Id="rId78" Type="http://schemas.openxmlformats.org/officeDocument/2006/relationships/image" Target="media/rId78.png"/><Relationship Id="rId82" Type="http://schemas.openxmlformats.org/officeDocument/2006/relationships/image" Target="media/rId82.png"/><Relationship Id="rId74" Type="http://schemas.openxmlformats.org/officeDocument/2006/relationships/image" Target="media/rId74.png"/><Relationship Id="rId86" Type="http://schemas.openxmlformats.org/officeDocument/2006/relationships/image" Target="media/rId86.png"/><Relationship Id="rId27" Type="http://schemas.openxmlformats.org/officeDocument/2006/relationships/image" Target="media/rId27.png"/><Relationship Id="rId183" Type="http://schemas.openxmlformats.org/officeDocument/2006/relationships/hyperlink" Target="https://doi.org/10.1002/asmb.446" TargetMode="External"/><Relationship Id="rId211" Type="http://schemas.openxmlformats.org/officeDocument/2006/relationships/hyperlink" Target="https://doi.org/10.1002/widm.1355" TargetMode="External"/><Relationship Id="rId220" Type="http://schemas.openxmlformats.org/officeDocument/2006/relationships/hyperlink" Target="https://doi.org/10.1007/BF01068419" TargetMode="External"/><Relationship Id="rId169" Type="http://schemas.openxmlformats.org/officeDocument/2006/relationships/hyperlink" Target="https://doi.org/10.1007/BF01908075" TargetMode="External"/><Relationship Id="rId146" Type="http://schemas.openxmlformats.org/officeDocument/2006/relationships/hyperlink" Target="https://doi.org/10.1007/BF02310555" TargetMode="External"/><Relationship Id="rId161" Type="http://schemas.openxmlformats.org/officeDocument/2006/relationships/hyperlink" Target="https://doi.org/10.1007/s11747-014-0403-8" TargetMode="External"/><Relationship Id="rId214" Type="http://schemas.openxmlformats.org/officeDocument/2006/relationships/hyperlink" Target="https://doi.org/10.1016/0377-0427(87)90125-7" TargetMode="External"/><Relationship Id="rId165" Type="http://schemas.openxmlformats.org/officeDocument/2006/relationships/hyperlink" Target="https://doi.org/10.1016/0893-6080(89)90020-8" TargetMode="External"/><Relationship Id="rId232" Type="http://schemas.openxmlformats.org/officeDocument/2006/relationships/hyperlink" Target="https://doi.org/10.1016/S0019-9958(65)90241-X" TargetMode="External"/><Relationship Id="rId192" Type="http://schemas.openxmlformats.org/officeDocument/2006/relationships/hyperlink" Target="https://doi.org/10.1016/S0020-7373(75)80002-2" TargetMode="External"/><Relationship Id="rId148" Type="http://schemas.openxmlformats.org/officeDocument/2006/relationships/hyperlink" Target="https://doi.org/10.1016/j.ijinfomgt.2023.102642" TargetMode="External"/><Relationship Id="rId173" Type="http://schemas.openxmlformats.org/officeDocument/2006/relationships/hyperlink" Target="https://doi.org/10.1016/j.lindif.2023.102274" TargetMode="External"/><Relationship Id="rId139" Type="http://schemas.openxmlformats.org/officeDocument/2006/relationships/hyperlink" Target="https://doi.org/10.1016/j.stueduc.2024.101395" TargetMode="External"/><Relationship Id="rId155" Type="http://schemas.openxmlformats.org/officeDocument/2006/relationships/hyperlink" Target="https://doi.org/10.1016/j.techfore.2016.08.019" TargetMode="External"/><Relationship Id="rId133" Type="http://schemas.openxmlformats.org/officeDocument/2006/relationships/hyperlink" Target="https://doi.org/10.1023/A:1010933404324" TargetMode="External"/><Relationship Id="rId195" Type="http://schemas.openxmlformats.org/officeDocument/2006/relationships/hyperlink" Target="https://doi.org/10.1023/A:1024068626366" TargetMode="External"/><Relationship Id="rId225" Type="http://schemas.openxmlformats.org/officeDocument/2006/relationships/hyperlink" Target="https://doi.org/10.1023/B:STCO.0000035301.49549.88" TargetMode="External"/><Relationship Id="rId187" Type="http://schemas.openxmlformats.org/officeDocument/2006/relationships/hyperlink" Target="https://doi.org/10.1027/1614-2241.2.2.57" TargetMode="External"/><Relationship Id="rId200" Type="http://schemas.openxmlformats.org/officeDocument/2006/relationships/hyperlink" Target="https://doi.org/10.1037/0021-9010.88.5.879" TargetMode="External"/><Relationship Id="rId135" Type="http://schemas.openxmlformats.org/officeDocument/2006/relationships/hyperlink" Target="https://doi.org/10.1037/0033-2909.114.3.542" TargetMode="External"/><Relationship Id="rId218" Type="http://schemas.openxmlformats.org/officeDocument/2006/relationships/hyperlink" Target="https://doi.org/10.1038/323533a0" TargetMode="External"/><Relationship Id="rId227" Type="http://schemas.openxmlformats.org/officeDocument/2006/relationships/hyperlink" Target="https://doi.org/10.1080/00461520.2011.611369" TargetMode="External"/><Relationship Id="rId159" Type="http://schemas.openxmlformats.org/officeDocument/2006/relationships/hyperlink" Target="https://doi.org/10.1080/01621459.1937.10503522" TargetMode="External"/><Relationship Id="rId222" Type="http://schemas.openxmlformats.org/officeDocument/2006/relationships/hyperlink" Target="https://doi.org/10.1080/01621459.1987.10478472" TargetMode="External"/><Relationship Id="rId167" Type="http://schemas.openxmlformats.org/officeDocument/2006/relationships/hyperlink" Target="https://doi.org/10.1080/10705519909540118" TargetMode="External"/><Relationship Id="rId142" Type="http://schemas.openxmlformats.org/officeDocument/2006/relationships/hyperlink" Target="https://doi.org/10.1080/14703297.2023.2190148" TargetMode="External"/><Relationship Id="rId171" Type="http://schemas.openxmlformats.org/officeDocument/2006/relationships/hyperlink" Target="https://doi.org/10.1109/21.256541" TargetMode="External"/><Relationship Id="rId185" Type="http://schemas.openxmlformats.org/officeDocument/2006/relationships/hyperlink" Target="https://doi.org/10.1109/TIT.1982.1056489" TargetMode="External"/><Relationship Id="rId197" Type="http://schemas.openxmlformats.org/officeDocument/2006/relationships/hyperlink" Target="https://doi.org/10.1111/j.2041-210x.2012.00261.x" TargetMode="External"/><Relationship Id="rId151" Type="http://schemas.openxmlformats.org/officeDocument/2006/relationships/hyperlink" Target="https://doi.org/10.1126/science.adj0998" TargetMode="External"/><Relationship Id="rId128" Type="http://schemas.openxmlformats.org/officeDocument/2006/relationships/hyperlink" Target="https://doi.org/10.1162/003355303322552801" TargetMode="External"/><Relationship Id="rId153" Type="http://schemas.openxmlformats.org/officeDocument/2006/relationships/hyperlink" Target="https://doi.org/10.1177/002224378101800104" TargetMode="External"/><Relationship Id="rId181" Type="http://schemas.openxmlformats.org/officeDocument/2006/relationships/hyperlink" Target="https://doi.org/10.1177/1948550617697177" TargetMode="External"/><Relationship Id="rId202" Type="http://schemas.openxmlformats.org/officeDocument/2006/relationships/hyperlink" Target="https://doi.org/10.1186/s41039-017-0062-8" TargetMode="External"/><Relationship Id="rId234" Type="http://schemas.openxmlformats.org/officeDocument/2006/relationships/hyperlink" Target="https://doi.org/10.1186/s41239-019-0171-0" TargetMode="External"/><Relationship Id="rId144" Type="http://schemas.openxmlformats.org/officeDocument/2006/relationships/hyperlink" Target="https://doi.org/10.1186/s41239-023-00392-8" TargetMode="External"/><Relationship Id="rId137" Type="http://schemas.openxmlformats.org/officeDocument/2006/relationships/hyperlink" Target="https://doi.org/10.1186/s41239-023-00411-8" TargetMode="External"/><Relationship Id="rId131" Type="http://schemas.openxmlformats.org/officeDocument/2006/relationships/hyperlink" Target="https://doi.org/10.1186/s41239-023-00436-z" TargetMode="External"/><Relationship Id="rId190" Type="http://schemas.openxmlformats.org/officeDocument/2006/relationships/hyperlink" Target="https://doi.org/10.1198/016214505000000330" TargetMode="External"/><Relationship Id="rId157" Type="http://schemas.openxmlformats.org/officeDocument/2006/relationships/hyperlink" Target="https://doi.org/10.1214/aos/1013203451" TargetMode="External"/><Relationship Id="rId126" Type="http://schemas.openxmlformats.org/officeDocument/2006/relationships/hyperlink" Target="https://doi.org/10.12688/wellcomeopenres.15191.1" TargetMode="External"/><Relationship Id="rId207" Type="http://schemas.openxmlformats.org/officeDocument/2006/relationships/hyperlink" Target="https://doi.org/10.1371/journal.pone.0315011" TargetMode="External"/><Relationship Id="rId209" Type="http://schemas.openxmlformats.org/officeDocument/2006/relationships/hyperlink" Target="https://doi.org/10.1371/journal.pone.0349691" TargetMode="External"/><Relationship Id="rId205" Type="http://schemas.openxmlformats.org/officeDocument/2006/relationships/hyperlink" Target="https://doi.org/10.17632/ymg9nsn6kn.2" TargetMode="External"/><Relationship Id="rId177" Type="http://schemas.openxmlformats.org/officeDocument/2006/relationships/hyperlink" Target="https://doi.org/10.2307/1913643" TargetMode="External"/><Relationship Id="rId229" Type="http://schemas.openxmlformats.org/officeDocument/2006/relationships/hyperlink" Target="https://doi.org/10.2307/30036540" TargetMode="External"/><Relationship Id="rId179" Type="http://schemas.openxmlformats.org/officeDocument/2006/relationships/hyperlink" Target="https://doi.org/10.3102/0034654315581420" TargetMode="External"/><Relationship Id="rId216" Type="http://schemas.openxmlformats.org/officeDocument/2006/relationships/hyperlink" Target="https://doi.org/10.37074/jalt.2023.6.1.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3" Type="http://schemas.openxmlformats.org/officeDocument/2006/relationships/hyperlink" Target="https://doi.org/10.1002/asmb.446" TargetMode="External"/><Relationship Id="rId211" Type="http://schemas.openxmlformats.org/officeDocument/2006/relationships/hyperlink" Target="https://doi.org/10.1002/widm.1355" TargetMode="External"/><Relationship Id="rId220" Type="http://schemas.openxmlformats.org/officeDocument/2006/relationships/hyperlink" Target="https://doi.org/10.1007/BF01068419" TargetMode="External"/><Relationship Id="rId169" Type="http://schemas.openxmlformats.org/officeDocument/2006/relationships/hyperlink" Target="https://doi.org/10.1007/BF01908075" TargetMode="External"/><Relationship Id="rId146" Type="http://schemas.openxmlformats.org/officeDocument/2006/relationships/hyperlink" Target="https://doi.org/10.1007/BF02310555" TargetMode="External"/><Relationship Id="rId161" Type="http://schemas.openxmlformats.org/officeDocument/2006/relationships/hyperlink" Target="https://doi.org/10.1007/s11747-014-0403-8" TargetMode="External"/><Relationship Id="rId214" Type="http://schemas.openxmlformats.org/officeDocument/2006/relationships/hyperlink" Target="https://doi.org/10.1016/0377-0427(87)90125-7" TargetMode="External"/><Relationship Id="rId165" Type="http://schemas.openxmlformats.org/officeDocument/2006/relationships/hyperlink" Target="https://doi.org/10.1016/0893-6080(89)90020-8" TargetMode="External"/><Relationship Id="rId232" Type="http://schemas.openxmlformats.org/officeDocument/2006/relationships/hyperlink" Target="https://doi.org/10.1016/S0019-9958(65)90241-X" TargetMode="External"/><Relationship Id="rId192" Type="http://schemas.openxmlformats.org/officeDocument/2006/relationships/hyperlink" Target="https://doi.org/10.1016/S0020-7373(75)80002-2" TargetMode="External"/><Relationship Id="rId148" Type="http://schemas.openxmlformats.org/officeDocument/2006/relationships/hyperlink" Target="https://doi.org/10.1016/j.ijinfomgt.2023.102642" TargetMode="External"/><Relationship Id="rId173" Type="http://schemas.openxmlformats.org/officeDocument/2006/relationships/hyperlink" Target="https://doi.org/10.1016/j.lindif.2023.102274" TargetMode="External"/><Relationship Id="rId139" Type="http://schemas.openxmlformats.org/officeDocument/2006/relationships/hyperlink" Target="https://doi.org/10.1016/j.stueduc.2024.101395" TargetMode="External"/><Relationship Id="rId155" Type="http://schemas.openxmlformats.org/officeDocument/2006/relationships/hyperlink" Target="https://doi.org/10.1016/j.techfore.2016.08.019" TargetMode="External"/><Relationship Id="rId133" Type="http://schemas.openxmlformats.org/officeDocument/2006/relationships/hyperlink" Target="https://doi.org/10.1023/A:1010933404324" TargetMode="External"/><Relationship Id="rId195" Type="http://schemas.openxmlformats.org/officeDocument/2006/relationships/hyperlink" Target="https://doi.org/10.1023/A:1024068626366" TargetMode="External"/><Relationship Id="rId225" Type="http://schemas.openxmlformats.org/officeDocument/2006/relationships/hyperlink" Target="https://doi.org/10.1023/B:STCO.0000035301.49549.88" TargetMode="External"/><Relationship Id="rId187" Type="http://schemas.openxmlformats.org/officeDocument/2006/relationships/hyperlink" Target="https://doi.org/10.1027/1614-2241.2.2.57" TargetMode="External"/><Relationship Id="rId200" Type="http://schemas.openxmlformats.org/officeDocument/2006/relationships/hyperlink" Target="https://doi.org/10.1037/0021-9010.88.5.879" TargetMode="External"/><Relationship Id="rId135" Type="http://schemas.openxmlformats.org/officeDocument/2006/relationships/hyperlink" Target="https://doi.org/10.1037/0033-2909.114.3.542" TargetMode="External"/><Relationship Id="rId218" Type="http://schemas.openxmlformats.org/officeDocument/2006/relationships/hyperlink" Target="https://doi.org/10.1038/323533a0" TargetMode="External"/><Relationship Id="rId227" Type="http://schemas.openxmlformats.org/officeDocument/2006/relationships/hyperlink" Target="https://doi.org/10.1080/00461520.2011.611369" TargetMode="External"/><Relationship Id="rId159" Type="http://schemas.openxmlformats.org/officeDocument/2006/relationships/hyperlink" Target="https://doi.org/10.1080/01621459.1937.10503522" TargetMode="External"/><Relationship Id="rId222" Type="http://schemas.openxmlformats.org/officeDocument/2006/relationships/hyperlink" Target="https://doi.org/10.1080/01621459.1987.10478472" TargetMode="External"/><Relationship Id="rId167" Type="http://schemas.openxmlformats.org/officeDocument/2006/relationships/hyperlink" Target="https://doi.org/10.1080/10705519909540118" TargetMode="External"/><Relationship Id="rId142" Type="http://schemas.openxmlformats.org/officeDocument/2006/relationships/hyperlink" Target="https://doi.org/10.1080/14703297.2023.2190148" TargetMode="External"/><Relationship Id="rId171" Type="http://schemas.openxmlformats.org/officeDocument/2006/relationships/hyperlink" Target="https://doi.org/10.1109/21.256541" TargetMode="External"/><Relationship Id="rId185" Type="http://schemas.openxmlformats.org/officeDocument/2006/relationships/hyperlink" Target="https://doi.org/10.1109/TIT.1982.1056489" TargetMode="External"/><Relationship Id="rId197" Type="http://schemas.openxmlformats.org/officeDocument/2006/relationships/hyperlink" Target="https://doi.org/10.1111/j.2041-210x.2012.00261.x" TargetMode="External"/><Relationship Id="rId151" Type="http://schemas.openxmlformats.org/officeDocument/2006/relationships/hyperlink" Target="https://doi.org/10.1126/science.adj0998" TargetMode="External"/><Relationship Id="rId128" Type="http://schemas.openxmlformats.org/officeDocument/2006/relationships/hyperlink" Target="https://doi.org/10.1162/003355303322552801" TargetMode="External"/><Relationship Id="rId153" Type="http://schemas.openxmlformats.org/officeDocument/2006/relationships/hyperlink" Target="https://doi.org/10.1177/002224378101800104" TargetMode="External"/><Relationship Id="rId181" Type="http://schemas.openxmlformats.org/officeDocument/2006/relationships/hyperlink" Target="https://doi.org/10.1177/1948550617697177" TargetMode="External"/><Relationship Id="rId202" Type="http://schemas.openxmlformats.org/officeDocument/2006/relationships/hyperlink" Target="https://doi.org/10.1186/s41039-017-0062-8" TargetMode="External"/><Relationship Id="rId234" Type="http://schemas.openxmlformats.org/officeDocument/2006/relationships/hyperlink" Target="https://doi.org/10.1186/s41239-019-0171-0" TargetMode="External"/><Relationship Id="rId144" Type="http://schemas.openxmlformats.org/officeDocument/2006/relationships/hyperlink" Target="https://doi.org/10.1186/s41239-023-00392-8" TargetMode="External"/><Relationship Id="rId137" Type="http://schemas.openxmlformats.org/officeDocument/2006/relationships/hyperlink" Target="https://doi.org/10.1186/s41239-023-00411-8" TargetMode="External"/><Relationship Id="rId131" Type="http://schemas.openxmlformats.org/officeDocument/2006/relationships/hyperlink" Target="https://doi.org/10.1186/s41239-023-00436-z" TargetMode="External"/><Relationship Id="rId190" Type="http://schemas.openxmlformats.org/officeDocument/2006/relationships/hyperlink" Target="https://doi.org/10.1198/016214505000000330" TargetMode="External"/><Relationship Id="rId157" Type="http://schemas.openxmlformats.org/officeDocument/2006/relationships/hyperlink" Target="https://doi.org/10.1214/aos/1013203451" TargetMode="External"/><Relationship Id="rId126" Type="http://schemas.openxmlformats.org/officeDocument/2006/relationships/hyperlink" Target="https://doi.org/10.12688/wellcomeopenres.15191.1" TargetMode="External"/><Relationship Id="rId207" Type="http://schemas.openxmlformats.org/officeDocument/2006/relationships/hyperlink" Target="https://doi.org/10.1371/journal.pone.0315011" TargetMode="External"/><Relationship Id="rId209" Type="http://schemas.openxmlformats.org/officeDocument/2006/relationships/hyperlink" Target="https://doi.org/10.1371/journal.pone.0349691" TargetMode="External"/><Relationship Id="rId205" Type="http://schemas.openxmlformats.org/officeDocument/2006/relationships/hyperlink" Target="https://doi.org/10.17632/ymg9nsn6kn.2" TargetMode="External"/><Relationship Id="rId177" Type="http://schemas.openxmlformats.org/officeDocument/2006/relationships/hyperlink" Target="https://doi.org/10.2307/1913643" TargetMode="External"/><Relationship Id="rId229" Type="http://schemas.openxmlformats.org/officeDocument/2006/relationships/hyperlink" Target="https://doi.org/10.2307/30036540" TargetMode="External"/><Relationship Id="rId179" Type="http://schemas.openxmlformats.org/officeDocument/2006/relationships/hyperlink" Target="https://doi.org/10.3102/0034654315581420" TargetMode="External"/><Relationship Id="rId216" Type="http://schemas.openxmlformats.org/officeDocument/2006/relationships/hyperlink" Target="https://doi.org/10.37074/jalt.2023.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2026-10-30T11:01:40Z</dcterms:created>
  <dcterms:modified xsi:type="dcterms:W3CDTF">2026-10-30T11:01:40Z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ies>
</file>