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highlight w:val="yellow"/>
        </w:rPr>
        <w:t>[Date]</w:t>
      </w:r>
    </w:p>
    <w:p>
      <w:pPr>
        <w:spacing w:after="0"/>
      </w:pPr>
      <w:r>
        <w:rPr>
          <w:b w:val="0"/>
          <w:i w:val="0"/>
        </w:rPr>
        <w:t>The Editor-in-Chief</w:t>
      </w:r>
    </w:p>
    <w:p>
      <w:pPr>
        <w:spacing w:after="0"/>
      </w:pPr>
      <w:r>
        <w:rPr>
          <w:b w:val="0"/>
          <w:i/>
        </w:rPr>
        <w:t>Soft Computing</w:t>
      </w:r>
    </w:p>
    <w:p>
      <w:pPr>
        <w:spacing w:after="240"/>
      </w:pPr>
      <w:r>
        <w:rPr>
          <w:b w:val="0"/>
          <w:i w:val="0"/>
        </w:rPr>
        <w:t>Springer Nature</w:t>
      </w:r>
    </w:p>
    <w:p>
      <w:pPr>
        <w:spacing w:after="240"/>
      </w:pPr>
      <w:r>
        <w:rPr>
          <w:b w:val="0"/>
          <w:i w:val="0"/>
        </w:rPr>
        <w:t>Dear Editor-in-Chief,</w:t>
      </w:r>
    </w:p>
    <w:p>
      <w:pPr>
        <w:spacing w:after="120"/>
      </w:pPr>
      <w:r>
        <w:rPr>
          <w:b w:val="0"/>
          <w:i w:val="0"/>
        </w:rPr>
        <w:t>I am pleased to submit the manuscript entitled “Can Artificial Intelligence Substitute for Classroom Teachers in Higher Education? A Hierarchical Fuzzy–Neural Feasibility Assessment Based on Global Student Survey Data” for consideration as an original research article in Soft Computing.</w:t>
      </w:r>
    </w:p>
    <w:p>
      <w:pPr>
        <w:spacing w:after="120"/>
      </w:pPr>
      <w:r>
        <w:rPr>
          <w:b w:val="0"/>
          <w:i w:val="0"/>
        </w:rPr>
        <w:t>Generative AI tools such as ChatGPT have revived the question of whether AI could substitute for university teachers, but existing studies mostly answer it as a yes/no question on small, local samples. This manuscript reframes the question at the level of individual teaching activities and answers it with soft-computing methods applied to the open Global ChatGPT Student Survey (11,920 students in 92 countries).</w:t>
      </w:r>
    </w:p>
    <w:p>
      <w:pPr>
        <w:spacing w:after="120"/>
      </w:pPr>
      <w:r>
        <w:rPr>
          <w:b w:val="0"/>
          <w:i w:val="0"/>
        </w:rPr>
        <w:t>The main contributions are:</w:t>
      </w:r>
    </w:p>
    <w:p>
      <w:pPr>
        <w:pStyle w:val="ListBullet"/>
        <w:spacing w:after="60"/>
      </w:pPr>
      <w:r>
        <w:t>A hierarchical Mamdani fuzzy inference system (126 rules instead of 6,561) that combines eight CFA-validated evaluation factors into an interpretable Teacher Replacement Feasibility Score and classifies ten teaching activities as suitable for full AI replacement, partial AI assistance or human involvement.</w:t>
      </w:r>
    </w:p>
    <w:p>
      <w:pPr>
        <w:pStyle w:val="ListBullet"/>
        <w:spacing w:after="60"/>
      </w:pPr>
      <w:r>
        <w:t>Formal results on the framework: closed-form decision thresholds and consequent centroids, and a proof that a weighted-average variant of the hierarchy is bounded, continuous, Lipschitz and monotone in every factor. An exhaustive grid search shows that the conventional Mamdani system violates monotonicity, which matters when such scores guide policy.</w:t>
      </w:r>
    </w:p>
    <w:p>
      <w:pPr>
        <w:pStyle w:val="ListBullet"/>
        <w:spacing w:after="60"/>
      </w:pPr>
      <w:r>
        <w:t>A rigorous comparison of the fuzzy score with an artificial neural network, a hybrid fuzzy–ANN and four benchmark learners under repeated cross-validation with corrected significance tests, showing the accuracy–interpretability trade-off.</w:t>
      </w:r>
    </w:p>
    <w:p>
      <w:pPr>
        <w:pStyle w:val="ListBullet"/>
        <w:spacing w:after="60"/>
      </w:pPr>
      <w:r>
        <w:t>Extensive robustness and validity evidence: 500 perturbed fuzzy designs, Shapley decomposition of explained variance, multilevel models across 50 countries, quantile regression, equivalence tests and measurement-invariance analysis.</w:t>
      </w:r>
    </w:p>
    <w:p>
      <w:pPr>
        <w:spacing w:after="120"/>
      </w:pPr>
      <w:r>
        <w:rPr>
          <w:b w:val="0"/>
          <w:i w:val="0"/>
        </w:rPr>
        <w:t>The results show that no teaching activity currently reaches the full-replacement band, that content explanation and question answering are the most delegable tasks, and that perceived reliability is the decisive bottleneck. We believe the work fits the scope of Soft Computing because it develops and analyses fuzzy and neural methods for a decision problem of high societal relevance and contributes a provably monotone hierarchical fuzzy design that can be reused in other assessment settings.</w:t>
      </w:r>
    </w:p>
    <w:p>
      <w:pPr>
        <w:spacing w:after="120"/>
      </w:pPr>
      <w:r>
        <w:rPr>
          <w:b w:val="0"/>
          <w:i w:val="0"/>
        </w:rPr>
        <w:t>I confirm that this manuscript is original, has not been published previously, and is not under consideration for publication elsewhere. The author has no competing interests. The study is a secondary analysis of a fully anonymised open dataset, so no ethics approval was required. Use of generative AI tools is disclosed in the Declarations.</w:t>
      </w:r>
    </w:p>
    <w:p>
      <w:pPr>
        <w:spacing w:after="240"/>
      </w:pPr>
      <w:r>
        <w:rPr>
          <w:b w:val="0"/>
          <w:i w:val="0"/>
        </w:rPr>
        <w:t>Thank you for considering this submission. I look forward to hearing from you.</w:t>
      </w:r>
    </w:p>
    <w:p>
      <w:pPr>
        <w:spacing w:after="480"/>
      </w:pPr>
      <w:r>
        <w:rPr>
          <w:b w:val="0"/>
          <w:i w:val="0"/>
        </w:rPr>
        <w:t>Sincerely,</w:t>
      </w:r>
    </w:p>
    <w:p>
      <w:pPr>
        <w:spacing w:after="0"/>
      </w:pPr>
      <w:r>
        <w:rPr>
          <w:b w:val="0"/>
          <w:i w:val="0"/>
        </w:rPr>
        <w:t>Maliha Binta Sumaiya</w:t>
      </w:r>
    </w:p>
    <w:p>
      <w:pPr>
        <w:spacing w:after="0"/>
      </w:pPr>
      <w:r>
        <w:rPr>
          <w:b w:val="0"/>
          <w:i w:val="0"/>
        </w:rPr>
        <w:t xml:space="preserve">Department of Computer Science and Engineering, </w:t>
      </w:r>
      <w:r>
        <w:rPr>
          <w:b w:val="0"/>
          <w:i w:val="0"/>
          <w:highlight w:val="yellow"/>
        </w:rPr>
        <w:t>[University name]</w:t>
      </w:r>
      <w:r>
        <w:rPr>
          <w:b w:val="0"/>
          <w:i w:val="0"/>
        </w:rPr>
        <w:t xml:space="preserve">, </w:t>
      </w:r>
      <w:r>
        <w:rPr>
          <w:b w:val="0"/>
          <w:i w:val="0"/>
          <w:highlight w:val="yellow"/>
        </w:rPr>
        <w:t>[City]</w:t>
      </w:r>
      <w:r>
        <w:rPr>
          <w:b w:val="0"/>
          <w:i w:val="0"/>
        </w:rPr>
        <w:t xml:space="preserve">, </w:t>
      </w:r>
      <w:r>
        <w:rPr>
          <w:b w:val="0"/>
          <w:i w:val="0"/>
          <w:highlight w:val="yellow"/>
        </w:rPr>
        <w:t>[Country]</w:t>
      </w:r>
    </w:p>
    <w:p>
      <w:pPr>
        <w:spacing w:after="0"/>
      </w:pPr>
      <w:r>
        <w:rPr>
          <w:b w:val="0"/>
          <w:i w:val="0"/>
        </w:rPr>
        <w:t>E-mail: 4notebk@gmail.com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