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Supplementary Information</w:t>
      </w:r>
    </w:p>
    <w:p>
      <w:pPr>
        <w:pStyle w:val="BodyText"/>
      </w:pPr>
      <w:r>
        <w:rPr>
          <w:bCs/>
          <w:b/>
        </w:rPr>
        <w:t xml:space="preserve">Can Artificial Intelligence Substitute for Classroom Teachers in Higher Education? A Hierarchical Fuzzy–Neural Feasibility Assessment Based on Global Student Survey Data</w:t>
      </w:r>
      <w:r>
        <w:br/>
      </w:r>
      <w:r>
        <w:t xml:space="preserve">Maliha Binta Sumaiya</w:t>
      </w:r>
      <w:r>
        <w:br/>
      </w:r>
      <w:r>
        <w:t xml:space="preserve">Soft Computing</w:t>
      </w:r>
    </w:p>
    <w:p>
      <w:pPr>
        <w:pStyle w:val="BodyText"/>
      </w:pPr>
      <w:r>
        <w:t xml:space="preserve">This file reports every analysis output that is not shown in the main text: item-level descriptive statistics, the compared measurement mappings, the complete fuzzy rule bases, validity correlations, pairwise activity tests, selected ANN hyperparameters, activity-level effect sizes and robustness ranges, subgroup and field-of-study results, quantile-regression coefficients, typology selection and profiles, and country effects (Tables S1–S14) and the control surfaces of the fuzzy systems (Fig. S1). All values were generated directly by the analysis code.</w:t>
      </w:r>
    </w:p>
    <w:p>
      <w:pPr>
        <w:pStyle w:val="CaptionedFigure"/>
      </w:pPr>
      <w:r>
        <w:drawing>
          <wp:inline>
            <wp:extent cx="5334000" cy="24365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Data-Visualization/ai-teacher-feasibility/results/figures/fig3_control_surfac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S1. Control surfaces of (a) FIS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(TRFS as a function of PC and TW, IQ fixed at 50) and (b) the activity FIS (capability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reliability, ethical suitability fixed at 3). White contours mark the 35 and 65 thresholds.</w:t>
      </w:r>
    </w:p>
    <w:p>
      <w:pPr>
        <w:pStyle w:val="TableCaption"/>
      </w:pPr>
      <w:r>
        <w:t xml:space="preserve">Table S1. Item-level descriptive statistics (</w:t>
      </w:r>
      <m:oMath>
        <m:r>
          <m:t>N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920</m:t>
        </m:r>
      </m:oMath>
      <w:r>
        <w:t xml:space="preserve">; reverse-coded items marked R). Skew and excess kurtosis are sample estimates; % agree is the share answering 4 or 5.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1. Item-level descriptive statistics (N=11,920; reverse-coded items marked R). Skew and excess kurtosis are sample estimates; % agree is the share answering 4 or 5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Factor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Item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Skew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Kurtosis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% agree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Q19d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3.70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-0.58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64.7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Q19f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3.81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69.3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3.81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0.64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69.6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Q25b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3.85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-0.72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0.70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71.8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Q25c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-0.35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-0.39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Q25d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3.59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59.3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Q26d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-0.34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-0.43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Q26a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3.67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-0.76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0.68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65.1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Q26c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3.67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64.4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Q27a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-0.41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-0.29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Q27b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-0.38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-0.32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Q26j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3.56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58.5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3.62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0.72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61.0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Q19b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3.63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62.4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Q19c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-0.10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-0.27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-0.32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41.7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Q19i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3.59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58.7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Q19j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3.51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-0.49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53.2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Q19e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-0.24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-0.10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41.2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Q24f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-0.41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-0.11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Q24g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3.16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38.1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Q22a (R)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3.08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1.13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37.4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Q22b (R)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1.24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-1.00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32.3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Q22c (R)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2.85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-0.97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31.9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Q22d (R)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2.99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1.16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-0.87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34.5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Q22f (R)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1.11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-0.20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43.5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TSI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Q24b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2.91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1.18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-0.95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34.6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TSI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Q24d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2.82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-0.55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25.3</w:t>
            </w:r>
          </w:p>
        </w:tc>
      </w:tr>
    </w:tbl>
    <w:p/>
    <w:p>
      <w:pPr>
        <w:pStyle w:val="TableCaption"/>
      </w:pPr>
      <w:r>
        <w:t xml:space="preserve">Table S2. Candidate item-to-factor mappings compared before the analysis (TE, SE, P, AC and C items differ; A, R and E fixed). M3 was retained.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2. Candidate item-to-factor mappings compared before the analysis (TE, SE, P, AC and C items differ; A, R and E fixed). M3 was retained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Mapping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CFI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TLI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RMSEA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SRMR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min</w:t>
            </w:r>
            <w:r>
              <w:rPr>
                <w:b/>
                <w:sz w:val="16"/>
              </w:rPr>
              <w:t xml:space="preserve"> </w:t>
            </w:r>
            <m:oMath>
              <m:r>
                <m:t>α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min AVE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max HTMT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M0 (initial a-priori mapping)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12,066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0.883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0.070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0.060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0.595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0.324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1.004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12,558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0.915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0.056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0.048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0.718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0.959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12,568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0.941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0.929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0.052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0.717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0.486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0.863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M3 (final)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12,564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0.052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0.718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0.487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0.806</w:t>
            </w:r>
          </w:p>
        </w:tc>
      </w:tr>
    </w:tbl>
    <w:p/>
    <w:p>
      <w:pPr>
        <w:pStyle w:val="TableCaption"/>
      </w:pPr>
      <w:r>
        <w:t xml:space="preserve">Table S3. Complete rule base of FIS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(pedagogical capability, 81 rules; L/M/H = Low/Medium/High).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3. Complete rule base of FIS_1 (pedagogical capability, 81 rules; L/M/H = Low/Medium/High)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TE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AC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PC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TE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AC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PC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TE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AC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PC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</w:tr>
    </w:tbl>
    <w:p/>
    <w:p>
      <w:pPr>
        <w:pStyle w:val="TableCaption"/>
      </w:pPr>
      <w:r>
        <w:t xml:space="preserve">Table S4. Rule base of the activity-level FIS (27 rules). FIS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(interaction quality, SE,C</w:t>
      </w:r>
      <m:oMath>
        <m:r>
          <m:rPr>
            <m:sty m:val="p"/>
          </m:rPr>
          <m:t>→</m:t>
        </m:r>
      </m:oMath>
      <w:r>
        <w:t xml:space="preserve">IQ): (L,L)</w:t>
      </w:r>
      <m:oMath>
        <m:r>
          <m:rPr>
            <m:sty m:val="p"/>
          </m:rPr>
          <m:t>→</m:t>
        </m:r>
      </m:oMath>
      <w:r>
        <w:t xml:space="preserve">L; (L,M)</w:t>
      </w:r>
      <m:oMath>
        <m:r>
          <m:rPr>
            <m:sty m:val="p"/>
          </m:rPr>
          <m:t>→</m:t>
        </m:r>
      </m:oMath>
      <w:r>
        <w:t xml:space="preserve">L; (L,H)</w:t>
      </w:r>
      <m:oMath>
        <m:r>
          <m:rPr>
            <m:sty m:val="p"/>
          </m:rPr>
          <m:t>→</m:t>
        </m:r>
      </m:oMath>
      <w:r>
        <w:t xml:space="preserve">M; (M,L)</w:t>
      </w:r>
      <m:oMath>
        <m:r>
          <m:rPr>
            <m:sty m:val="p"/>
          </m:rPr>
          <m:t>→</m:t>
        </m:r>
      </m:oMath>
      <w:r>
        <w:t xml:space="preserve">L; (M,M)</w:t>
      </w:r>
      <m:oMath>
        <m:r>
          <m:rPr>
            <m:sty m:val="p"/>
          </m:rPr>
          <m:t>→</m:t>
        </m:r>
      </m:oMath>
      <w:r>
        <w:t xml:space="preserve">M; (M,H)</w:t>
      </w:r>
      <m:oMath>
        <m:r>
          <m:rPr>
            <m:sty m:val="p"/>
          </m:rPr>
          <m:t>→</m:t>
        </m:r>
      </m:oMath>
      <w:r>
        <w:t xml:space="preserve">M; (H,L)</w:t>
      </w:r>
      <m:oMath>
        <m:r>
          <m:rPr>
            <m:sty m:val="p"/>
          </m:rPr>
          <m:t>→</m:t>
        </m:r>
      </m:oMath>
      <w:r>
        <w:t xml:space="preserve">M; (H,M)</w:t>
      </w:r>
      <m:oMath>
        <m:r>
          <m:rPr>
            <m:sty m:val="p"/>
          </m:rPr>
          <m:t>→</m:t>
        </m:r>
      </m:oMath>
      <w:r>
        <w:t xml:space="preserve">M; (H,H)</w:t>
      </w:r>
      <m:oMath>
        <m:r>
          <m:rPr>
            <m:sty m:val="p"/>
          </m:rPr>
          <m:t>→</m:t>
        </m:r>
      </m:oMath>
      <w:r>
        <w:t xml:space="preserve">H.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4. Rule base of the activity-level FIS (27 rules). FIS_2 (interaction quality, SE,C\toIQ): (L,L)\toL; (L,M)\toL; (L,H)\toM; (M,L)\toL; (M,M)\toM; (M,H)\toM; (H,L)\toM; (H,M)\toM; (H,H)\toH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Cap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Out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Cap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Out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Cap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Out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H</w:t>
            </w:r>
          </w:p>
        </w:tc>
      </w:tr>
    </w:tbl>
    <w:p/>
    <w:p>
      <w:pPr>
        <w:pStyle w:val="TableCaption"/>
      </w:pPr>
      <w:r>
        <w:t xml:space="preserve">Table S5. Convergent, criterion and discriminant validity of the overall TRFS (Spearman correlations) and known-groups comparison by intensity of use.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5. Convergent, criterion and discriminant validity of the overall TRFS (Spearman correlations) and known-groups comparison by intensity of use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Criterion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ρ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TSI (ChatGPT easier/clearer than professors)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11,920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0.388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Q24e satisfied with assistance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11,910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0.552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Q16 overall experience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11,903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0.449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Q15 intensity of use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11,898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Q22h ChatGPT might replace formal education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11,912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-0.013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0.155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iCs/>
                <w:i/>
                <w:sz w:val="16"/>
              </w:rPr>
              <w:t xml:space="preserve">TRFS by intensity of ChatGPT use (Q15):</w:t>
            </w:r>
            <w:r>
              <w:rPr>
                <w:iCs/>
                <w:i/>
                <w:sz w:val="16"/>
              </w:rPr>
              <w:t xml:space="preserve"> </w:t>
            </w:r>
            <m:oMath>
              <m:r>
                <m:t>n</m:t>
              </m:r>
            </m:oMath>
            <w:r>
              <w:rPr>
                <w:iCs/>
                <w:i/>
                <w:sz w:val="16"/>
              </w:rPr>
              <w:t xml:space="preserve">, mean (SD)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Rarely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2,481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41.6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(18.2)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Occasionally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3,785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(18.8)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Moderately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3,484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52.8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(18.7)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Considerably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1,668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59.3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(19.4)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Extensively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63.5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(20.5)</w:t>
            </w:r>
          </w:p>
        </w:tc>
      </w:tr>
    </w:tbl>
    <w:p/>
    <w:p>
      <w:pPr>
        <w:pStyle w:val="TableCaption"/>
      </w:pPr>
      <w:r>
        <w:t xml:space="preserve">Table S6. Wilcoxon signed-rank tests between adjacent activities in the ranking (matched-pairs rank-biserial</w:t>
      </w:r>
      <w:r>
        <w:t xml:space="preserve"> </w:t>
      </w:r>
      <m:oMath>
        <m:r>
          <m:t>r</m:t>
        </m:r>
      </m:oMath>
      <w:r>
        <w:t xml:space="preserve">; Holm-adjusted</w:t>
      </w:r>
      <w:r>
        <w:t xml:space="preserve"> </w:t>
      </w:r>
      <m:oMath>
        <m:r>
          <m:t>p</m:t>
        </m:r>
      </m:oMath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6. Wilcoxon signed-rank tests between adjacent activities in the ranking (matched-pairs rank-biserial r; Holm-adjusted p)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Pair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Mean diff.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b</m:t>
                  </m:r>
                </m:sub>
              </m:sSub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p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A1 vs A2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0.317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A2 vs A5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2.33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0.243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A5 vs A3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0.66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0.104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A3 vs A4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A4 vs A6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0.050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A6 vs A8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0.088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A8 vs A10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0.073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A10 vs A7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-0.036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A7 vs A9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1.59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0.151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</w:tr>
    </w:tbl>
    <w:p/>
    <w:p>
      <w:pPr>
        <w:pStyle w:val="TableCaption"/>
      </w:pPr>
      <w:r>
        <w:t xml:space="preserve">Table S7. Hyperparameters selected by the inner 3-fold grid search in the 30 outer folds.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7. Hyperparameters selected by the inner 3-fold grid search in the 30 outer folds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Model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Hidden layers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α</m:t>
              </m:r>
            </m:oMath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(L2)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Times selected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ANN (MLP)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(64, 32)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ANN (MLP)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(64, 32)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ANN (MLP)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(32, 16)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ANN (MLP)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(32, 16)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Hybrid fuzzy-ANN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(32, 16)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Hybrid fuzzy-ANN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(64, 32)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Hybrid fuzzy-ANN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(16,)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Hybrid fuzzy-ANN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(16,)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Hybrid fuzzy-ANN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(32, 16)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Hybrid fuzzy-ANN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(64, 32)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</w:tr>
    </w:tbl>
    <w:p/>
    <w:p>
      <w:pPr>
        <w:pStyle w:val="TableCaption"/>
      </w:pPr>
      <w:r>
        <w:t xml:space="preserve">Table S8. Activity-level effect sizes and robustness: Cohen’s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against 50 with 95% CI, TOST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equivalence within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points, 2.5–97.5% range over 500 perturbed fuzzy designs, and the provably monotone weighted-average (WA) score with its % full / % human shares.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8. Activity-level effect sizes and robustness: Cohen’s d_z against 50 with 95% CI, TOST p for equivalence within \pm2 points, 2.5–97.5% range over 500 perturbed fuzzy designs, and the provably monotone weighted-average (WA) score with its % full / % human shares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Activity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[95% CI]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Equiv.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Perturbation range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WA mean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WA % full / human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Content explanation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54.7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0.253 [0.235, 0.271]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[48.0, 65.3]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54.2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30.5 / 17.9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Question answering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53.3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0.179 [0.161, 0.197]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[46.7, 63.8]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52.6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27.3 / 19.5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Personalized learning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0.049 [0.031, 0.067]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[44.6, 60.7]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25.7 / 27.2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Assignment feedback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0.015 [-0.003, 0.033]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[44.0, 60.3]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23.0 / 25.5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Student assessment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-0.033 [-0.051, -0.015]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[43.3, 59.0]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23.8 / 29.9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Student motivation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-0.047 [-0.065, -0.029]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[43.0, 58.4]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24.0 / 31.9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Academic guidance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-0.073 [-0.091, -0.055]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[42.6, 58.2]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20.8 / 28.4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Emotional &amp; social support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-0.105 [-0.123, -0.087]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0.241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[41.7, 56.8]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19.8 / 32.1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Classroom communication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-0.100 [-0.118, -0.082]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0.269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[42.0, 57.5]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21.2 / 34.4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Problem solving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-0.179 [-0.197, -0.161]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[40.8, 56.1]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45.7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18.1 / 32.5</w:t>
            </w:r>
          </w:p>
        </w:tc>
      </w:tr>
    </w:tbl>
    <w:p/>
    <w:p>
      <w:pPr>
        <w:pStyle w:val="TableCaption"/>
      </w:pPr>
      <w:r>
        <w:t xml:space="preserve">Table S9. Overall TRFS by subgroup with Kruskal–Wallis tests and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effect sizes.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9. Overall TRFS by subgroup with Kruskal–Wallis tests and \varepsilon^2 effect sizes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Group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Mean TRFS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iCs/>
                <w:i/>
                <w:sz w:val="16"/>
              </w:rPr>
              <w:t xml:space="preserve">Gender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52.9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0.0042</m:t>
              </m:r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Female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6,476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Male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5,266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Other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45.8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Prefer not to say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45.9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21.1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iCs/>
                <w:i/>
                <w:sz w:val="16"/>
              </w:rPr>
              <w:t xml:space="preserve">Level of study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35.9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0.0029</m:t>
              </m:r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Doctoral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Postgraduate (Master)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1,455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Undergraduate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9,856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19.7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iCs/>
                <w:i/>
                <w:sz w:val="16"/>
              </w:rPr>
              <w:t xml:space="preserve">Field of study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32.8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0.0025</m:t>
              </m:r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Applied Sciences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4,274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Arts &amp; Humanities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1,423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Natural &amp; Life Sciences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1,291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Social Sciences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4,824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19.2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iCs/>
                <w:i/>
                <w:sz w:val="16"/>
              </w:rPr>
              <w:t xml:space="preserve">Mode of study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13.8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0.0010</m:t>
              </m:r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Blended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5,389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Online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1,015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Traditional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5,450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19.5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iCs/>
                <w:i/>
                <w:sz w:val="16"/>
              </w:rPr>
              <w:t xml:space="preserve">ChatGPT version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110.8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0.0092</m:t>
              </m:r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Both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958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56.0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ChatGPT-3.5 (free)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10,550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19.6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ChatGPT-4 (paid)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55.5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20.0</w:t>
            </w:r>
          </w:p>
        </w:tc>
      </w:tr>
    </w:tbl>
    <w:p/>
    <w:p>
      <w:pPr>
        <w:pStyle w:val="TableCaption"/>
      </w:pPr>
      <w:r>
        <w:t xml:space="preserve">Table S10. Mean activity feasibility scores by field of study.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10. Mean activity feasibility scores by field of study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Activity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Applied Sciences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Arts &amp; Humanities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Natural &amp; Life Sciences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Social Sciences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Content explanation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55.3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53.4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54.5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54.4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Question answering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54.2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52.8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53.1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Personalized learning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52.2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Assignment feedback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Student assessment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Student motivation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Academic guidance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Emotional &amp; social support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Classroom communication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Problem solving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45.6</w:t>
            </w:r>
          </w:p>
        </w:tc>
      </w:tr>
    </w:tbl>
    <w:p/>
    <w:p>
      <w:pPr>
        <w:pStyle w:val="TableCaption"/>
      </w:pPr>
      <w:r>
        <w:t xml:space="preserve">Table S11. Quantile-regression coefficients of the TSI on the TRFS (per 10 points), averaged over 20 jittered replications; OLS: 5.03.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11. Quantile-regression coefficients of the TSI on the TRFS (per 10 points), averaged over 20 jittered replications; OLS: 5.03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τ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τ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r>
                <m:t>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95% CI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4.90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[4.58, 5.23]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0.55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5.70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[5.43, 5.96]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5.34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[5.02, 5.66]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0.60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5.61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[5.35, 5.87]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5.64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[5.32, 5.97]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5.41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[5.14, 5.67]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5.58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[5.26, 5.90]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0.70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[4.94, 5.52]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5.48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[5.17, 5.79]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0.75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5.05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[4.75, 5.36]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0.35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5.52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[5.21, 5.82]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[4.52, 5.16]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[5.35, 5.95]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0.85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4.92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[4.56, 5.28]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0.45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5.68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[5.40, 5.96]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4.94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[4.50, 5.38]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0.50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5.73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[5.46, 6.00]</w:t>
            </w:r>
          </w:p>
        </w:tc>
        <w:tc>
          <w:tcPr/>
          <w:p>
            <w:pPr>
              <w:pStyle w:val="Compact"/>
              <w:spacing w:after="0" w:before="0" w:line="240" w:lineRule="auto"/>
            </w:pPr>
          </w:p>
        </w:tc>
        <w:tc>
          <w:tcPr/>
          <w:p>
            <w:pPr>
              <w:pStyle w:val="Compact"/>
              <w:spacing w:after="0" w:before="0" w:line="240" w:lineRule="auto"/>
            </w:pPr>
          </w:p>
        </w:tc>
        <w:tc>
          <w:tcPr/>
          <w:p>
            <w:pPr>
              <w:pStyle w:val="Compact"/>
              <w:spacing w:after="0" w:before="0" w:line="240" w:lineRule="auto"/>
            </w:pPr>
          </w:p>
        </w:tc>
      </w:tr>
    </w:tbl>
    <w:p/>
    <w:p>
      <w:pPr>
        <w:pStyle w:val="TableCaption"/>
      </w:pPr>
      <w:r>
        <w:t xml:space="preserve">Table S12. Selection of the number of student typologies (</w:t>
      </w:r>
      <m:oMath>
        <m:r>
          <m:t>k</m:t>
        </m:r>
      </m:oMath>
      <w:r>
        <w:t xml:space="preserve">-means): mean silhouette, Calinski–Harabasz index and bootstrap stability (mean adjusted Rand index over 20 resamples).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12. Selection of the number of student typologies (k-means): mean silhouette, Calinski–Harabasz index and bootstrap stability (mean adjusted Rand index over 20 resamples)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Solution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Silhouette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Calinski–Harabasz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Bootstrap ARI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0.262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5,795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0.986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0.197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4,417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0.957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0.149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3,535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0.935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0.142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2,988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0.921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0.128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2,618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0.924</w:t>
            </w:r>
          </w:p>
        </w:tc>
      </w:tr>
    </w:tbl>
    <w:p/>
    <w:p>
      <w:pPr>
        <w:pStyle w:val="TableCaption"/>
      </w:pPr>
      <w:r>
        <w:t xml:space="preserve">Table S13. Profiles of the three student typologies: mean activity capabilities and factor scores (1–5), TRFS and TSI (0–100).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13. Profiles of the three student typologies: mean activity capabilities and factor scores (1–5), TRFS and TSI (0–100)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AI-sceptical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Ambivalent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AI-enthusiastic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Content explanation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3.69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4.28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Question answering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3.54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4.02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Assignment feedback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2.38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4.10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Student assessment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4.13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Personalized learning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2.37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4.20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Student motivation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2.06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4.16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Classroom communication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2.21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3.12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3.93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Academic guidance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2.07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3.16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4.05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Problem solving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2.09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3.05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3.83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Emotional &amp; social support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2.66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3.09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3.57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TRFS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30.9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66.6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TSI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28.2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44.8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58.8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Teaching effectiveness (TE)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3.67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4.20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Student engagement (SE)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2.82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3.50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4.15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Personalization (P)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2.67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3.44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4.19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Assessment capability (AC)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2.30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4.18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Communication (C)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3.12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3.44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3.94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Adaptability (A)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3.36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4.01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Reliability (R)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2.59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3.17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3.75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Ethical suitability (E)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2.68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2.95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3.28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n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(%)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2,079 (17.4)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5,885 (49.4)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3,956 (33.2)</w:t>
            </w:r>
          </w:p>
        </w:tc>
      </w:tr>
    </w:tbl>
    <w:p/>
    <w:p>
      <w:pPr>
        <w:pStyle w:val="TableCaption"/>
      </w:pPr>
      <w:r>
        <w:t xml:space="preserve">Table S14. Country random intercepts for the TRFS (50 countries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30</m:t>
        </m:r>
      </m:oMath>
      <w:r>
        <w:t xml:space="preserve">): BLUP of the country mean and deviation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from the grand mean.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S14. Country random intercepts for the TRFS (50 countries with n\ge30): BLUP of the country mean and deviation u_c from the grand mean."/>
        <w:tblW w:w="5000" w:type="pct"/>
        <w:tblLayout w:type="autofit"/>
        <w:tblBorders>
          <w:top w:val="single" w:sz="12" w:space="0" w:color="000000"/>
          <w:bottom w:val="single" w:sz="12" w:space="0" w:color="000000"/>
        </w:tblBorders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Country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m:oMath>
              <m:r>
                <m:t>n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Country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right"/>
            </w:pPr>
            <m:oMath>
              <m:r>
                <m:t>n</m:t>
              </m:r>
            </m:oMath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0" w:before="0" w:line="240" w:lineRule="auto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Estonia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70.9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+20.2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Italy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594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Egypt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493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62.4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+11.8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Albania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Zimbabwe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61.7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+11.0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Poland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157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Ghana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59.7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+9.1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Spain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795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Nigeria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58.8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+8.1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China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Bangladesh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58.4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+7.7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Luxembourg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Tanzania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393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57.5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+6.8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United Arab Emirates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Zambia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56.2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+5.6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Bosnia &amp; Herzegovina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Algeria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56.0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+5.3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Latvia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313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Malaysia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55.2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+4.5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Ecuador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1362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-2.0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Portugal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55.0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+4.3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Israel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-2.4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Cape Verde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53.6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+2.9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Mexico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675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-3.4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Romania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52.6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+1.9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Slovakia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47.0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-3.7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Chile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507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52.5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+1.8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India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-4.2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The Philippines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293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+1.1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Ukraine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239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-4.3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Croatia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+0.8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Russia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46.4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-4.3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Hungary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51.1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+0.4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United Kingdom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141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45.9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-4.8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Bulgaria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+0.1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Tunisia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184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45.8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-4.9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Macedonia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Brazil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45.4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-5.3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Greece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Turkey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304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44.2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-6.5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Cyprus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255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Colombia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44.1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-6.6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Saudi Arabia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50.3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-0.4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Guatemala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43.6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-7.1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Indonesia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Palestinian State*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212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43.1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-7.6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Serbia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50.0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-0.7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Japan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229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40.6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-10.1</w:t>
            </w:r>
          </w:p>
        </w:tc>
      </w:tr>
      <w:tr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Slovenia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245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49.8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-0.8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Austria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168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40.0</w:t>
            </w:r>
          </w:p>
        </w:tc>
        <w:tc>
          <w:tcPr/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-10.7</w:t>
            </w:r>
          </w:p>
        </w:tc>
      </w:tr>
    </w:tbl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b/>
      <w:i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b/>
      <w:i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b/>
      <w:i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b/>
      <w:i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b/>
      <w:i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 w:val="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i w:val="0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i w:val="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2026-10-30T11:01:40Z</dcterms:created>
  <dcterms:modified xsi:type="dcterms:W3CDTF">2026-10-30T11:01:40Z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