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A082" w14:textId="1228AF3C" w:rsidR="00C339C4" w:rsidRPr="00C339C4" w:rsidRDefault="00C339C4" w:rsidP="00C339C4">
      <w:pPr>
        <w:jc w:val="center"/>
        <w:rPr>
          <w:rFonts w:ascii="Times New Roman" w:hAnsi="Times New Roman" w:cs="Times New Roman"/>
          <w:sz w:val="40"/>
          <w:szCs w:val="40"/>
        </w:rPr>
      </w:pPr>
      <w:r w:rsidRPr="00C339C4">
        <w:rPr>
          <w:rFonts w:ascii="Times New Roman" w:hAnsi="Times New Roman" w:cs="Times New Roman"/>
          <w:sz w:val="40"/>
          <w:szCs w:val="40"/>
        </w:rPr>
        <w:t>Answer t</w:t>
      </w:r>
      <w:r>
        <w:rPr>
          <w:rFonts w:ascii="Times New Roman" w:hAnsi="Times New Roman" w:cs="Times New Roman"/>
          <w:sz w:val="40"/>
          <w:szCs w:val="40"/>
        </w:rPr>
        <w:t>o</w:t>
      </w:r>
      <w:r w:rsidRPr="00C339C4">
        <w:rPr>
          <w:rFonts w:ascii="Times New Roman" w:hAnsi="Times New Roman" w:cs="Times New Roman"/>
          <w:sz w:val="40"/>
          <w:szCs w:val="40"/>
        </w:rPr>
        <w:t xml:space="preserve"> the question no. 1(A)</w:t>
      </w:r>
    </w:p>
    <w:p w14:paraId="5828689E" w14:textId="77777777" w:rsidR="00C339C4" w:rsidRDefault="00C339C4" w:rsidP="00C339C4">
      <w:pPr>
        <w:rPr>
          <w:rFonts w:ascii="Times New Roman" w:hAnsi="Times New Roman" w:cs="Times New Roman"/>
          <w:sz w:val="24"/>
          <w:szCs w:val="24"/>
        </w:rPr>
      </w:pPr>
    </w:p>
    <w:p w14:paraId="0BDA7B50" w14:textId="72888719" w:rsidR="00C339C4" w:rsidRPr="00453E29" w:rsidRDefault="00C339C4" w:rsidP="00C339C4">
      <w:pPr>
        <w:jc w:val="center"/>
        <w:rPr>
          <w:rFonts w:ascii="Times New Roman" w:hAnsi="Times New Roman" w:cs="Times New Roman"/>
          <w:color w:val="8064A2" w:themeColor="accent4"/>
          <w:sz w:val="32"/>
          <w:szCs w:val="32"/>
        </w:rPr>
      </w:pPr>
      <w:r w:rsidRPr="00453E29">
        <w:rPr>
          <w:rFonts w:ascii="Times New Roman" w:hAnsi="Times New Roman" w:cs="Times New Roman"/>
          <w:color w:val="8064A2" w:themeColor="accent4"/>
          <w:sz w:val="32"/>
          <w:szCs w:val="32"/>
        </w:rPr>
        <w:t>Title: Garment Industry</w:t>
      </w:r>
    </w:p>
    <w:p w14:paraId="29727E45" w14:textId="77777777" w:rsidR="00C339C4" w:rsidRDefault="00C339C4" w:rsidP="00C339C4">
      <w:pPr>
        <w:rPr>
          <w:rFonts w:ascii="Times New Roman" w:hAnsi="Times New Roman" w:cs="Times New Roman"/>
          <w:sz w:val="24"/>
          <w:szCs w:val="24"/>
        </w:rPr>
        <w:sectPr w:rsidR="00C339C4">
          <w:pgSz w:w="12240" w:h="15840"/>
          <w:pgMar w:top="1440" w:right="1440" w:bottom="1440" w:left="1440" w:header="720" w:footer="720" w:gutter="0"/>
          <w:cols w:space="720"/>
          <w:docGrid w:linePitch="360"/>
        </w:sectPr>
      </w:pPr>
    </w:p>
    <w:p w14:paraId="0AE647D6" w14:textId="098409A4" w:rsidR="00C339C4" w:rsidRPr="00C339C4" w:rsidRDefault="00C339C4" w:rsidP="00C339C4">
      <w:pPr>
        <w:rPr>
          <w:rFonts w:ascii="Times New Roman" w:hAnsi="Times New Roman" w:cs="Times New Roman"/>
          <w:sz w:val="24"/>
          <w:szCs w:val="24"/>
        </w:rPr>
      </w:pPr>
      <w:r w:rsidRPr="00C339C4">
        <w:rPr>
          <w:rFonts w:ascii="Times New Roman" w:hAnsi="Times New Roman" w:cs="Times New Roman"/>
          <w:sz w:val="24"/>
          <w:szCs w:val="24"/>
        </w:rPr>
        <w:t>With those trainees, he set up the first factory "</w:t>
      </w:r>
      <w:proofErr w:type="spellStart"/>
      <w:r w:rsidRPr="00C339C4">
        <w:rPr>
          <w:rFonts w:ascii="Times New Roman" w:hAnsi="Times New Roman" w:cs="Times New Roman"/>
          <w:sz w:val="24"/>
          <w:szCs w:val="24"/>
        </w:rPr>
        <w:t>Desh</w:t>
      </w:r>
      <w:proofErr w:type="spellEnd"/>
      <w:r w:rsidRPr="00C339C4">
        <w:rPr>
          <w:rFonts w:ascii="Times New Roman" w:hAnsi="Times New Roman" w:cs="Times New Roman"/>
          <w:sz w:val="24"/>
          <w:szCs w:val="24"/>
        </w:rPr>
        <w:t xml:space="preserve"> Garments</w:t>
      </w:r>
      <w:proofErr w:type="gramStart"/>
      <w:r w:rsidRPr="00C339C4">
        <w:rPr>
          <w:rFonts w:ascii="Times New Roman" w:hAnsi="Times New Roman" w:cs="Times New Roman"/>
          <w:sz w:val="24"/>
          <w:szCs w:val="24"/>
        </w:rPr>
        <w:t>"  to</w:t>
      </w:r>
      <w:proofErr w:type="gramEnd"/>
      <w:r w:rsidRPr="00C339C4">
        <w:rPr>
          <w:rFonts w:ascii="Times New Roman" w:hAnsi="Times New Roman" w:cs="Times New Roman"/>
          <w:sz w:val="24"/>
          <w:szCs w:val="24"/>
        </w:rPr>
        <w:t xml:space="preserve"> produce garments for export. At the same time, the late Akhter Mohammad Musa of Bond Garments, the late Mohammad </w:t>
      </w:r>
      <w:proofErr w:type="spellStart"/>
      <w:r w:rsidRPr="00C339C4">
        <w:rPr>
          <w:rFonts w:ascii="Times New Roman" w:hAnsi="Times New Roman" w:cs="Times New Roman"/>
          <w:sz w:val="24"/>
          <w:szCs w:val="24"/>
        </w:rPr>
        <w:t>Reazuddin</w:t>
      </w:r>
      <w:proofErr w:type="spellEnd"/>
      <w:r w:rsidRPr="00C339C4">
        <w:rPr>
          <w:rFonts w:ascii="Times New Roman" w:hAnsi="Times New Roman" w:cs="Times New Roman"/>
          <w:sz w:val="24"/>
          <w:szCs w:val="24"/>
        </w:rPr>
        <w:t xml:space="preserve"> of </w:t>
      </w:r>
      <w:proofErr w:type="spellStart"/>
      <w:r w:rsidRPr="00C339C4">
        <w:rPr>
          <w:rFonts w:ascii="Times New Roman" w:hAnsi="Times New Roman" w:cs="Times New Roman"/>
          <w:sz w:val="24"/>
          <w:szCs w:val="24"/>
        </w:rPr>
        <w:t>Reaz</w:t>
      </w:r>
      <w:proofErr w:type="spellEnd"/>
      <w:r w:rsidRPr="00C339C4">
        <w:rPr>
          <w:rFonts w:ascii="Times New Roman" w:hAnsi="Times New Roman" w:cs="Times New Roman"/>
          <w:sz w:val="24"/>
          <w:szCs w:val="24"/>
        </w:rPr>
        <w:t xml:space="preserve"> Garments, </w:t>
      </w:r>
      <w:proofErr w:type="spellStart"/>
      <w:r w:rsidRPr="00C339C4">
        <w:rPr>
          <w:rFonts w:ascii="Times New Roman" w:hAnsi="Times New Roman" w:cs="Times New Roman"/>
          <w:sz w:val="24"/>
          <w:szCs w:val="24"/>
        </w:rPr>
        <w:t>MdHumayun</w:t>
      </w:r>
      <w:proofErr w:type="spellEnd"/>
      <w:r w:rsidRPr="00C339C4">
        <w:rPr>
          <w:rFonts w:ascii="Times New Roman" w:hAnsi="Times New Roman" w:cs="Times New Roman"/>
          <w:sz w:val="24"/>
          <w:szCs w:val="24"/>
        </w:rPr>
        <w:t xml:space="preserve"> of Paris Garments, Engineer Mohammad </w:t>
      </w:r>
      <w:proofErr w:type="spellStart"/>
      <w:r w:rsidRPr="00C339C4">
        <w:rPr>
          <w:rFonts w:ascii="Times New Roman" w:hAnsi="Times New Roman" w:cs="Times New Roman"/>
          <w:sz w:val="24"/>
          <w:szCs w:val="24"/>
        </w:rPr>
        <w:t>Fazlul</w:t>
      </w:r>
      <w:proofErr w:type="spellEnd"/>
      <w:r w:rsidRPr="00C339C4">
        <w:rPr>
          <w:rFonts w:ascii="Times New Roman" w:hAnsi="Times New Roman" w:cs="Times New Roman"/>
          <w:sz w:val="24"/>
          <w:szCs w:val="24"/>
        </w:rPr>
        <w:t xml:space="preserve"> Azim of Azim Group, Major (</w:t>
      </w:r>
      <w:proofErr w:type="spellStart"/>
      <w:r w:rsidRPr="00C339C4">
        <w:rPr>
          <w:rFonts w:ascii="Times New Roman" w:hAnsi="Times New Roman" w:cs="Times New Roman"/>
          <w:sz w:val="24"/>
          <w:szCs w:val="24"/>
        </w:rPr>
        <w:t>Retd</w:t>
      </w:r>
      <w:proofErr w:type="spellEnd"/>
      <w:r w:rsidRPr="00C339C4">
        <w:rPr>
          <w:rFonts w:ascii="Times New Roman" w:hAnsi="Times New Roman" w:cs="Times New Roman"/>
          <w:sz w:val="24"/>
          <w:szCs w:val="24"/>
        </w:rPr>
        <w:t xml:space="preserve">) Abdul Mannan of Sunman Group, M </w:t>
      </w:r>
      <w:proofErr w:type="spellStart"/>
      <w:r w:rsidRPr="00C339C4">
        <w:rPr>
          <w:rFonts w:ascii="Times New Roman" w:hAnsi="Times New Roman" w:cs="Times New Roman"/>
          <w:sz w:val="24"/>
          <w:szCs w:val="24"/>
        </w:rPr>
        <w:t>Shamsur</w:t>
      </w:r>
      <w:proofErr w:type="spellEnd"/>
      <w:r w:rsidRPr="00C339C4">
        <w:rPr>
          <w:rFonts w:ascii="Times New Roman" w:hAnsi="Times New Roman" w:cs="Times New Roman"/>
          <w:sz w:val="24"/>
          <w:szCs w:val="24"/>
        </w:rPr>
        <w:t xml:space="preserve"> Rahman of </w:t>
      </w:r>
      <w:proofErr w:type="spellStart"/>
      <w:r w:rsidRPr="00C339C4">
        <w:rPr>
          <w:rFonts w:ascii="Times New Roman" w:hAnsi="Times New Roman" w:cs="Times New Roman"/>
          <w:sz w:val="24"/>
          <w:szCs w:val="24"/>
        </w:rPr>
        <w:t>Stylecraft</w:t>
      </w:r>
      <w:proofErr w:type="spellEnd"/>
      <w:r w:rsidRPr="00C339C4">
        <w:rPr>
          <w:rFonts w:ascii="Times New Roman" w:hAnsi="Times New Roman" w:cs="Times New Roman"/>
          <w:sz w:val="24"/>
          <w:szCs w:val="24"/>
        </w:rPr>
        <w:t xml:space="preserve"> Limited, the first President of BGMEA, AM </w:t>
      </w:r>
      <w:proofErr w:type="spellStart"/>
      <w:r w:rsidRPr="00C339C4">
        <w:rPr>
          <w:rFonts w:ascii="Times New Roman" w:hAnsi="Times New Roman" w:cs="Times New Roman"/>
          <w:sz w:val="24"/>
          <w:szCs w:val="24"/>
        </w:rPr>
        <w:t>Subid</w:t>
      </w:r>
      <w:proofErr w:type="spellEnd"/>
      <w:r w:rsidRPr="00C339C4">
        <w:rPr>
          <w:rFonts w:ascii="Times New Roman" w:hAnsi="Times New Roman" w:cs="Times New Roman"/>
          <w:sz w:val="24"/>
          <w:szCs w:val="24"/>
        </w:rPr>
        <w:t xml:space="preserve"> Ali of Aristocrat Limited also came forward and established some of the first garment factories in Bangladesh.</w:t>
      </w:r>
    </w:p>
    <w:p w14:paraId="3720C67B" w14:textId="77777777" w:rsidR="00453E29" w:rsidRDefault="00C339C4" w:rsidP="00C339C4">
      <w:pPr>
        <w:rPr>
          <w:rFonts w:ascii="Times New Roman" w:hAnsi="Times New Roman" w:cs="Times New Roman"/>
          <w:sz w:val="24"/>
          <w:szCs w:val="24"/>
        </w:rPr>
      </w:pPr>
      <w:r w:rsidRPr="00C339C4">
        <w:rPr>
          <w:rFonts w:ascii="Times New Roman" w:hAnsi="Times New Roman" w:cs="Times New Roman"/>
          <w:sz w:val="24"/>
          <w:szCs w:val="24"/>
        </w:rPr>
        <w:t xml:space="preserve">Following their footsteps, other prudent and hardworking entrepreneurs started RMG factories in the country. Since then, Bangladeshi garment industry did not need to look behind. Despite many difficulties faced by the sector over the past years, it has carved a niche in world </w:t>
      </w:r>
    </w:p>
    <w:p w14:paraId="3F5E885A" w14:textId="7F6B1E51" w:rsidR="00C339C4" w:rsidRPr="00C339C4" w:rsidRDefault="00453E29" w:rsidP="00C339C4">
      <w:pPr>
        <w:rPr>
          <w:rFonts w:ascii="Times New Roman" w:hAnsi="Times New Roman" w:cs="Times New Roman"/>
          <w:sz w:val="24"/>
          <w:szCs w:val="24"/>
        </w:rPr>
      </w:pPr>
      <w:r>
        <w:rPr>
          <w:rFonts w:ascii="Times New Roman" w:hAnsi="Times New Roman" w:cs="Times New Roman"/>
          <w:sz w:val="24"/>
          <w:szCs w:val="24"/>
        </w:rPr>
        <w:br w:type="column"/>
      </w:r>
      <w:r w:rsidR="00C339C4" w:rsidRPr="00C339C4">
        <w:rPr>
          <w:rFonts w:ascii="Times New Roman" w:hAnsi="Times New Roman" w:cs="Times New Roman"/>
          <w:sz w:val="24"/>
          <w:szCs w:val="24"/>
        </w:rPr>
        <w:t>market and kept continuing to show robust performance.</w:t>
      </w:r>
    </w:p>
    <w:p w14:paraId="28A1B399" w14:textId="77777777" w:rsidR="00C339C4" w:rsidRPr="00C339C4" w:rsidRDefault="00C339C4" w:rsidP="00C339C4">
      <w:pPr>
        <w:rPr>
          <w:rFonts w:ascii="Times New Roman" w:hAnsi="Times New Roman" w:cs="Times New Roman"/>
          <w:sz w:val="24"/>
          <w:szCs w:val="24"/>
        </w:rPr>
      </w:pPr>
      <w:r w:rsidRPr="00C339C4">
        <w:rPr>
          <w:rFonts w:ascii="Times New Roman" w:hAnsi="Times New Roman" w:cs="Times New Roman"/>
          <w:sz w:val="24"/>
          <w:szCs w:val="24"/>
        </w:rPr>
        <w:t>Since the early days, different sources of impetus have contributed to the development and maturity of the industry at various stages. We learned about child-labour in 1994, and successfully made the industry free from child labour in 1995.</w:t>
      </w:r>
    </w:p>
    <w:p w14:paraId="5E73B252" w14:textId="77777777" w:rsidR="00C339C4" w:rsidRPr="00C339C4" w:rsidRDefault="00C339C4" w:rsidP="00C339C4">
      <w:pPr>
        <w:rPr>
          <w:rFonts w:ascii="Times New Roman" w:hAnsi="Times New Roman" w:cs="Times New Roman"/>
          <w:sz w:val="24"/>
          <w:szCs w:val="24"/>
        </w:rPr>
      </w:pPr>
      <w:r w:rsidRPr="00C339C4">
        <w:rPr>
          <w:rFonts w:ascii="Times New Roman" w:hAnsi="Times New Roman" w:cs="Times New Roman"/>
          <w:sz w:val="24"/>
          <w:szCs w:val="24"/>
        </w:rPr>
        <w:t>The MFA-quota was a blessing to our industry to take root, gradually develop and mature. While the quota was approaching to an end in 2004, it was predicted by many that the phase-out would incur a massive upset in our export.</w:t>
      </w:r>
    </w:p>
    <w:p w14:paraId="0FDF82AA" w14:textId="0CA47DDE" w:rsidR="00453E29" w:rsidRPr="00C339C4" w:rsidRDefault="00C339C4" w:rsidP="00C339C4">
      <w:pPr>
        <w:rPr>
          <w:rFonts w:ascii="Times New Roman" w:hAnsi="Times New Roman" w:cs="Times New Roman"/>
          <w:sz w:val="24"/>
          <w:szCs w:val="24"/>
        </w:rPr>
      </w:pPr>
      <w:r w:rsidRPr="00C339C4">
        <w:rPr>
          <w:rFonts w:ascii="Times New Roman" w:hAnsi="Times New Roman" w:cs="Times New Roman"/>
          <w:sz w:val="24"/>
          <w:szCs w:val="24"/>
        </w:rPr>
        <w:t>However, the post-MFA era is another story of success. Proving all the predictions wrong, we conquered the post-MFA challenges. Now the apparel industry is Bangladesh's biggest export earner with value of over $27.9 billion of exports in 2019-20 financial year.</w:t>
      </w:r>
    </w:p>
    <w:p w14:paraId="7400BDFB" w14:textId="77777777" w:rsidR="00C339C4" w:rsidRDefault="00C339C4">
      <w:pPr>
        <w:sectPr w:rsidR="00C339C4" w:rsidSect="00C339C4">
          <w:type w:val="continuous"/>
          <w:pgSz w:w="12240" w:h="15840"/>
          <w:pgMar w:top="1440" w:right="1440" w:bottom="1440" w:left="1440" w:header="720" w:footer="720" w:gutter="0"/>
          <w:cols w:num="2" w:sep="1" w:space="720"/>
          <w:docGrid w:linePitch="360"/>
        </w:sectPr>
      </w:pPr>
    </w:p>
    <w:p w14:paraId="49E7E60E" w14:textId="6C5EC882" w:rsidR="0092729E" w:rsidRDefault="0092729E"/>
    <w:p w14:paraId="0B3F16D8" w14:textId="0E5C1A70" w:rsidR="00453E29" w:rsidRDefault="00453E29"/>
    <w:p w14:paraId="7E6EF67A" w14:textId="01F2A494" w:rsidR="00453E29" w:rsidRDefault="00453E29"/>
    <w:p w14:paraId="54A077CA" w14:textId="2B2058CD" w:rsidR="00453E29" w:rsidRDefault="00453E29"/>
    <w:p w14:paraId="12FB87D8" w14:textId="56971500" w:rsidR="00453E29" w:rsidRDefault="00453E29"/>
    <w:p w14:paraId="7D0D8F4B" w14:textId="0C3F187A" w:rsidR="00453E29" w:rsidRDefault="00453E29"/>
    <w:p w14:paraId="6B9AA6E8" w14:textId="27020107" w:rsidR="00453E29" w:rsidRDefault="00453E29"/>
    <w:p w14:paraId="025A5F81" w14:textId="73A5A6EE" w:rsidR="00683A7A" w:rsidRPr="00683A7A" w:rsidRDefault="00683A7A" w:rsidP="00683A7A">
      <w:pPr>
        <w:jc w:val="center"/>
        <w:rPr>
          <w:rFonts w:ascii="Times New Roman" w:eastAsiaTheme="minorEastAsia" w:hAnsi="Times New Roman" w:cs="Times New Roman"/>
          <w:color w:val="8064A2" w:themeColor="accent4"/>
          <w:sz w:val="40"/>
          <w:szCs w:val="40"/>
        </w:rPr>
      </w:pPr>
      <w:r w:rsidRPr="00683A7A">
        <w:rPr>
          <w:rFonts w:ascii="Times New Roman" w:eastAsiaTheme="minorEastAsia" w:hAnsi="Times New Roman" w:cs="Times New Roman"/>
          <w:color w:val="8064A2" w:themeColor="accent4"/>
          <w:sz w:val="40"/>
          <w:szCs w:val="40"/>
        </w:rPr>
        <w:lastRenderedPageBreak/>
        <w:t>Answer to the question no. 1(B</w:t>
      </w:r>
      <w:r>
        <w:rPr>
          <w:rFonts w:ascii="Times New Roman" w:eastAsiaTheme="minorEastAsia" w:hAnsi="Times New Roman" w:cs="Times New Roman"/>
          <w:color w:val="8064A2" w:themeColor="accent4"/>
          <w:sz w:val="40"/>
          <w:szCs w:val="40"/>
        </w:rPr>
        <w:t>)</w:t>
      </w:r>
    </w:p>
    <w:p w14:paraId="26F09235" w14:textId="77777777" w:rsidR="00683A7A" w:rsidRDefault="00683A7A">
      <w:pPr>
        <w:rPr>
          <w:rFonts w:eastAsiaTheme="minorEastAsia"/>
        </w:rPr>
      </w:pPr>
    </w:p>
    <w:p w14:paraId="12EE2F01" w14:textId="3501FBA9" w:rsidR="00453E29" w:rsidRPr="00683A7A" w:rsidRDefault="00453E29">
      <w:pPr>
        <w:rPr>
          <w:rFonts w:eastAsiaTheme="minorEastAsia"/>
        </w:rPr>
      </w:pPr>
      <m:oMathPara>
        <m:oMath>
          <m:nary>
            <m:naryPr>
              <m:subHide m:val="1"/>
              <m:supHide m:val="1"/>
              <m:ctrlPr>
                <w:rPr>
                  <w:rFonts w:ascii="Cambria Math" w:hAnsi="Cambria Math"/>
                  <w:i/>
                </w:rPr>
              </m:ctrlPr>
            </m:naryPr>
            <m:sub/>
            <m:sup/>
            <m:e/>
          </m:nary>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}\frac</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Y</m:t>
                  </m:r>
                </m:e>
              </m:d>
              <m:r>
                <w:rPr>
                  <w:rFonts w:ascii="Cambria Math" w:hAnsi="Cambria Math"/>
                </w:rPr>
                <m:t>\sin</m:t>
              </m:r>
              <m:sSup>
                <m:sSupPr>
                  <m:ctrlPr>
                    <w:rPr>
                      <w:rFonts w:ascii="Cambria Math" w:hAnsi="Cambria Math"/>
                      <w:i/>
                    </w:rPr>
                  </m:ctrlPr>
                </m:sSupPr>
                <m:e>
                  <m:r>
                    <w:rPr>
                      <w:rFonts w:ascii="Cambria Math" w:hAnsi="Cambria Math"/>
                    </w:rPr>
                    <m:t>h</m:t>
                  </m:r>
                </m:e>
                <m:sup>
                  <m:d>
                    <m:dPr>
                      <m:begChr m:val="{"/>
                      <m:endChr m:val="}"/>
                      <m:ctrlPr>
                        <w:rPr>
                          <w:rFonts w:ascii="Cambria Math" w:hAnsi="Cambria Math"/>
                          <w:i/>
                        </w:rPr>
                      </m:ctrlPr>
                    </m:dPr>
                    <m:e>
                      <m:r>
                        <w:rPr>
                          <w:rFonts w:ascii="Cambria Math" w:hAnsi="Cambria Math"/>
                        </w:rPr>
                        <m:t>-1</m:t>
                      </m:r>
                    </m:e>
                  </m:d>
                </m:sup>
              </m:sSup>
            </m:e>
          </m:rad>
          <m:r>
            <w:rPr>
              <w:rFonts w:ascii="Cambria Math" w:hAnsi="Cambria Math"/>
            </w:rPr>
            <m:t>*</m:t>
          </m:r>
          <m:r>
            <m:rPr>
              <m:lit/>
            </m:rPr>
            <w:rPr>
              <w:rFonts w:ascii="Cambria Math" w:hAnsi="Cambria Math"/>
            </w:rPr>
            <m:t>,</m:t>
          </m:r>
          <m:r>
            <w:rPr>
              <w:rFonts w:ascii="Cambria Math" w:hAnsi="Cambria Math"/>
            </w:rPr>
            <m:t>dx}{</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-iωt</m:t>
                          </m:r>
                        </m:e>
                      </m:d>
                    </m:sup>
                  </m:sSup>
                </m:e>
              </m:d>
            </m:e>
          </m:rad>
          <m:r>
            <w:rPr>
              <w:rFonts w:ascii="Cambria Math" w:hAnsi="Cambria Math"/>
            </w:rPr>
            <m:t>}}</m:t>
          </m:r>
        </m:oMath>
      </m:oMathPara>
    </w:p>
    <w:p w14:paraId="0D9FE918" w14:textId="77777777" w:rsidR="00683A7A" w:rsidRPr="00683A7A" w:rsidRDefault="00683A7A">
      <w:pPr>
        <w:rPr>
          <w:rFonts w:eastAsiaTheme="minorEastAsia"/>
        </w:rPr>
      </w:pPr>
    </w:p>
    <w:p w14:paraId="30104052" w14:textId="259FE154" w:rsidR="00683A7A" w:rsidRPr="00683A7A" w:rsidRDefault="00683A7A" w:rsidP="00683A7A">
      <w:pPr>
        <w:jc w:val="center"/>
        <w:rPr>
          <w:rFonts w:ascii="Times New Roman" w:eastAsiaTheme="minorEastAsia" w:hAnsi="Times New Roman" w:cs="Times New Roman"/>
          <w:color w:val="8064A2" w:themeColor="accent4"/>
          <w:sz w:val="40"/>
          <w:szCs w:val="40"/>
        </w:rPr>
      </w:pPr>
      <w:r w:rsidRPr="00683A7A">
        <w:rPr>
          <w:rFonts w:ascii="Times New Roman" w:eastAsiaTheme="minorEastAsia" w:hAnsi="Times New Roman" w:cs="Times New Roman"/>
          <w:color w:val="8064A2" w:themeColor="accent4"/>
          <w:sz w:val="40"/>
          <w:szCs w:val="40"/>
        </w:rPr>
        <w:t>Answer to the question no. 1(</w:t>
      </w:r>
      <w:r w:rsidR="006228D8">
        <w:rPr>
          <w:rFonts w:ascii="Times New Roman" w:eastAsiaTheme="minorEastAsia" w:hAnsi="Times New Roman" w:cs="Times New Roman"/>
          <w:color w:val="8064A2" w:themeColor="accent4"/>
          <w:sz w:val="40"/>
          <w:szCs w:val="40"/>
        </w:rPr>
        <w:t>B</w:t>
      </w:r>
      <w:r w:rsidRPr="00683A7A">
        <w:rPr>
          <w:rFonts w:ascii="Times New Roman" w:eastAsiaTheme="minorEastAsia" w:hAnsi="Times New Roman" w:cs="Times New Roman"/>
          <w:color w:val="8064A2" w:themeColor="accent4"/>
          <w:sz w:val="40"/>
          <w:szCs w:val="40"/>
        </w:rPr>
        <w:t>)</w:t>
      </w:r>
    </w:p>
    <w:p w14:paraId="1FF44C90" w14:textId="7A29E55C" w:rsidR="00453E29" w:rsidRDefault="00453E29"/>
    <w:p w14:paraId="3450EB57" w14:textId="1F613842" w:rsidR="00453E29" w:rsidRDefault="00453E29"/>
    <w:p w14:paraId="6FB7F2AC" w14:textId="584FB79B" w:rsidR="00453E29" w:rsidRDefault="00683A7A">
      <w:r>
        <w:rPr>
          <w:noProof/>
        </w:rPr>
        <w:drawing>
          <wp:inline distT="0" distB="0" distL="0" distR="0" wp14:anchorId="05438FAD" wp14:editId="467809D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67FC53" w14:textId="4C21507F" w:rsidR="00453E29" w:rsidRDefault="00453E29"/>
    <w:p w14:paraId="351A0156" w14:textId="28725DB6" w:rsidR="006228D8" w:rsidRPr="006228D8" w:rsidRDefault="006228D8" w:rsidP="006228D8">
      <w:pPr>
        <w:jc w:val="center"/>
        <w:rPr>
          <w:rFonts w:ascii="Times New Roman" w:hAnsi="Times New Roman" w:cs="Times New Roman"/>
          <w:color w:val="8064A2" w:themeColor="accent4"/>
          <w:sz w:val="40"/>
          <w:szCs w:val="40"/>
        </w:rPr>
      </w:pPr>
      <w:r w:rsidRPr="006228D8">
        <w:rPr>
          <w:rFonts w:ascii="Times New Roman" w:hAnsi="Times New Roman" w:cs="Times New Roman"/>
          <w:color w:val="8064A2" w:themeColor="accent4"/>
          <w:sz w:val="40"/>
          <w:szCs w:val="40"/>
        </w:rPr>
        <w:t>Answer to the question no. 1(C</w:t>
      </w:r>
      <w:r>
        <w:rPr>
          <w:rFonts w:ascii="Times New Roman" w:hAnsi="Times New Roman" w:cs="Times New Roman"/>
          <w:color w:val="8064A2" w:themeColor="accent4"/>
          <w:sz w:val="40"/>
          <w:szCs w:val="40"/>
        </w:rPr>
        <w:t>.1</w:t>
      </w:r>
      <w:r w:rsidRPr="006228D8">
        <w:rPr>
          <w:rFonts w:ascii="Times New Roman" w:hAnsi="Times New Roman" w:cs="Times New Roman"/>
          <w:color w:val="8064A2" w:themeColor="accent4"/>
          <w:sz w:val="40"/>
          <w:szCs w:val="40"/>
        </w:rPr>
        <w:t>)</w:t>
      </w:r>
      <w:bookmarkStart w:id="0" w:name="_GoBack"/>
      <w:bookmarkEnd w:id="0"/>
    </w:p>
    <w:p w14:paraId="6AA3EF07" w14:textId="77777777" w:rsidR="00453E29" w:rsidRDefault="00453E29"/>
    <w:sectPr w:rsidR="00453E29" w:rsidSect="00C339C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1F"/>
    <w:rsid w:val="002726B7"/>
    <w:rsid w:val="002A5485"/>
    <w:rsid w:val="00453E29"/>
    <w:rsid w:val="006228D8"/>
    <w:rsid w:val="00683A7A"/>
    <w:rsid w:val="00707F1F"/>
    <w:rsid w:val="0092729E"/>
    <w:rsid w:val="00BE68F5"/>
    <w:rsid w:val="00C3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2E93"/>
  <w15:chartTrackingRefBased/>
  <w15:docId w15:val="{FD3A3D1A-02C7-4EED-A52B-FCE48471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E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Bar</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Sheet1!$B$2:$B$6</c:f>
              <c:numCache>
                <c:formatCode>0%</c:formatCode>
                <c:ptCount val="5"/>
                <c:pt idx="0">
                  <c:v>0.17</c:v>
                </c:pt>
                <c:pt idx="1">
                  <c:v>0.06</c:v>
                </c:pt>
                <c:pt idx="2">
                  <c:v>0.08</c:v>
                </c:pt>
                <c:pt idx="3">
                  <c:v>0.37</c:v>
                </c:pt>
                <c:pt idx="4">
                  <c:v>0.31</c:v>
                </c:pt>
              </c:numCache>
            </c:numRef>
          </c:val>
          <c:extLst>
            <c:ext xmlns:c16="http://schemas.microsoft.com/office/drawing/2014/chart" uri="{C3380CC4-5D6E-409C-BE32-E72D297353CC}">
              <c16:uniqueId val="{00000000-7B86-4167-9C65-37BCB38CE1F2}"/>
            </c:ext>
          </c:extLst>
        </c:ser>
        <c:ser>
          <c:idx val="1"/>
          <c:order val="1"/>
          <c:tx>
            <c:strRef>
              <c:f>Sheet1!$C$1</c:f>
              <c:strCache>
                <c:ptCount val="1"/>
                <c:pt idx="0">
                  <c:v>Series 2</c:v>
                </c:pt>
              </c:strCache>
            </c:strRef>
          </c:tx>
          <c:spPr>
            <a:solidFill>
              <a:schemeClr val="accent2"/>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Sheet1!$C$2:$C$6</c:f>
              <c:numCache>
                <c:formatCode>0%</c:formatCode>
                <c:ptCount val="5"/>
                <c:pt idx="0">
                  <c:v>0.1</c:v>
                </c:pt>
                <c:pt idx="1">
                  <c:v>0.06</c:v>
                </c:pt>
                <c:pt idx="2">
                  <c:v>0.14000000000000001</c:v>
                </c:pt>
                <c:pt idx="3">
                  <c:v>0.26</c:v>
                </c:pt>
                <c:pt idx="4">
                  <c:v>0.45</c:v>
                </c:pt>
              </c:numCache>
            </c:numRef>
          </c:val>
          <c:extLst>
            <c:ext xmlns:c16="http://schemas.microsoft.com/office/drawing/2014/chart" uri="{C3380CC4-5D6E-409C-BE32-E72D297353CC}">
              <c16:uniqueId val="{00000001-7B86-4167-9C65-37BCB38CE1F2}"/>
            </c:ext>
          </c:extLst>
        </c:ser>
        <c:ser>
          <c:idx val="2"/>
          <c:order val="2"/>
          <c:tx>
            <c:strRef>
              <c:f>Sheet1!$D$1</c:f>
              <c:strCache>
                <c:ptCount val="1"/>
                <c:pt idx="0">
                  <c:v>Series 3</c:v>
                </c:pt>
              </c:strCache>
            </c:strRef>
          </c:tx>
          <c:spPr>
            <a:solidFill>
              <a:schemeClr val="accent3"/>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Sheet1!$D$2:$D$6</c:f>
              <c:numCache>
                <c:formatCode>0%</c:formatCode>
                <c:ptCount val="5"/>
                <c:pt idx="0">
                  <c:v>0.17</c:v>
                </c:pt>
                <c:pt idx="1">
                  <c:v>0.05</c:v>
                </c:pt>
                <c:pt idx="2">
                  <c:v>0.1</c:v>
                </c:pt>
                <c:pt idx="3">
                  <c:v>0.3</c:v>
                </c:pt>
                <c:pt idx="4">
                  <c:v>0.38</c:v>
                </c:pt>
              </c:numCache>
            </c:numRef>
          </c:val>
          <c:extLst>
            <c:ext xmlns:c16="http://schemas.microsoft.com/office/drawing/2014/chart" uri="{C3380CC4-5D6E-409C-BE32-E72D297353CC}">
              <c16:uniqueId val="{00000002-7B86-4167-9C65-37BCB38CE1F2}"/>
            </c:ext>
          </c:extLst>
        </c:ser>
        <c:ser>
          <c:idx val="3"/>
          <c:order val="3"/>
          <c:tx>
            <c:strRef>
              <c:f>Sheet1!$E$1</c:f>
              <c:strCache>
                <c:ptCount val="1"/>
                <c:pt idx="0">
                  <c:v>Series 4</c:v>
                </c:pt>
              </c:strCache>
            </c:strRef>
          </c:tx>
          <c:spPr>
            <a:solidFill>
              <a:schemeClr val="accent4"/>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Sheet1!$E$2:$E$6</c:f>
              <c:numCache>
                <c:formatCode>0%</c:formatCode>
                <c:ptCount val="5"/>
                <c:pt idx="0">
                  <c:v>0.23</c:v>
                </c:pt>
                <c:pt idx="1">
                  <c:v>0.06</c:v>
                </c:pt>
                <c:pt idx="2">
                  <c:v>7.0000000000000007E-2</c:v>
                </c:pt>
                <c:pt idx="3">
                  <c:v>0.38</c:v>
                </c:pt>
                <c:pt idx="4">
                  <c:v>0.27</c:v>
                </c:pt>
              </c:numCache>
            </c:numRef>
          </c:val>
          <c:extLst>
            <c:ext xmlns:c16="http://schemas.microsoft.com/office/drawing/2014/chart" uri="{C3380CC4-5D6E-409C-BE32-E72D297353CC}">
              <c16:uniqueId val="{00000003-7B86-4167-9C65-37BCB38CE1F2}"/>
            </c:ext>
          </c:extLst>
        </c:ser>
        <c:ser>
          <c:idx val="4"/>
          <c:order val="4"/>
          <c:tx>
            <c:strRef>
              <c:f>Sheet1!$F$1</c:f>
              <c:strCache>
                <c:ptCount val="1"/>
                <c:pt idx="0">
                  <c:v>Series 5</c:v>
                </c:pt>
              </c:strCache>
            </c:strRef>
          </c:tx>
          <c:spPr>
            <a:solidFill>
              <a:schemeClr val="accent5"/>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Sheet1!$F$2:$F$6</c:f>
              <c:numCache>
                <c:formatCode>0%</c:formatCode>
                <c:ptCount val="5"/>
                <c:pt idx="0">
                  <c:v>0.31</c:v>
                </c:pt>
                <c:pt idx="1">
                  <c:v>7.0000000000000007E-2</c:v>
                </c:pt>
                <c:pt idx="2">
                  <c:v>0.19</c:v>
                </c:pt>
                <c:pt idx="3">
                  <c:v>0.16</c:v>
                </c:pt>
                <c:pt idx="4">
                  <c:v>0.27</c:v>
                </c:pt>
              </c:numCache>
            </c:numRef>
          </c:val>
          <c:extLst>
            <c:ext xmlns:c16="http://schemas.microsoft.com/office/drawing/2014/chart" uri="{C3380CC4-5D6E-409C-BE32-E72D297353CC}">
              <c16:uniqueId val="{00000004-7B86-4167-9C65-37BCB38CE1F2}"/>
            </c:ext>
          </c:extLst>
        </c:ser>
        <c:ser>
          <c:idx val="5"/>
          <c:order val="5"/>
          <c:tx>
            <c:strRef>
              <c:f>Sheet1!$G$1</c:f>
              <c:strCache>
                <c:ptCount val="1"/>
                <c:pt idx="0">
                  <c:v>Series 6</c:v>
                </c:pt>
              </c:strCache>
            </c:strRef>
          </c:tx>
          <c:spPr>
            <a:solidFill>
              <a:schemeClr val="accent6"/>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Sheet1!$G$2:$G$6</c:f>
              <c:numCache>
                <c:formatCode>0%</c:formatCode>
                <c:ptCount val="5"/>
                <c:pt idx="0">
                  <c:v>0.18</c:v>
                </c:pt>
                <c:pt idx="1">
                  <c:v>7.0000000000000007E-2</c:v>
                </c:pt>
                <c:pt idx="2">
                  <c:v>0.08</c:v>
                </c:pt>
                <c:pt idx="3">
                  <c:v>0.33</c:v>
                </c:pt>
                <c:pt idx="4">
                  <c:v>0.33</c:v>
                </c:pt>
              </c:numCache>
            </c:numRef>
          </c:val>
          <c:extLst>
            <c:ext xmlns:c16="http://schemas.microsoft.com/office/drawing/2014/chart" uri="{C3380CC4-5D6E-409C-BE32-E72D297353CC}">
              <c16:uniqueId val="{00000005-7B86-4167-9C65-37BCB38CE1F2}"/>
            </c:ext>
          </c:extLst>
        </c:ser>
        <c:ser>
          <c:idx val="6"/>
          <c:order val="6"/>
          <c:tx>
            <c:strRef>
              <c:f>Sheet1!$H$1</c:f>
              <c:strCache>
                <c:ptCount val="1"/>
                <c:pt idx="0">
                  <c:v>Series 7</c:v>
                </c:pt>
              </c:strCache>
            </c:strRef>
          </c:tx>
          <c:spPr>
            <a:solidFill>
              <a:schemeClr val="accent1">
                <a:lumMod val="60000"/>
              </a:schemeClr>
            </a:solidFill>
            <a:ln>
              <a:noFill/>
            </a:ln>
            <a:effectLst/>
          </c:spPr>
          <c:invertIfNegative val="0"/>
          <c:cat>
            <c:strRef>
              <c:f>Sheet1!$A$2:$A$6</c:f>
              <c:strCache>
                <c:ptCount val="5"/>
                <c:pt idx="0">
                  <c:v>Reborn KID(%)</c:v>
                </c:pt>
                <c:pt idx="1">
                  <c:v>Bucket Slope(%)</c:v>
                </c:pt>
                <c:pt idx="2">
                  <c:v>Tank Picture(%)</c:v>
                </c:pt>
                <c:pt idx="3">
                  <c:v>Striking Calf(%)</c:v>
                </c:pt>
                <c:pt idx="4">
                  <c:v>Marine Sprite(%)</c:v>
                </c:pt>
              </c:strCache>
            </c:strRef>
          </c:cat>
          <c:val>
            <c:numRef>
              <c:f>Sheet1!$H$2:$H$6</c:f>
              <c:numCache>
                <c:formatCode>0%</c:formatCode>
                <c:ptCount val="5"/>
                <c:pt idx="0">
                  <c:v>0.11</c:v>
                </c:pt>
                <c:pt idx="1">
                  <c:v>0.05</c:v>
                </c:pt>
                <c:pt idx="2">
                  <c:v>0.23</c:v>
                </c:pt>
                <c:pt idx="3">
                  <c:v>0.37</c:v>
                </c:pt>
                <c:pt idx="4">
                  <c:v>0.24</c:v>
                </c:pt>
              </c:numCache>
            </c:numRef>
          </c:val>
          <c:extLst>
            <c:ext xmlns:c16="http://schemas.microsoft.com/office/drawing/2014/chart" uri="{C3380CC4-5D6E-409C-BE32-E72D297353CC}">
              <c16:uniqueId val="{00000006-7B86-4167-9C65-37BCB38CE1F2}"/>
            </c:ext>
          </c:extLst>
        </c:ser>
        <c:dLbls>
          <c:showLegendKey val="0"/>
          <c:showVal val="0"/>
          <c:showCatName val="0"/>
          <c:showSerName val="0"/>
          <c:showPercent val="0"/>
          <c:showBubbleSize val="0"/>
        </c:dLbls>
        <c:gapWidth val="182"/>
        <c:axId val="1141631727"/>
        <c:axId val="1038073295"/>
      </c:barChart>
      <c:catAx>
        <c:axId val="11416317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073295"/>
        <c:crosses val="autoZero"/>
        <c:auto val="1"/>
        <c:lblAlgn val="ctr"/>
        <c:lblOffset val="100"/>
        <c:noMultiLvlLbl val="0"/>
      </c:catAx>
      <c:valAx>
        <c:axId val="103807329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631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 Lab</dc:creator>
  <cp:keywords/>
  <dc:description/>
  <cp:lastModifiedBy>Networking Lab</cp:lastModifiedBy>
  <cp:revision>2</cp:revision>
  <dcterms:created xsi:type="dcterms:W3CDTF">2025-01-30T11:10:00Z</dcterms:created>
  <dcterms:modified xsi:type="dcterms:W3CDTF">2025-01-30T11:10:00Z</dcterms:modified>
</cp:coreProperties>
</file>