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TMCSA</w:t>
      </w:r>
    </w:p>
    <w:p>
      <w:pPr>
        <w:spacing w:after="480" w:before="0"/>
        <w:jc w:val="center"/>
      </w:pPr>
      <w:r>
        <w:rPr>
          <w:rFonts w:ascii="Arial" w:cs="Arial" w:eastAsia="Arial" w:hAnsi="Arial"/>
          <w:i/>
          <w:iCs/>
          <w:color w:val="2E75B6"/>
          <w:sz w:val="28"/>
          <w:szCs w:val="28"/>
        </w:rPr>
        <w:t xml:space="preserve">Teoría de la Membrana Constitutiva en Sistemas Abiertos</w:t>
      </w:r>
    </w:p>
    <w:p>
      <w:pPr>
        <w:spacing w:after="80" w:before="0"/>
        <w:jc w:val="center"/>
      </w:pPr>
      <w:r>
        <w:rPr>
          <w:rFonts w:ascii="Arial" w:cs="Arial" w:eastAsia="Arial" w:hAnsi="Arial"/>
          <w:b/>
          <w:bCs/>
          <w:color w:val="1F4E79"/>
          <w:sz w:val="36"/>
          <w:szCs w:val="36"/>
        </w:rPr>
        <w:t xml:space="preserve">Extensión de Régimen B — Búsqueda de Candidatos</w:t>
      </w:r>
    </w:p>
    <w:p>
      <w:pPr>
        <w:spacing w:after="80" w:before="0"/>
        <w:jc w:val="center"/>
      </w:pPr>
      <w:r>
        <w:rPr>
          <w:rFonts w:ascii="Arial" w:cs="Arial" w:eastAsia="Arial" w:hAnsi="Arial"/>
          <w:i/>
          <w:iCs/>
          <w:color w:val="2E75B6"/>
          <w:sz w:val="24"/>
          <w:szCs w:val="24"/>
        </w:rPr>
        <w:t xml:space="preserve">Tres candidatos descartados, da Silva/Reinke como fuente maestra, calibración exploratoria del tuátara (Nivel 3)</w:t>
      </w:r>
    </w:p>
    <w:p>
      <w:pPr>
        <w:spacing w:after="80" w:before="0"/>
        <w:jc w:val="center"/>
      </w:pPr>
      <w:r>
        <w:rPr>
          <w:rFonts w:ascii="Arial" w:cs="Arial" w:eastAsia="Arial" w:hAnsi="Arial"/>
          <w:color w:val="595959"/>
          <w:sz w:val="22"/>
          <w:szCs w:val="22"/>
        </w:rPr>
        <w:t xml:space="preserve">v6 — julio 2026</w:t>
      </w:r>
    </w:p>
    <w:p>
      <w:pPr>
        <w:spacing w:after="480" w:before="0"/>
        <w:jc w:val="center"/>
      </w:pPr>
      <w:r>
        <w:rPr>
          <w:rFonts w:ascii="Arial" w:cs="Arial" w:eastAsia="Arial" w:hAnsi="Arial"/>
          <w:color w:val="595959"/>
          <w:sz w:val="22"/>
          <w:szCs w:val="22"/>
        </w:rPr>
        <w:t xml:space="preserve">Isrrael Villablanca Fuentes — colaboración técnica de Claude (Anthropic)</w:t>
      </w:r>
    </w:p>
    <w:p>
      <w:pPr>
        <w:spacing w:after="80" w:before="0"/>
        <w:jc w:val="center"/>
      </w:pPr>
      <w:r>
        <w:rPr>
          <w:rFonts w:ascii="Arial" w:cs="Arial" w:eastAsia="Arial" w:hAnsi="Arial"/>
          <w:i/>
          <w:iCs/>
          <w:color w:val="595959"/>
          <w:sz w:val="18"/>
          <w:szCs w:val="18"/>
        </w:rPr>
        <w:t xml:space="preserve">Línea 4 de Consensus (extensión de régimen B con nuevas especies). Documento individual, base para el Artículo 2.</w:t>
      </w:r>
    </w:p>
    <w:p>
      <w:pPr>
        <w:pStyle w:val="Heading1"/>
        <w:pageBreakBefore/>
        <w:spacing w:after="120" w:before="320"/>
      </w:pPr>
      <w:r>
        <w:rPr>
          <w:rFonts w:ascii="Arial" w:cs="Arial" w:eastAsia="Arial" w:hAnsi="Arial"/>
          <w:b/>
          <w:bCs/>
          <w:color w:val="1F4E79"/>
          <w:sz w:val="40"/>
          <w:szCs w:val="40"/>
        </w:rPr>
        <w:t xml:space="preserve">1 — Candidatos originales propuestos y su descarte</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526"/>
      </w:tblGrid>
      <w:tr>
        <w:tc>
          <w:tcPr>
            <w:tcW w:type="dxa" w:w="20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Especie</w:t>
            </w:r>
          </w:p>
        </w:tc>
        <w:tc>
          <w:tcPr>
            <w:tcW w:type="dxa" w:w="16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Resultado</w:t>
            </w:r>
          </w:p>
        </w:tc>
        <w:tc>
          <w:tcPr>
            <w:tcW w:type="dxa" w:w="5526"/>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Razón</w:t>
            </w:r>
          </w:p>
        </w:tc>
      </w:tr>
      <w:tr>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Astyanax mexicanus</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Descartada</w:t>
            </w:r>
          </w:p>
        </w:tc>
        <w:tc>
          <w:tcPr>
            <w:tcW w:type="dxa" w:w="55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La revisión más reciente (Frontiers, 2022) declara explícitamente: "reliable information on the potential lifespan of this species is missing". Sin longevidad máxima confiable ni curva de mortalidad publicada.</w:t>
            </w:r>
          </w:p>
        </w:tc>
      </w:tr>
      <w:tr>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Orconectes virilis</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Descartada</w:t>
            </w:r>
          </w:p>
        </w:tc>
        <w:tc>
          <w:tcPr>
            <w:tcW w:type="dxa" w:w="55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Longevidad máxima real documentada: 3 años. No es de senescencia negligible. Probable confusión con Orconectes australis (cangrejo de cueva), cuyo récord reportado de &gt;176 años fue desacreditado por Venarsky et al. (2012, Freshwater Biology) — el método de tamaño-por-edad usado sobreestimaba la edad.</w:t>
            </w:r>
          </w:p>
        </w:tc>
      </w:tr>
      <w:tr>
        <w:tc>
          <w:tcPr>
            <w:tcW w:type="dxa" w:w="20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Chrysemys picta</w:t>
            </w:r>
          </w:p>
        </w:tc>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Descartada</w:t>
            </w:r>
          </w:p>
        </w:tc>
        <w:tc>
          <w:tcPr>
            <w:tcW w:type="dxa" w:w="55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Un estudio antiguo (Congdon et al. 2003) sugería senescencia negligible hasta 61 años. Un estudio posterior, más grande y riguroso (Warner, Miller, Bronikowski, Janzen 2016, PNAS, &gt;20 años de datos, &gt;1000 individuos silvestres) encontró senescencia real — mortalidad y reproducción declinan con la edad. El estudio más reciente y de mayor escala prevalece.</w:t>
            </w:r>
          </w:p>
        </w:tc>
      </w:tr>
    </w:tbl>
    <w:p>
      <w:pPr>
        <w:pStyle w:val="Heading1"/>
        <w:pageBreakBefore/>
        <w:spacing w:after="120" w:before="320"/>
      </w:pPr>
      <w:r>
        <w:rPr>
          <w:rFonts w:ascii="Arial" w:cs="Arial" w:eastAsia="Arial" w:hAnsi="Arial"/>
          <w:b/>
          <w:bCs/>
          <w:color w:val="1F4E79"/>
          <w:sz w:val="40"/>
          <w:szCs w:val="40"/>
        </w:rPr>
        <w:t xml:space="preserve">2 — Candidato con ventaja natural: Emydoidea blandingii</w:t>
      </w:r>
    </w:p>
    <w:p>
      <w:pPr>
        <w:spacing w:after="120" w:before="0" w:line="360" w:lineRule="auto"/>
        <w:jc w:val="both"/>
      </w:pPr>
      <w:r>
        <w:rPr>
          <w:rFonts w:ascii="Arial" w:cs="Arial" w:eastAsia="Arial" w:hAnsi="Arial"/>
          <w:b w:val="false"/>
          <w:bCs w:val="false"/>
          <w:i w:val="false"/>
          <w:iCs w:val="false"/>
          <w:color w:val="000000"/>
          <w:sz w:val="22"/>
          <w:szCs w:val="22"/>
        </w:rPr>
        <w:t xml:space="preserve">Propuesto por estar ya citado en Kogan et al. (2015), referencia usada en el Artículo 1.</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326"/>
      </w:tblGrid>
      <w:tr>
        <w:tc>
          <w:tcPr>
            <w:tcW w:type="dxa" w:w="26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Dato</w:t>
            </w:r>
          </w:p>
        </w:tc>
        <w:tc>
          <w:tcPr>
            <w:tcW w:type="dxa" w:w="42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Valor</w:t>
            </w:r>
          </w:p>
        </w:tc>
        <w:tc>
          <w:tcPr>
            <w:tcW w:type="dxa" w:w="2326"/>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Fuente</w:t>
            </w:r>
          </w:p>
        </w:tc>
      </w:tr>
      <w:tr>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Longevidad máxima</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&gt;75-80 años</w:t>
            </w:r>
          </w:p>
        </w:tc>
        <w:tc>
          <w:tcPr>
            <w:tcW w:type="dxa" w:w="2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Congdon et al. (2001), 35 años de estudio de campo, E.S. George Reserve, Michigan</w:t>
            </w:r>
          </w:p>
        </w:tc>
      </w:tr>
      <w:tr>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Patrón de mortalidad</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Sin incremento con la edad; en cautiverio incluso mortalidad decreciente y fertilidad creciente (senescencia negativa)</w:t>
            </w:r>
          </w:p>
        </w:tc>
        <w:tc>
          <w:tcPr>
            <w:tcW w:type="dxa" w:w="2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Congdon et al. (2001) — misma fuente primaria citada por Kogan et al. 2015</w:t>
            </w:r>
          </w:p>
        </w:tc>
      </w:tr>
      <w:tr>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Renovación celular / aclaramiento SC</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No disponible</w:t>
            </w:r>
          </w:p>
        </w:tc>
        <w:tc>
          <w:tcPr>
            <w:tcW w:type="dxa" w:w="2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w:t>
            </w:r>
          </w:p>
        </w:tc>
      </w:tr>
    </w:tbl>
    <w:p>
      <w:pPr>
        <w:pBdr>
          <w:left w:val="single" w:color="7A6000" w:sz="18" w:space="8"/>
        </w:pBdr>
        <w:shd w:fill="FFF3CD" w:val="clear"/>
        <w:spacing w:after="120" w:before="80"/>
        <w:ind w:left="480" w:right="480"/>
      </w:pPr>
      <w:r>
        <w:rPr>
          <w:rFonts w:ascii="Arial" w:cs="Arial" w:eastAsia="Arial" w:hAnsi="Arial"/>
          <w:i/>
          <w:iCs/>
          <w:color w:val="7A6000"/>
          <w:sz w:val="18"/>
          <w:szCs w:val="18"/>
        </w:rPr>
        <w:t xml:space="preserve">PENDIENTE DE VERIFICAR — se encontró un fragmento de una síntesis más reciente sobre varios géneros de Emydidae (Clemmys, Emydoidea, Emys, Glyptemys, Terrapene) que menciona "mortality patterns followed the Gompertz Law, increasing exponentially with age". No fue posible confirmar con certeza, a partir de fragmentos de búsqueda, si esa frase se refiere específicamente a Emydoidea o a otro género del mismo estudio comparativo. A diferencia de Chrysemys picta, no se encontró un estudio grande y reciente que específicamente desmienta la senescencia negligible en Emydoidea — pero la ambigüedad no está resuelta. Revisar la fuente completa antes de calibrar esta especie.</w:t>
      </w:r>
    </w:p>
    <w:p>
      <w:pPr>
        <w:pStyle w:val="Heading1"/>
        <w:pageBreakBefore/>
        <w:spacing w:after="120" w:before="320"/>
      </w:pPr>
      <w:r>
        <w:rPr>
          <w:rFonts w:ascii="Arial" w:cs="Arial" w:eastAsia="Arial" w:hAnsi="Arial"/>
          <w:b/>
          <w:bCs/>
          <w:color w:val="1F4E79"/>
          <w:sz w:val="40"/>
          <w:szCs w:val="40"/>
        </w:rPr>
        <w:t xml:space="preserve">3 — Fuente maestra: da Silva et al. (2022) y Reinke et al. (2022), Science</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726"/>
      </w:tblGrid>
      <w:tr>
        <w:tc>
          <w:tcPr>
            <w:tcW w:type="dxa" w:w="32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Estudio</w:t>
            </w:r>
          </w:p>
        </w:tc>
        <w:tc>
          <w:tcPr>
            <w:tcW w:type="dxa" w:w="32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Alcance</w:t>
            </w:r>
          </w:p>
        </w:tc>
        <w:tc>
          <w:tcPr>
            <w:tcW w:type="dxa" w:w="2726"/>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Hallazgo agregado</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da Silva, Conde, Baudisch, Colchero (2022)</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52 especies de tortugas/galápagos en zoológicos y acuarios (datos Species360/ZIMS)</w:t>
            </w:r>
          </w:p>
        </w:tc>
        <w:tc>
          <w:tcPr>
            <w:tcW w:type="dxa" w:w="27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~75% de las especies muestran senescencia lenta o negligible. 74.5% de hembras y 79.5% de machos tienen intervalo de confianza de la tasa de envejecimiento que incluye el cero.</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Reinke, Cayuela, Janzen et al. (2022)</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107 poblaciones de 77 especies de reptiles y anfibios SILVESTRES (no cautivos)</w:t>
            </w:r>
          </w:p>
        </w:tc>
        <w:tc>
          <w:tcPr>
            <w:tcW w:type="dxa" w:w="27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Amplia variación en tasas de envejecimiento; varias especies con tasa de Gompertz indistinguible de cero en poblaciones silvestres reales, no solo en cautiverio.</w:t>
            </w:r>
          </w:p>
        </w:tc>
      </w:tr>
    </w:tbl>
    <w:p>
      <w:pPr>
        <w:spacing w:after="120" w:before="0" w:line="360" w:lineRule="auto"/>
        <w:jc w:val="both"/>
      </w:pPr>
      <w:r>
        <w:rPr>
          <w:rFonts w:ascii="Arial" w:cs="Arial" w:eastAsia="Arial" w:hAnsi="Arial"/>
          <w:b w:val="false"/>
          <w:bCs w:val="false"/>
          <w:i w:val="false"/>
          <w:iCs w:val="false"/>
          <w:color w:val="000000"/>
          <w:sz w:val="22"/>
          <w:szCs w:val="22"/>
        </w:rPr>
        <w:t xml:space="preserve">Ambos estudios reportan la tasa de envejecimiento como la pendiente del término de Gompertz (b1) — cuanto más cercana a cero, más se acerca la especie a senescencia negligible pura. Esta tasa es el criterio de selección usado para identificar los candidatos de la sección siguiente.</w:t>
      </w:r>
    </w:p>
    <w:p>
      <w:pPr>
        <w:pStyle w:val="Heading1"/>
        <w:pageBreakBefore/>
        <w:spacing w:after="120" w:before="320"/>
      </w:pPr>
      <w:r>
        <w:rPr>
          <w:rFonts w:ascii="Arial" w:cs="Arial" w:eastAsia="Arial" w:hAnsi="Arial"/>
          <w:b/>
          <w:bCs/>
          <w:color w:val="1F4E79"/>
          <w:sz w:val="40"/>
          <w:szCs w:val="40"/>
        </w:rPr>
        <w:t xml:space="preserve">4 — Candidato principal: Tuátara (Sphenodon punctatus)</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CANDIDATO PRINCIPAL — b1=0.005 (Reinke et al. 2022), la tasa de envejecimiento más baja de las 77 especies del estudio, medida en poblaciones SILVESTRES (no de zoológico). Es el único sobreviviente del orden Rhynchocephalia, ampliamente estudiado por el grupo de Nicola Nelson y Susan Keall (Victoria University of Wellington, Nueva Zelanda) desde 1949 (Isla Stephens).</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326"/>
      </w:tblGrid>
      <w:tr>
        <w:tc>
          <w:tcPr>
            <w:tcW w:type="dxa" w:w="32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Dato</w:t>
            </w:r>
          </w:p>
        </w:tc>
        <w:tc>
          <w:tcPr>
            <w:tcW w:type="dxa" w:w="26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Valor</w:t>
            </w:r>
          </w:p>
        </w:tc>
        <w:tc>
          <w:tcPr>
            <w:tcW w:type="dxa" w:w="3326"/>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Naturaleza del dato</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Longevidad máxima registrada en terreno</w:t>
            </w:r>
          </w:p>
        </w:tc>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91 años</w:t>
            </w:r>
          </w:p>
        </w:tc>
        <w:tc>
          <w:tcPr>
            <w:tcW w:type="dxa" w:w="3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Empírica directa — comunicación personal de N.J. Nelson, citada en Moore et al., Biological Conservation</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Longevidad media modelada</w:t>
            </w:r>
          </w:p>
        </w:tc>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137 años</w:t>
            </w:r>
          </w:p>
        </w:tc>
        <w:tc>
          <w:tcPr>
            <w:tcW w:type="dxa" w:w="3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Salida del modelo de Reinke et al. (extrapolación demográfica desde la tasa de envejecimiento casi nula, no una edad observada directamente)</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Tasa de envejecimiento (Gompertz, b1)</w:t>
            </w:r>
          </w:p>
        </w:tc>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0.005</w:t>
            </w:r>
          </w:p>
        </w:tc>
        <w:tc>
          <w:tcPr>
            <w:tcW w:type="dxa" w:w="3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Reinke et al. (2022), población silvestre</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Metabolismo relativo (ancla para W_met)</w:t>
            </w:r>
          </w:p>
        </w:tc>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55% del consumo de O₂ predicho para un lagarto de igual masa corporal</w:t>
            </w:r>
          </w:p>
        </w:tc>
        <w:tc>
          <w:tcPr>
            <w:tcW w:type="dxa" w:w="3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Wilson &amp; Lee (1970), Comparative Biochemistry and Physiology — medición directa en reposo, 5-36°C. Frecuencia cardíaca 204% de lo predicho (patrón atípico señalado por los propios autores).</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Curva de mortalidad completa</w:t>
            </w:r>
          </w:p>
        </w:tc>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No encontrada — solo el coeficiente agregado b1</w:t>
            </w:r>
          </w:p>
        </w:tc>
        <w:tc>
          <w:tcPr>
            <w:tcW w:type="dxa" w:w="3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Renovación celular / tasa metabólica para η_basal o ρ_rep directo</w:t>
            </w:r>
          </w:p>
        </w:tc>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No encontrada</w:t>
            </w:r>
          </w:p>
        </w:tc>
        <w:tc>
          <w:tcPr>
            <w:tcW w:type="dxa" w:w="3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Sin marcadores de senescencia celular, aclaramiento SC, ni daño oxidativo publicados para esta especie</w:t>
            </w:r>
          </w:p>
        </w:tc>
      </w:tr>
    </w:tbl>
    <w:p>
      <w:pPr>
        <w:spacing w:after="120" w:before="0" w:line="360" w:lineRule="auto"/>
        <w:jc w:val="both"/>
      </w:pPr>
      <w:r>
        <w:rPr>
          <w:rFonts w:ascii="Arial" w:cs="Arial" w:eastAsia="Arial" w:hAnsi="Arial"/>
          <w:b w:val="false"/>
          <w:bCs w:val="false"/>
          <w:i w:val="false"/>
          <w:iCs w:val="false"/>
          <w:color w:val="000000"/>
          <w:sz w:val="22"/>
          <w:szCs w:val="22"/>
        </w:rPr>
        <w:t xml:space="preserve">Recomendación de target para R(especie): usar 91 años (dato empírico directo) en vez de 137 años (dato modelado), consistente con el criterio ya usado para Calment/Kimura — target real observado, no estimación estadística.</w:t>
      </w:r>
    </w:p>
    <w:p>
      <w:pPr>
        <w:spacing w:after="120" w:before="0" w:line="360" w:lineRule="auto"/>
        <w:jc w:val="both"/>
      </w:pPr>
      <w:r>
        <w:rPr>
          <w:rFonts w:ascii="Arial" w:cs="Arial" w:eastAsia="Arial" w:hAnsi="Arial"/>
          <w:b w:val="false"/>
          <w:bCs w:val="false"/>
          <w:i w:val="false"/>
          <w:iCs w:val="false"/>
          <w:color w:val="000000"/>
          <w:sz w:val="22"/>
          <w:szCs w:val="22"/>
        </w:rPr>
        <w:t xml:space="preserve">Fuente adicional identificada, no explorada en profundidad: "Metabolism of Tuatara, Sphenodon punctatus" (ScienceDirect) — estudio dedicado de consumo de oxígeno en reposo a lo largo de un rango de tamaños corporales (6.8–746 g) en machos, hembras y juveniles. Podría contener el valor absoluto de BMR (no solo el relativo al lagarto) si se requiere mayor precisión.</w:t>
      </w:r>
    </w:p>
    <w:p>
      <w:pPr>
        <w:pStyle w:val="Heading2"/>
        <w:spacing w:after="80" w:before="280"/>
      </w:pPr>
      <w:r>
        <w:rPr>
          <w:rFonts w:ascii="Arial" w:cs="Arial" w:eastAsia="Arial" w:hAnsi="Arial"/>
          <w:b/>
          <w:bCs/>
          <w:color w:val="2E75B6"/>
          <w:sz w:val="30"/>
          <w:szCs w:val="30"/>
        </w:rPr>
        <w:t xml:space="preserve">4.1 — Estado según el Método de Seis Pasos</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26"/>
      </w:tblGrid>
      <w:tr>
        <w:tc>
          <w:tcPr>
            <w:tcW w:type="dxa" w:w="24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Paso</w:t>
            </w:r>
          </w:p>
        </w:tc>
        <w:tc>
          <w:tcPr>
            <w:tcW w:type="dxa" w:w="24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Estado</w:t>
            </w:r>
          </w:p>
        </w:tc>
        <w:tc>
          <w:tcPr>
            <w:tcW w:type="dxa" w:w="4326"/>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Detalle</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Paso 0 — modo de cese</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 Confirmado</w:t>
            </w:r>
          </w:p>
        </w:tc>
        <w:tc>
          <w:tcPr>
            <w:tcW w:type="dxa" w:w="4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Régimen B — b1=0.005, mortalidad esencialmente constante en poblaciones silvestres reales</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Paso 6 — target (t_cese)</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 Disponible</w:t>
            </w:r>
          </w:p>
        </w:tc>
        <w:tc>
          <w:tcPr>
            <w:tcW w:type="dxa" w:w="4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91a, dato empírico directo (Nelson)</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Paso 6 — W_met</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 Disponible</w:t>
            </w:r>
          </w:p>
        </w:tc>
        <w:tc>
          <w:tcPr>
            <w:tcW w:type="dxa" w:w="4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≈0.55, por razón directa de consumo de O₂ frente a lagarto de igual masa</w:t>
            </w:r>
          </w:p>
        </w:tc>
      </w:tr>
      <w:tr>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Paso 6 — η_basal, ρ_rep</w:t>
            </w:r>
          </w:p>
        </w:tc>
        <w:tc>
          <w:tcPr>
            <w:tcW w:type="dxa" w:w="24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 Nivel 3 (por analogía)</w:t>
            </w:r>
          </w:p>
        </w:tc>
        <w:tc>
          <w:tcPr>
            <w:tcW w:type="dxa" w:w="4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Sin dato celular/metabólico directo — requeriría estimarse por comparación con otra especie de régimen B ya calibrada y de metabolismo similar, no por medición propia</w:t>
            </w:r>
          </w:p>
        </w:tc>
      </w:tr>
    </w:tbl>
    <w:p>
      <w:pPr>
        <w:pStyle w:val="Heading1"/>
        <w:pageBreakBefore/>
        <w:spacing w:after="120" w:before="320"/>
      </w:pPr>
      <w:r>
        <w:rPr>
          <w:rFonts w:ascii="Arial" w:cs="Arial" w:eastAsia="Arial" w:hAnsi="Arial"/>
          <w:b/>
          <w:bCs/>
          <w:color w:val="1F4E79"/>
          <w:sz w:val="40"/>
          <w:szCs w:val="40"/>
        </w:rPr>
        <w:t xml:space="preserve">5 — Candidato secundario: Aldabrachelys gigantea</w:t>
      </w:r>
    </w:p>
    <w:p>
      <w:pPr>
        <w:spacing w:after="120" w:before="0" w:line="360" w:lineRule="auto"/>
        <w:jc w:val="both"/>
      </w:pPr>
      <w:r>
        <w:rPr>
          <w:rFonts w:ascii="Arial" w:cs="Arial" w:eastAsia="Arial" w:hAnsi="Arial"/>
          <w:b w:val="false"/>
          <w:bCs w:val="false"/>
          <w:i w:val="false"/>
          <w:iCs w:val="false"/>
          <w:color w:val="000000"/>
          <w:sz w:val="22"/>
          <w:szCs w:val="22"/>
        </w:rPr>
        <w:t xml:space="preserve">Tortuga gigante de Aldabra — de da Silva et al. (2022): intervalo de confianza de la tasa de envejecimiento en hembras apenas cruza el cero. Ventaja adicional: es la especie con los récords de longevidad individual mejor documentados del grupo de testudines (ejemplares famosos con edad verificada superior a 150 años). Pendiente de la misma búsqueda de datos que el tuátara (curva de mortalidad completa, dato celular/metabólico) antes de considerarla para calibración.</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ACTUALIZACIÓN — la búsqueda de datos y la calibración exploratoria se completaron. Ver §9, Aporte 32.</w:t>
      </w:r>
    </w:p>
    <w:p>
      <w:pPr>
        <w:pStyle w:val="Heading1"/>
        <w:pageBreakBefore/>
        <w:spacing w:after="120" w:before="320"/>
      </w:pPr>
      <w:r>
        <w:rPr>
          <w:rFonts w:ascii="Arial" w:cs="Arial" w:eastAsia="Arial" w:hAnsi="Arial"/>
          <w:b/>
          <w:bCs/>
          <w:color w:val="1F4E79"/>
          <w:sz w:val="40"/>
          <w:szCs w:val="40"/>
        </w:rPr>
        <w:t xml:space="preserve">6 — Otros candidatos identificados, sin desarrollar aún</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326"/>
      </w:tblGrid>
      <w:tr>
        <w:tc>
          <w:tcPr>
            <w:tcW w:type="dxa" w:w="32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Especie</w:t>
            </w:r>
          </w:p>
        </w:tc>
        <w:tc>
          <w:tcPr>
            <w:tcW w:type="dxa" w:w="36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Dato</w:t>
            </w:r>
          </w:p>
        </w:tc>
        <w:tc>
          <w:tcPr>
            <w:tcW w:type="dxa" w:w="2326"/>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Fuente</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Testudo graeca (tortuga mora)</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Intervalo de confianza de la tasa de envejecimiento NEGATIVO en hembras</w:t>
            </w:r>
          </w:p>
        </w:tc>
        <w:tc>
          <w:tcPr>
            <w:tcW w:type="dxa" w:w="2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da Silva et al. (2022)</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Siebenrockiella crassicollis (tortuga de pantano negra)</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Mismo patrón — CI negativo en hembras</w:t>
            </w:r>
          </w:p>
        </w:tc>
        <w:tc>
          <w:tcPr>
            <w:tcW w:type="dxa" w:w="2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da Silva et al. (2022)</w:t>
            </w:r>
          </w:p>
        </w:tc>
      </w:tr>
      <w:tr>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Gopherus berlandieri (tortuga de Texas)</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CI de machos apenas cruza el cero</w:t>
            </w:r>
          </w:p>
        </w:tc>
        <w:tc>
          <w:tcPr>
            <w:tcW w:type="dxa" w:w="2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da Silva et al. (2022)</w:t>
            </w:r>
          </w:p>
        </w:tc>
      </w:tr>
    </w:tbl>
    <w:p>
      <w:pPr>
        <w:pStyle w:val="Heading1"/>
        <w:pageBreakBefore/>
        <w:spacing w:after="120" w:before="320"/>
      </w:pPr>
      <w:r>
        <w:rPr>
          <w:rFonts w:ascii="Arial" w:cs="Arial" w:eastAsia="Arial" w:hAnsi="Arial"/>
          <w:b/>
          <w:bCs/>
          <w:color w:val="1F4E79"/>
          <w:sz w:val="40"/>
          <w:szCs w:val="40"/>
        </w:rPr>
        <w:t xml:space="preserve">7 — Calibración exploratoria: R(Sphenodon punctatus)</w:t>
      </w:r>
    </w:p>
    <w:p>
      <w:pPr>
        <w:pBdr>
          <w:left w:val="single" w:color="7A6000" w:sz="18" w:space="8"/>
        </w:pBdr>
        <w:shd w:fill="FFF3CD" w:val="clear"/>
        <w:spacing w:after="120" w:before="80"/>
        <w:ind w:left="480" w:right="480"/>
      </w:pPr>
      <w:r>
        <w:rPr>
          <w:rFonts w:ascii="Arial" w:cs="Arial" w:eastAsia="Arial" w:hAnsi="Arial"/>
          <w:i/>
          <w:iCs/>
          <w:color w:val="7A6000"/>
          <w:sz w:val="18"/>
          <w:szCs w:val="18"/>
        </w:rPr>
        <w:t xml:space="preserve">APORTE CUALITATIVO, NO VERIFICADO — igual que Hydra antes del dato de David &amp; Campbell. η_basal y ρ_rep se declaran explícitamente NIVEL 3 (por analogía), no NIVEL 1. Pendiente de verificación en R real (5 semillas) antes de cualquier uso en el Artículo 2.</w:t>
      </w:r>
    </w:p>
    <w:p>
      <w:pPr>
        <w:spacing w:after="120" w:before="0" w:line="360" w:lineRule="auto"/>
        <w:jc w:val="both"/>
      </w:pPr>
      <w:r>
        <w:rPr>
          <w:rFonts w:ascii="Arial" w:cs="Arial" w:eastAsia="Arial" w:hAnsi="Arial"/>
          <w:b w:val="false"/>
          <w:bCs w:val="false"/>
          <w:i w:val="false"/>
          <w:iCs w:val="false"/>
          <w:color w:val="000000"/>
          <w:sz w:val="22"/>
          <w:szCs w:val="22"/>
        </w:rPr>
        <w:t xml:space="preserve">Molde base: Myotis brandtii, parámetros reales tomados de TMCSA_AnexoA_graficas_v10.R (función simular_B): η_basal=0.06, ρ_rep=10.0, Xc=3.0, ε=0.180×(3.0/17), a/b/μ/n universales.</w:t>
      </w:r>
    </w:p>
    <w:p>
      <w:pPr>
        <w:pStyle w:val="Heading2"/>
        <w:spacing w:after="80" w:before="280"/>
      </w:pPr>
      <w:r>
        <w:rPr>
          <w:rFonts w:ascii="Arial" w:cs="Arial" w:eastAsia="Arial" w:hAnsi="Arial"/>
          <w:b/>
          <w:bCs/>
          <w:color w:val="2E75B6"/>
          <w:sz w:val="30"/>
          <w:szCs w:val="30"/>
        </w:rPr>
        <w:t xml:space="preserve">7.1 — Cadena conceptual (Método de Seis Pasos)</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1800"/>
        <w:gridCol w:w="7326"/>
      </w:tblGrid>
      <w:tr>
        <w:tc>
          <w:tcPr>
            <w:tcW w:type="dxa" w:w="18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Paso</w:t>
            </w:r>
          </w:p>
        </w:tc>
        <w:tc>
          <w:tcPr>
            <w:tcW w:type="dxa" w:w="7326"/>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Contenido</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 — Definición aislada</w:t>
            </w:r>
          </w:p>
        </w:tc>
        <w:tc>
          <w:tcPr>
            <w:tcW w:type="dxa" w:w="7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η_basal = tasa de producción de daño celular/oxidativo, impulsada por actividad metabólica (producción de ROS mitocondrial escala con tasa metabólica). ρ_rep = tasa de reparación/aclaramiento proporcional.</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 — Variables compuestas</w:t>
            </w:r>
          </w:p>
        </w:tc>
        <w:tc>
          <w:tcPr>
            <w:tcW w:type="dxa" w:w="7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η_basal depende de (a) tasa metabólica relativa frente a la especie de referencia, y (b) la cinética térmica de las reacciones bioquímicas productoras de daño (coeficiente Q10).</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3 — Ecuación general</w:t>
            </w:r>
          </w:p>
        </w:tc>
        <w:tc>
          <w:tcPr>
            <w:tcW w:type="dxa" w:w="7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η_basal(especie) = η_basal(referencia) × W_met × Q10^(−ΔT/10)</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4 — Tiempo biológico</w:t>
            </w:r>
          </w:p>
        </w:tc>
        <w:tc>
          <w:tcPr>
            <w:tcW w:type="dxa" w:w="7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W_met ya es un factor multiplicativo sobre procesos de tiempo biológico en TMCSA — uso consistente con el existente.</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5 — Operador R</w:t>
            </w:r>
          </w:p>
        </w:tc>
        <w:tc>
          <w:tcPr>
            <w:tcW w:type="dxa" w:w="7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La condición biológica que cambia η_basal entre especies es la temperatura corporal operativa. Tuátara ≈13°C vs. mamífero de referencia ≈37°C — ΔT=24°C.</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6 — Dato</w:t>
            </w:r>
          </w:p>
        </w:tc>
        <w:tc>
          <w:tcPr>
            <w:tcW w:type="dxa" w:w="73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W_met=0.55 (Wilson &amp; Lee 1970, Nivel 1). Q10 no medido para esta especie — se usa el rango estándar de la literatura bioquímica general (2.0–3.0), Nivel 3.</w:t>
            </w:r>
          </w:p>
        </w:tc>
      </w:tr>
    </w:tbl>
    <w:p>
      <w:pPr>
        <w:pStyle w:val="Heading2"/>
        <w:spacing w:after="80" w:before="280"/>
      </w:pPr>
      <w:r>
        <w:rPr>
          <w:rFonts w:ascii="Arial" w:cs="Arial" w:eastAsia="Arial" w:hAnsi="Arial"/>
          <w:b/>
          <w:bCs/>
          <w:color w:val="2E75B6"/>
          <w:sz w:val="30"/>
          <w:szCs w:val="30"/>
        </w:rPr>
        <w:t xml:space="preserve">7.2 — R(Sphenodon punctatus), tabla completa</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526"/>
      </w:tblGrid>
      <w:tr>
        <w:tc>
          <w:tcPr>
            <w:tcW w:type="dxa" w:w="18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Parámetro</w:t>
            </w:r>
          </w:p>
        </w:tc>
        <w:tc>
          <w:tcPr>
            <w:tcW w:type="dxa" w:w="38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Valor</w:t>
            </w:r>
          </w:p>
        </w:tc>
        <w:tc>
          <w:tcPr>
            <w:tcW w:type="dxa" w:w="3526"/>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Nivel de evidencia</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t_cese_target</w:t>
            </w:r>
          </w:p>
        </w:tc>
        <w:tc>
          <w:tcPr>
            <w:tcW w:type="dxa" w:w="3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91 años</w:t>
            </w:r>
          </w:p>
        </w:tc>
        <w:tc>
          <w:tcPr>
            <w:tcW w:type="dxa" w:w="35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NIVEL 1 — Nelson, longevidad máxima registrada en terreno</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Γ_ext</w:t>
            </w:r>
          </w:p>
        </w:tc>
        <w:tc>
          <w:tcPr>
            <w:tcW w:type="dxa" w:w="3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ln(2)/91 = 0.00762/año</w:t>
            </w:r>
          </w:p>
        </w:tc>
        <w:tc>
          <w:tcPr>
            <w:tcW w:type="dxa" w:w="35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NIVEL 1 — derivado directamente del target empírico</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W_met</w:t>
            </w:r>
          </w:p>
        </w:tc>
        <w:tc>
          <w:tcPr>
            <w:tcW w:type="dxa" w:w="3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0.55</w:t>
            </w:r>
          </w:p>
        </w:tc>
        <w:tc>
          <w:tcPr>
            <w:tcW w:type="dxa" w:w="35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NIVEL 1 — Wilson &amp; Lee (1970), razón directa de consumo de O₂</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η_basal</w:t>
            </w:r>
          </w:p>
        </w:tc>
        <w:tc>
          <w:tcPr>
            <w:tcW w:type="dxa" w:w="3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0.0024 – 0.0063 (rango según Q10=3.0–2.0)</w:t>
            </w:r>
          </w:p>
        </w:tc>
        <w:tc>
          <w:tcPr>
            <w:tcW w:type="dxa" w:w="35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NIVEL 3 — por analogía con Myotis, corregido por W_met y Q10 no medido</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ρ_rep</w:t>
            </w:r>
          </w:p>
        </w:tc>
        <w:tc>
          <w:tcPr>
            <w:tcW w:type="dxa" w:w="3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0.39 – 1.04 (rango según Q10=3.0–2.0)</w:t>
            </w:r>
          </w:p>
        </w:tc>
        <w:tc>
          <w:tcPr>
            <w:tcW w:type="dxa" w:w="35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NIVEL 3 — mismo tratamiento que η_basal, preserva X_eq y MS de Myotis por construcción</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Xc</w:t>
            </w:r>
          </w:p>
        </w:tc>
        <w:tc>
          <w:tcPr>
            <w:tcW w:type="dxa" w:w="3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3.0 (heredado del molde)</w:t>
            </w:r>
          </w:p>
        </w:tc>
        <w:tc>
          <w:tcPr>
            <w:tcW w:type="dxa" w:w="35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NIVEL 3 — heredado, no medido para esta especie</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ε</w:t>
            </w:r>
          </w:p>
        </w:tc>
        <w:tc>
          <w:tcPr>
            <w:tcW w:type="dxa" w:w="3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0.180×(3.0/17) = 0.0318 (heredado del molde)</w:t>
            </w:r>
          </w:p>
        </w:tc>
        <w:tc>
          <w:tcPr>
            <w:tcW w:type="dxa" w:w="35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NIVEL 3 — heredado, no medido</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CV_η</w:t>
            </w:r>
          </w:p>
        </w:tc>
        <w:tc>
          <w:tcPr>
            <w:tcW w:type="dxa" w:w="3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No disponible</w:t>
            </w:r>
          </w:p>
        </w:tc>
        <w:tc>
          <w:tcPr>
            <w:tcW w:type="dxa" w:w="35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NIVEL 3 (pendiente) — la función illustrativa de Myotis no expone este valor; el script de calibración completo de Myotis no está entre los archivos revisados</w:t>
            </w:r>
          </w:p>
        </w:tc>
      </w:tr>
      <w:tr>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a, b, μ, n</w:t>
            </w:r>
          </w:p>
        </w:tc>
        <w:tc>
          <w:tcPr>
            <w:tcW w:type="dxa" w:w="3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0.0988, 0.0960, 3.0, 2.0 (universales)</w:t>
            </w:r>
          </w:p>
        </w:tc>
        <w:tc>
          <w:tcPr>
            <w:tcW w:type="dxa" w:w="35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Heredados — mismo tratamiento que todas las especies de régimen B ya calibradas</w:t>
            </w:r>
          </w:p>
        </w:tc>
      </w:tr>
    </w:tbl>
    <w:p>
      <w:pPr>
        <w:spacing w:after="120" w:before="0" w:line="360" w:lineRule="auto"/>
        <w:jc w:val="both"/>
      </w:pPr>
      <w:r>
        <w:rPr>
          <w:rFonts w:ascii="Arial" w:cs="Arial" w:eastAsia="Arial" w:hAnsi="Arial"/>
          <w:b w:val="false"/>
          <w:bCs w:val="false"/>
          <w:i w:val="false"/>
          <w:iCs w:val="false"/>
          <w:color w:val="000000"/>
          <w:sz w:val="22"/>
          <w:szCs w:val="22"/>
        </w:rPr>
        <w:t xml:space="preserve">Verificación de consistencia interna (exploratoria, Python): con estos valores, X_eq=η_basal/ρ_rep=0.006 en ambos extremos del rango de Q10 (por construcción, ya que el mismo factor de escala se aplicó a η_basal y ρ_rep). Margen de Seguridad MS=300 — idéntico al de Myotis, consistente con que ambos parámetros se movieron en la misma proporción. X_eq permanece muy por debajo de Dc·Xc=1.8, sin riesgo de colapso interno bajo régimen B.</w:t>
      </w:r>
    </w:p>
    <w:p>
      <w:pPr>
        <w:pBdr>
          <w:left w:val="single" w:color="7A6000" w:sz="18" w:space="8"/>
        </w:pBdr>
        <w:shd w:fill="FFF3CD" w:val="clear"/>
        <w:spacing w:after="120" w:before="80"/>
        <w:ind w:left="480" w:right="480"/>
      </w:pPr>
      <w:r>
        <w:rPr>
          <w:rFonts w:ascii="Arial" w:cs="Arial" w:eastAsia="Arial" w:hAnsi="Arial"/>
          <w:i/>
          <w:iCs/>
          <w:color w:val="7A6000"/>
          <w:sz w:val="18"/>
          <w:szCs w:val="18"/>
        </w:rPr>
        <w:t xml:space="preserve">SUPUESTO DECLARADO — se aplicó el mismo factor combinado (W_met × corrección térmica) tanto a η_basal como a ρ_rep, preservando el Margen de Seguridad de Myotis. Esto asume que la reparación proporcional es igual de sensible a la temperatura que la producción de daño — una simplificación razonable en ausencia de dato específico, pero no verificada. Si la cinética de reparación resulta menos sensible a la temperatura que la de producción de daño (plausible si involucra enzimas con adaptación al frío, común en ectotermos), ρ_rep real podría ser mayor que el estimado aquí, lo que aumentaría el Margen de Seguridad real por encima de 300.</w:t>
      </w:r>
    </w:p>
    <w:p>
      <w:pPr>
        <w:pStyle w:val="Heading2"/>
        <w:spacing w:after="80" w:before="280"/>
      </w:pPr>
      <w:r>
        <w:rPr>
          <w:rFonts w:ascii="Arial" w:cs="Arial" w:eastAsia="Arial" w:hAnsi="Arial"/>
          <w:b/>
          <w:bCs/>
          <w:color w:val="2E75B6"/>
          <w:sz w:val="30"/>
          <w:szCs w:val="30"/>
        </w:rPr>
        <w:t xml:space="preserve">7.3 — Resultado en R real y cierre de la línea</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900"/>
        <w:gridCol w:w="2226"/>
      </w:tblGrid>
      <w:tr>
        <w:tc>
          <w:tcPr>
            <w:tcW w:type="dxa" w:w="16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Semilla</w:t>
            </w:r>
          </w:p>
        </w:tc>
        <w:tc>
          <w:tcPr>
            <w:tcW w:type="dxa" w:w="26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Mediana simulada</w:t>
            </w:r>
          </w:p>
        </w:tc>
        <w:tc>
          <w:tcPr>
            <w:tcW w:type="dxa" w:w="29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Error vs. target (91a)</w:t>
            </w:r>
          </w:p>
        </w:tc>
        <w:tc>
          <w:tcPr>
            <w:tcW w:type="dxa" w:w="2226"/>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Cese externo</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w:t>
            </w:r>
          </w:p>
        </w:tc>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82.4a</w:t>
            </w:r>
          </w:p>
        </w:tc>
        <w:tc>
          <w:tcPr>
            <w:tcW w:type="dxa" w:w="29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9.5%</w:t>
            </w:r>
          </w:p>
        </w:tc>
        <w:tc>
          <w:tcPr>
            <w:tcW w:type="dxa" w:w="22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100.0%</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w:t>
            </w:r>
          </w:p>
        </w:tc>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80.3a</w:t>
            </w:r>
          </w:p>
        </w:tc>
        <w:tc>
          <w:tcPr>
            <w:tcW w:type="dxa" w:w="29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11.8%</w:t>
            </w:r>
          </w:p>
        </w:tc>
        <w:tc>
          <w:tcPr>
            <w:tcW w:type="dxa" w:w="22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100.0%</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3</w:t>
            </w:r>
          </w:p>
        </w:tc>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88.4a</w:t>
            </w:r>
          </w:p>
        </w:tc>
        <w:tc>
          <w:tcPr>
            <w:tcW w:type="dxa" w:w="29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2.8%</w:t>
            </w:r>
          </w:p>
        </w:tc>
        <w:tc>
          <w:tcPr>
            <w:tcW w:type="dxa" w:w="22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100.0%</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4</w:t>
            </w:r>
          </w:p>
        </w:tc>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77.5a</w:t>
            </w:r>
          </w:p>
        </w:tc>
        <w:tc>
          <w:tcPr>
            <w:tcW w:type="dxa" w:w="29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14.9%</w:t>
            </w:r>
          </w:p>
        </w:tc>
        <w:tc>
          <w:tcPr>
            <w:tcW w:type="dxa" w:w="22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100.0%</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5</w:t>
            </w:r>
          </w:p>
        </w:tc>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83.1a</w:t>
            </w:r>
          </w:p>
        </w:tc>
        <w:tc>
          <w:tcPr>
            <w:tcW w:type="dxa" w:w="29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8.7%</w:t>
            </w:r>
          </w:p>
        </w:tc>
        <w:tc>
          <w:tcPr>
            <w:tcW w:type="dxa" w:w="22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100.0%</w:t>
            </w:r>
          </w:p>
        </w:tc>
      </w:tr>
    </w:tbl>
    <w:p>
      <w:pPr>
        <w:spacing w:after="120" w:before="0" w:line="360" w:lineRule="auto"/>
        <w:jc w:val="both"/>
      </w:pPr>
      <w:r>
        <w:rPr>
          <w:rFonts w:ascii="Arial" w:cs="Arial" w:eastAsia="Arial" w:hAnsi="Arial"/>
          <w:b w:val="false"/>
          <w:bCs w:val="false"/>
          <w:i w:val="false"/>
          <w:iCs w:val="false"/>
          <w:color w:val="000000"/>
          <w:sz w:val="22"/>
          <w:szCs w:val="22"/>
        </w:rPr>
        <w:t xml:space="preserve">Promedio de 5 semillas: mediana=82.3a, error=9.5%. D_max_interno=0.002 ≪ Dc=0.60 (sin colapso interno, correcto). Cese externo=100.0% en las cinco semillas — el momento del cese lo decide exclusivamente el sorteo de Γ_ext, sin ninguna influencia real de η_basal/ρ_rep en este resultado particular.</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VERIFICACIÓN DEL MECANISMO DE Γ_EXT — las cinco semillas dieron error hacia abajo del target, ningún caso hacia arriba, un patrón que ameritaba revisión antes de aceptarlo. Se aisló el mecanismo de sorteo Bernoulli semanal de Γ_ext (sin ninguna dinámica interna) y se corrió a distintos tamaños de muestra: N=300 (igual que la corrida real) mostró alta varianza entre semillas (rango 87.8a–100.9a, error promedio 5.9%, con valores tanto por encima como por debajo del target); N≥1500 convergió establemente al valor teórico (error residual 0.6–0.8%, atribuible a la aproximación discreta del proceso continuo, no a un sesgo). Conclusión: el patrón "5 de 5 hacia abajo" es compatible con ruido de muestreo esperable a N=300 en un proceso de cola pesada (probabilidad ~6% de ocurrir por azar), no evidencia de un sesgo sistemático. El mecanismo de Γ_ext queda verificado como correcto — esto también respalda la validez de los resultados ya obtenidos para Hydra, S. purpuratus y S. franciscanus, que comparten el mismo mecanismo.</w:t>
      </w:r>
    </w:p>
    <w:p>
      <w:pPr>
        <w:pBdr>
          <w:left w:val="single" w:color="7A6000" w:sz="18" w:space="8"/>
        </w:pBdr>
        <w:shd w:fill="FFF3CD" w:val="clear"/>
        <w:spacing w:after="120" w:before="80"/>
        <w:ind w:left="480" w:right="480"/>
      </w:pPr>
      <w:r>
        <w:rPr>
          <w:rFonts w:ascii="Arial" w:cs="Arial" w:eastAsia="Arial" w:hAnsi="Arial"/>
          <w:i/>
          <w:iCs/>
          <w:color w:val="7A6000"/>
          <w:sz w:val="18"/>
          <w:szCs w:val="18"/>
        </w:rPr>
        <w:t xml:space="preserve">CORRECCIÓN DOCUMENTADA, NO APLICADA A ESTA CORRIDA — al revisar la ficha real de Myotis brandtii (B.EM2-12) en el Registro de Especies v12, se encontró CV_η=0.20 (no 0.30, el valor tomado prestado de S. purpuratus usado en esta corrida) y W_met=0.6 (hibernación hasta 7 meses/año) — parámetro que la función ilustrativa usada como molde (simular_B, script de gráficas) no incorpora en absoluto. No se sabe, sin revisar el script de calibración real de Myotis (TMCSA_EM2_Myotis_canonico_v1.R, no incluido entre los archivos de esta sesión), si η_basal=0.06 y ρ_rep=10.0 de Myotis ya incorporan el efecto de W_met=0.6 o son independientes de él — esto afecta si la corrección de W_met=0.55 del tuátara, aplicada sobre esos valores, es estructuralmente correcta o si hay un doble conteo o una omisión. Por instrucción explícita, no se corrigió ni se volvió a correr esta calibración exploratoria — la corrección queda documentada como pendiente para una futura revisión de este Aporte.</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CIERRE — Sphenodon punctatus (tuátara) queda registrado como Aporte 30, "con soporte parcial" — mismo estatus que Hydra (Aporte 28) y H. glaber (Aporte 29). Ficha propuesta para el Registro de Especies: B.EM2-15 (siguiente número disponible tras B.EM2-14, S. franciscanus). Con esto, la Línea 3 de Consensus (completar Aportes 28/29, y por extensión el candidato nuevo que surgió en el camino) queda cerrada.</w:t>
      </w:r>
    </w:p>
    <w:p>
      <w:pPr>
        <w:pStyle w:val="Heading1"/>
        <w:pageBreakBefore/>
        <w:spacing w:after="120" w:before="320"/>
      </w:pPr>
      <w:r>
        <w:rPr>
          <w:rFonts w:ascii="Arial" w:cs="Arial" w:eastAsia="Arial" w:hAnsi="Arial"/>
          <w:b/>
          <w:bCs/>
          <w:color w:val="1F4E79"/>
          <w:sz w:val="40"/>
          <w:szCs w:val="40"/>
        </w:rPr>
        <w:t xml:space="preserve">8 — Aporte 31: Balaena mysticetus (ballena de Groenlandia)</w:t>
      </w:r>
    </w:p>
    <w:p>
      <w:pPr>
        <w:spacing w:after="120" w:before="0" w:line="360" w:lineRule="auto"/>
        <w:jc w:val="both"/>
      </w:pPr>
      <w:r>
        <w:rPr>
          <w:rFonts w:ascii="Arial" w:cs="Arial" w:eastAsia="Arial" w:hAnsi="Arial"/>
          <w:b w:val="false"/>
          <w:bCs w:val="false"/>
          <w:i w:val="false"/>
          <w:iCs w:val="false"/>
          <w:color w:val="000000"/>
          <w:sz w:val="22"/>
          <w:szCs w:val="22"/>
        </w:rPr>
        <w:t xml:space="preserve">Segundo candidato de régimen B calibrado exploratoriamente, siguiendo el mismo molde (Myotis brandtii) y la misma lógica de corrección por W_met que el tuátara. Script preparado en otra sesión de colaboración con IA (TMCSA_EM2_Balaena_mysticetus_RegB_v1.R) y verificado antes de aceptar el resultado, siguiendo el mismo criterio aplicado a cualquier script propio.</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DOS CORRECCIONES APLICADAS ANTES DE ACEPTAR EL RESULTADO — la v1 del script tenía (1) doble conteo de la corrección de W_met (aplicada al derivar η_basal desde Myotis, y otra vez dentro del motor de simulación) y (2) una regla de ε distinta a la usada en el resto del corpus (Xc/4.0 en vez de Xc/17, consistente con Myotis/tuátara/H.glaber/S.purpuratus). Ambas corregidas en v2. La corrida real en R tras la corrección dio exactamente las mismas medianas por semilla que la versión con el bug (224.3, 214.3, 223.9, 207.3, 204.8a) — porque el cese fue 100% externo en ambas versiones, y la dinámica interna (que sí cambió: D_max pasó de 0.189 a 0.055) nunca llegó a determinar ningún resultado. Esto confirma que el bug no afectó la conclusión cualitativa, pero corregirlo era necesario para que los valores reportados (X_eq, D_max) fueran internamente consistentes.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26"/>
      </w:tblGrid>
      <w:tr>
        <w:tc>
          <w:tcPr>
            <w:tcW w:type="dxa" w:w="26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Dato</w:t>
            </w:r>
          </w:p>
        </w:tc>
        <w:tc>
          <w:tcPr>
            <w:tcW w:type="dxa" w:w="38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Valor</w:t>
            </w:r>
          </w:p>
        </w:tc>
        <w:tc>
          <w:tcPr>
            <w:tcW w:type="dxa" w:w="2926"/>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Nivel</w:t>
            </w:r>
          </w:p>
        </w:tc>
      </w:tr>
      <w:tr>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Target de longevidad</w:t>
            </w:r>
          </w:p>
        </w:tc>
        <w:tc>
          <w:tcPr>
            <w:tcW w:type="dxa" w:w="3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211 años</w:t>
            </w:r>
          </w:p>
        </w:tc>
        <w:tc>
          <w:tcPr>
            <w:tcW w:type="dxa" w:w="29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NIVEL 2 — George et al. (1999), racemización de ácido aspártico, macho, incertidumbre ±35a</w:t>
            </w:r>
          </w:p>
        </w:tc>
      </w:tr>
      <w:tr>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Madurez sexual (t_lat)</w:t>
            </w:r>
          </w:p>
        </w:tc>
        <w:tc>
          <w:tcPr>
            <w:tcW w:type="dxa" w:w="3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25 años</w:t>
            </w:r>
          </w:p>
        </w:tc>
        <w:tc>
          <w:tcPr>
            <w:tcW w:type="dxa" w:w="29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NIVEL 2 — mismo estudio</w:t>
            </w:r>
          </w:p>
        </w:tc>
      </w:tr>
      <w:tr>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η_basal, ρ_rep</w:t>
            </w:r>
          </w:p>
        </w:tc>
        <w:tc>
          <w:tcPr>
            <w:tcW w:type="dxa" w:w="3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0.0350, 5.8333</w:t>
            </w:r>
          </w:p>
        </w:tc>
        <w:tc>
          <w:tcPr>
            <w:tcW w:type="dxa" w:w="29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NIVEL 3 — por analogía con Myotis, corregidos por W_met=0.35</w:t>
            </w:r>
          </w:p>
        </w:tc>
      </w:tr>
      <w:tr>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Mecanismo molecular de referencia</w:t>
            </w:r>
          </w:p>
        </w:tc>
        <w:tc>
          <w:tcPr>
            <w:tcW w:type="dxa" w:w="3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SASP reducido, reparación de ADN mejorada</w:t>
            </w:r>
          </w:p>
        </w:tc>
        <w:tc>
          <w:tcPr>
            <w:tcW w:type="dxa" w:w="29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Gros et al. (2025, Nature) — cualitativo, no usado para derivar valores numéricos</w:t>
            </w:r>
          </w:p>
        </w:tc>
      </w:tr>
      <w:tr>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Resultado (5 semillas, N=300)</w:t>
            </w:r>
          </w:p>
        </w:tc>
        <w:tc>
          <w:tcPr>
            <w:tcW w:type="dxa" w:w="38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Promedio 214.9a, error 1.9%, 100% cese externo, D_max=0.055 ≪ Dc</w:t>
            </w:r>
          </w:p>
        </w:tc>
        <w:tc>
          <w:tcPr>
            <w:tcW w:type="dxa" w:w="29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Verificado en R real, script corregido</w:t>
            </w:r>
          </w:p>
        </w:tc>
      </w:tr>
    </w:tbl>
    <w:p>
      <w:pPr>
        <w:spacing w:after="120" w:before="0" w:line="360" w:lineRule="auto"/>
        <w:jc w:val="both"/>
      </w:pPr>
      <w:r>
        <w:rPr>
          <w:rFonts w:ascii="Arial" w:cs="Arial" w:eastAsia="Arial" w:hAnsi="Arial"/>
          <w:b w:val="false"/>
          <w:bCs w:val="false"/>
          <w:i w:val="false"/>
          <w:iCs w:val="false"/>
          <w:color w:val="000000"/>
          <w:sz w:val="22"/>
          <w:szCs w:val="22"/>
        </w:rPr>
        <w:t xml:space="preserve">Registrado como Aporte 31, mismo estatus "con soporte parcial" que Hydra, H. glaber y tuátara. Ficha propuesta: B.EM2-16.</w:t>
      </w:r>
    </w:p>
    <w:p>
      <w:pPr>
        <w:pStyle w:val="Heading1"/>
        <w:pageBreakBefore/>
        <w:spacing w:after="120" w:before="320"/>
      </w:pPr>
      <w:r>
        <w:rPr>
          <w:rFonts w:ascii="Arial" w:cs="Arial" w:eastAsia="Arial" w:hAnsi="Arial"/>
          <w:b/>
          <w:bCs/>
          <w:color w:val="1F4E79"/>
          <w:sz w:val="40"/>
          <w:szCs w:val="40"/>
        </w:rPr>
        <w:t xml:space="preserve">9 — Aporte 32: Aldabrachelys gigantea (tortuga gigante de Aldabra)</w:t>
      </w:r>
    </w:p>
    <w:p>
      <w:pPr>
        <w:spacing w:after="120" w:before="0" w:line="360" w:lineRule="auto"/>
        <w:jc w:val="both"/>
      </w:pPr>
      <w:r>
        <w:rPr>
          <w:rFonts w:ascii="Arial" w:cs="Arial" w:eastAsia="Arial" w:hAnsi="Arial"/>
          <w:b w:val="false"/>
          <w:bCs w:val="false"/>
          <w:i w:val="false"/>
          <w:iCs w:val="false"/>
          <w:color w:val="000000"/>
          <w:sz w:val="22"/>
          <w:szCs w:val="22"/>
        </w:rPr>
        <w:t xml:space="preserve">Tercer candidato de régimen B calibrado exploratoriamente, mismo molde (Myotis brandtii) que tuátara y Balaena. Este caso presenta una diferencia cualitativa relevante respecto a los dos anteriores: el factor de corrección de W_met resultó MAYOR a 1 (1.4167, frente a &lt;1 en tuátara y Balaena), porque el W_met calculado para esta especie (0.85) resultó mayor que el de Myotis (0.6) — consecuencia directa de que, a diferencia del tuátara, esta especie no muestra evidencia de hipometabolismo real frente a otros ectotermos.</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HALLAZGO IMPORTANTE — W_met≈0.85-1.0 (calculado con tres capas de incertidumbre declaradas: unidad de la fórmula de Hughes et al. 1971 no confirmada, heurística general ectotermo/endotermo en vez de comparación directa, sin dato publicado específico de la especie) sugiere que la longevidad extrema de Aldabrachelys NO está mediada por metabolismo lento, a diferencia del tuátara. El mecanismo real permanece sin identificar directamente aquí — candidatos no verificados: SASP reducido (consistente con hallazgos reales de metilación diferencial en el epigenoma de "Jonathan", bioRxiv 2025, aunque no usados para derivar ningún valor numérico), o ausencia de depredadores naturales en el atolón de Aldabra (factor ecológico, no molecular). No se debe asumir mecánicamente el mismo supuesto de hipometabolismo del tuátara para esta especie.</w:t>
      </w:r>
    </w:p>
    <w:p>
      <w:pPr>
        <w:pBdr>
          <w:left w:val="single" w:color="7A6000" w:sz="18" w:space="8"/>
        </w:pBdr>
        <w:shd w:fill="FFF3CD" w:val="clear"/>
        <w:spacing w:after="120" w:before="80"/>
        <w:ind w:left="480" w:right="480"/>
      </w:pPr>
      <w:r>
        <w:rPr>
          <w:rFonts w:ascii="Arial" w:cs="Arial" w:eastAsia="Arial" w:hAnsi="Arial"/>
          <w:i/>
          <w:iCs/>
          <w:color w:val="7A6000"/>
          <w:sz w:val="18"/>
          <w:szCs w:val="18"/>
        </w:rPr>
        <w:t xml:space="preserve">TARGET CON VERIFICACIÓN MÁS DÉBIL QUE BALAENA — 192 años ("Jonathan"), respaldado por un preprint de 2025 que trata la edad como estimación documental/histórica (fotografías de 1882-1886, registros del gobernador), NO por un método bioquímico como la racemización de aspártico usada para Balaena. AnAge declara esta edad como "not confirmed" en su fuente primaria original. Alternativa disponible y no usada: esperanza de vida poblacional vía análisis de supervivencia bayesiano (ZIMS), 80.47a (media)/93.68a (límite superior) — un número demográfico, no un récord individual, de naturaleza distinta a la usada en el resto del corpus de régimen B.</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926"/>
      </w:tblGrid>
      <w:tr>
        <w:tc>
          <w:tcPr>
            <w:tcW w:type="dxa" w:w="26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Dato</w:t>
            </w:r>
          </w:p>
        </w:tc>
        <w:tc>
          <w:tcPr>
            <w:tcW w:type="dxa" w:w="4200"/>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Valor</w:t>
            </w:r>
          </w:p>
        </w:tc>
        <w:tc>
          <w:tcPr>
            <w:tcW w:type="dxa" w:w="2926"/>
            <w:tcBorders>
              <w:top w:val="single" w:color="DDDDDD" w:sz="1"/>
              <w:left w:val="single" w:color="DDDDDD" w:sz="1"/>
              <w:bottom w:val="single" w:color="DDDDDD" w:sz="1"/>
              <w:right w:val="single" w:color="DDDDDD" w:sz="1"/>
            </w:tcBorders>
            <w:shd w:fill="1F3864" w:val="clear"/>
            <w:tcMar>
              <w:top w:type="dxa" w:w="60"/>
              <w:left w:type="dxa" w:w="120"/>
              <w:bottom w:type="dxa" w:w="60"/>
              <w:right w:type="dxa" w:w="80"/>
            </w:tcMar>
          </w:tcPr>
          <w:p>
            <w:r>
              <w:rPr>
                <w:rFonts w:ascii="Arial" w:cs="Arial" w:eastAsia="Arial" w:hAnsi="Arial"/>
                <w:b/>
                <w:bCs/>
                <w:color w:val="FFFFFF"/>
                <w:sz w:val="18"/>
                <w:szCs w:val="18"/>
              </w:rPr>
              <w:t xml:space="preserve">Nivel</w:t>
            </w:r>
          </w:p>
        </w:tc>
      </w:tr>
      <w:tr>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Target de longevidad</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192 años</w:t>
            </w:r>
          </w:p>
        </w:tc>
        <w:tc>
          <w:tcPr>
            <w:tcW w:type="dxa" w:w="29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NIVEL 2/3 — "Jonathan", verificación documental/histórica, no bioquímica</w:t>
            </w:r>
          </w:p>
        </w:tc>
      </w:tr>
      <w:tr>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η_basal, ρ_rep</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0.0850, 14.1667</w:t>
            </w:r>
          </w:p>
        </w:tc>
        <w:tc>
          <w:tcPr>
            <w:tcW w:type="dxa" w:w="29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NIVEL 3 — mayores que Myotis (factor&gt;1), a diferencia de tuátara/Balaena</w:t>
            </w:r>
          </w:p>
        </w:tc>
      </w:tr>
      <w:tr>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MS (Margen de Seguridad)</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300</w:t>
            </w:r>
          </w:p>
        </w:tc>
        <w:tc>
          <w:tcPr>
            <w:tcW w:type="dxa" w:w="29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Idéntico a Myotis, tuátara y Balaena — preservado por construcción</w:t>
            </w:r>
          </w:p>
        </w:tc>
      </w:tr>
      <w:tr>
        <w:tc>
          <w:tcPr>
            <w:tcW w:type="dxa" w:w="26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Resultado (5 semillas, N=300)</w:t>
            </w:r>
          </w:p>
        </w:tc>
        <w:tc>
          <w:tcPr>
            <w:tcW w:type="dxa" w:w="4200"/>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Promedio 200.3a, error 4.3%, 93.3% cese externo (NO 100%), D_max=0.184 ≪ Dc</w:t>
            </w:r>
          </w:p>
        </w:tc>
        <w:tc>
          <w:tcPr>
            <w:tcW w:type="dxa" w:w="2926"/>
            <w:tcBorders>
              <w:top w:val="single" w:color="DDDDDD" w:sz="1"/>
              <w:left w:val="single" w:color="DDDDDD" w:sz="1"/>
              <w:bottom w:val="single" w:color="DDDDDD" w:sz="1"/>
              <w:right w:val="single" w:color="DDDDDD" w:sz="1"/>
            </w:tcBorders>
            <w:tcMar>
              <w:top w:type="dxa" w:w="60"/>
              <w:left w:type="dxa" w:w="120"/>
              <w:bottom w:type="dxa" w:w="60"/>
              <w:right w:type="dxa" w:w="80"/>
            </w:tcMar>
          </w:tcPr>
          <w:p>
            <w:pPr>
              <w:jc w:val="both"/>
            </w:pPr>
            <w:r>
              <w:rPr>
                <w:rFonts w:ascii="Arial" w:cs="Arial" w:eastAsia="Arial" w:hAnsi="Arial"/>
                <w:color w:val="000000"/>
                <w:sz w:val="20"/>
                <w:szCs w:val="20"/>
              </w:rPr>
              <w:t xml:space="preserve">Verificado en R real</w:t>
            </w:r>
          </w:p>
        </w:tc>
      </w:tr>
    </w:tbl>
    <w:p>
      <w:pPr>
        <w:spacing w:after="120" w:before="0" w:line="360" w:lineRule="auto"/>
        <w:jc w:val="both"/>
      </w:pPr>
      <w:r>
        <w:rPr>
          <w:rFonts w:ascii="Arial" w:cs="Arial" w:eastAsia="Arial" w:hAnsi="Arial"/>
          <w:b w:val="false"/>
          <w:bCs w:val="false"/>
          <w:i w:val="false"/>
          <w:iCs w:val="false"/>
          <w:color w:val="000000"/>
          <w:sz w:val="22"/>
          <w:szCs w:val="22"/>
        </w:rPr>
        <w:t xml:space="preserve">El 93.3% de cese externo (frente al 100% de tuátara y Balaena) es una diferencia real, no ruido: con factor_Wmet&gt;1, la dinámica interna corre proporcionalmente más rápido en escala absoluta de tiempo (aunque el Margen de Seguridad relativo se mantiene idéntico), dando más oportunidad de que el ruido estocástico produzca colapso interno por azar dentro de la ventana de observación.</w:t>
      </w:r>
    </w:p>
    <w:p>
      <w:pPr>
        <w:spacing w:after="120" w:before="0" w:line="360" w:lineRule="auto"/>
        <w:jc w:val="both"/>
      </w:pPr>
      <w:r>
        <w:rPr>
          <w:rFonts w:ascii="Arial" w:cs="Arial" w:eastAsia="Arial" w:hAnsi="Arial"/>
          <w:b w:val="false"/>
          <w:bCs w:val="false"/>
          <w:i w:val="false"/>
          <w:iCs w:val="false"/>
          <w:color w:val="000000"/>
          <w:sz w:val="22"/>
          <w:szCs w:val="22"/>
        </w:rPr>
        <w:t xml:space="preserve">Registrado como Aporte 32, mismo estatus "con soporte parcial" que Hydra, H. glaber, tuátara y Balaena. Ficha propuesta: B.EM2-17.</w:t>
      </w:r>
    </w:p>
    <w:p>
      <w:pPr>
        <w:pStyle w:val="Heading1"/>
        <w:pageBreakBefore/>
        <w:spacing w:after="120" w:before="320"/>
      </w:pPr>
      <w:r>
        <w:rPr>
          <w:rFonts w:ascii="Arial" w:cs="Arial" w:eastAsia="Arial" w:hAnsi="Arial"/>
          <w:b/>
          <w:bCs/>
          <w:color w:val="1F4E79"/>
          <w:sz w:val="40"/>
          <w:szCs w:val="40"/>
        </w:rPr>
        <w:t xml:space="preserve">10 — Estado consolidado</w:t>
      </w:r>
    </w:p>
    <w:p>
      <w:pPr>
        <w:pBdr>
          <w:left w:val="single" w:color="1A7C4F" w:sz="18" w:space="8"/>
        </w:pBdr>
        <w:shd w:fill="E2EFDA" w:val="clear"/>
        <w:spacing w:after="120" w:before="80"/>
        <w:ind w:left="480" w:right="480"/>
      </w:pPr>
      <w:r>
        <w:rPr>
          <w:rFonts w:ascii="Arial" w:cs="Arial" w:eastAsia="Arial" w:hAnsi="Arial"/>
          <w:i/>
          <w:iCs/>
          <w:color w:val="1A7C4F"/>
          <w:sz w:val="18"/>
          <w:szCs w:val="18"/>
        </w:rPr>
        <w:t xml:space="preserve">Con Aldabrachelys gigantea (Aporte 32, B.EM2-17), Balaena mysticetus (Aporte 31, B.EM2-16) y Sphenodon punctatus (Aporte 30, B.EM2-15) registrados con soporte parcial, el corpus de régimen B queda en cuatro especies con Nivel 1/2 completo (Myotis brandtii, S. purpuratus, S. franciscanus) más tres exploratorias Nivel 3 (tuátara, ballena, tortuga de Aldabra). Las tres fichas (B.EM2-15, B.EM2-16, B.EM2-17) quedan listas para insertar manualmente en el Registro de Especies vigente — no se ha tocado el documento maestro directamente.</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2026-07-07T13:03:50.023Z</dcterms:created>
  <dcterms:modified xsi:type="dcterms:W3CDTF">2026-07-07T13:03:50.023Z</dcterms:modified>
</cp:coreProperties>
</file>

<file path=docProps/custom.xml><?xml version="1.0" encoding="utf-8"?>
<Properties xmlns="http://schemas.openxmlformats.org/officeDocument/2006/custom-properties" xmlns:vt="http://schemas.openxmlformats.org/officeDocument/2006/docPropsVTypes"/>
</file>