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TMCSA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Teoría de la Membrana Constitutiva en Sistemas Abiertos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Sensibilidad Global de [EM-2] — Consolidado de las Cuatro Familias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Sobol en Familia 1 (H. sapiens), Familia 2 (H. glaber), Familia 3 (S. purpuratus), Régimen C (Turritopsis) — base para §2.1/§3.1 del Artículo 2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v3 — julio 2026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Isrrael Villablanca Fuentes — colaboración técnica de Claude (Anthropic)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Consolida los cuatro documentos individuales de sensibilidad global en un solo lugar. Cada documento individual contiene el detalle metodológico completo — este es el mapa que los conecta, y la base para actualizar §2.1/§3.1 del Artículo 2 cuando se redacte esa sección.</w:t>
      </w:r>
    </w:p>
    <w:p>
      <w:pPr>
        <w:pStyle w:val="Heading1"/>
        <w:pageBreakBefore/>
        <w:spacing w:after="120" w:before="32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1 — Por qué cuatro familias</w:t>
      </w:r>
    </w:p>
    <w:p>
      <w:pPr>
        <w:spacing w:after="120" w:before="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análisis de sensibilidad global de Familia 1 (documento TMCSA_SensibilidadGlobal_Sobol_Documento_v2.docx) mostró que a, b, μ y n —invisibles individualmente para t_cese (S1≈0)— tienen efecto total real por interacción con η y β (ST≈0.18–0.19). Esto abrió una pregunta: ¿ese patrón de identificabilidad depende del régimen de reparación (A vs. B), o depende de qué domina el cese —la dinámica interna o una tasa externa constante (Γ_ext)? Familias 2 y 3 se diseñaron para responder esa pregunta, eligiendo especies representativas de las dos condiciones restantes del espacio: cese externo dominante con ecuación de régimen A (Familia 2), y régimen B con Γ_ext perturbado deliberadamente para generar el contraste interno/externo dentro de la misma especie (Familia 3). Régimen C (Turritopsis) se añadió como cuarto punto de comparación: un mecanismo de reinicio discreto, genuinamente distinto a los otros tres, que permite verificar si el patrón de identificabilidad encontrado hasta ahora se sostiene incluso bajo una estructura matemática completamente diferente.</w:t>
      </w:r>
    </w:p>
    <w:p>
      <w:pPr>
        <w:pStyle w:val="Heading1"/>
        <w:pageBreakBefore/>
        <w:spacing w:after="120" w:before="32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2 — Tabla comparativa de los cuatro resultados principales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1700"/>
        <w:gridCol w:w="1600"/>
        <w:gridCol w:w="1600"/>
        <w:gridCol w:w="1826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Familia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Modo de cese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Parámetros internos: S1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Parámetros internos: ST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Conclusión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Homo sapiens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Interno (régimen A)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η, β: S1 real (0.26–0.33). a,b,μ,n: S1≈0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a,b,μ,n: ST≈0.18–0.19 (interacción real)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Identificable — directo para η/β, por interacción para a/b/μ/n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Heterocephalus glaber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Externo (Γ_ext, régimen A)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Todos ≈0, sin estructura (S1 negativos, artefacto)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Todos ≈0.94–1.09, SIN estructura — indistinguible del ruido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identificable — ni directo ni por interacción, con ningún observable probado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Strongylocentrotus purpuratus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Mixto (Γ_ext perturbado, régimen B)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Γ_ext: S1=0.62 (real). Internos: S1≈0 (artefacto)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Γ_ext: ST=1.03. Internos: ST≈0.28–0.34, CON estructura consistente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Parcialmente identificable — Γ_ext domina, pero los internos retienen efecto total real, distinto del caso Familia 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Turritopsis dohrnii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Reinicio discreto (régimen C)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umbral_stress: S1=0.833 (dominante absoluto). p_stress: S1≈0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umbral_stress: ST=0.988. p_stress: ST=0.098 (real, distinguible del ruido)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Identificable — el más concentrado en un solo parámetro de las cuatro familias; converge con el profile likelihood ya documentado</w:t>
            </w:r>
          </w:p>
        </w:tc>
      </w:tr>
    </w:tbl>
    <w:p>
      <w:pPr>
        <w:pStyle w:val="Heading1"/>
        <w:pageBreakBefore/>
        <w:spacing w:after="120" w:before="32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3 — La narrativa unificadora: hipótesis sugerida, no confirmada</w:t>
      </w:r>
    </w:p>
    <w:p>
      <w:pPr>
        <w:spacing w:after="120" w:before="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contraste entre Familia 1 y Familia 2 sugiere fuertemente que el eje real de identificabilidad en [EM-2] es el modo de cese dominante, no el régimen de reparación: cuando el cese es interno, los parámetros internos son identificables (directa o indirectamente); cuando el cese es externo y domina de forma abrumadora (Γ_ext con 93–94% de los casos, como en Familia 2), esa identificabilidad desaparece por completo, incluso con un observable diseñado específicamente para capturarla.</w:t>
      </w:r>
    </w:p>
    <w:p>
      <w:pPr>
        <w:spacing w:after="120" w:before="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Familia 3 fue diseñada para testear esta hipótesis directamente, incluyendo Γ_ext como parámetro perturbado (en vez de fijo) para generar deliberadamente el contraste interno/externo dentro de la misma especie. El resultado es más matizado de lo que la hipótesis simple predecía: Familia 3 NO repite el patrón de no-identificabilidad total de Familia 2 —los parámetros internos retienen un ST real y consistente (0.28–0.34)— pero el test específico diseñado para confirmar el mecanismo exacto (identificabilidad condicional: alta cuando Γ_ext es bajo, nula cuando es alto) no mostró el patrón esperado, por una limitación metodológica identificada y documentada (ver documento individual de Familia 3, §3): el test correlacionó η_basal y ρ_rep por separado, cuando lo que probablemente importa es su razón (X_eq).</w:t>
      </w:r>
    </w:p>
    <w:p>
      <w:pPr>
        <w:spacing w:after="120" w:before="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Régimen C (Turritopsis) añade un cuarto punto, con una estructura matemática genuinamente distinta a las otras tres (reinicio discreto, no umbral de colapso ni tasa constante): cuando el cese se calcula sin ninguna influencia de Γ_ext (observable de resets/individuo, régimen laboratorio puro), un único parámetro propio del mecanismo —umbral_stress— domina de forma más concentrada que cualquier parámetro individual visto en las otras tres familias (S1=0.833, frente a un máximo de 0.62 en Familia 3 y 0.33 en Familia 1). Esto es consistente con la narrativa unificadora en su forma más simple: sin dominio externo, el mecanismo interno —cualquiera sea su forma matemática— es identificable, y aquí resulta ser el más limpio de los cuatro casos.</w:t>
      </w:r>
    </w:p>
    <w:p>
      <w:pPr>
        <w:spacing w:after="120" w:before="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mecanismo condicional específico propuesto para Familia 3 (identificabilidad alta cuando Γ_ext es bajo, nula cuando es alto) fue sometido a cuatro intentos sucesivos de detección —correlación de η_basal/ρ_rep por separado, de X_eq compuesto, de MS con Xc incluido y Spearman, y estratificación por la fracción de cese interno realmente observada en vez de por Γ_ext como insumo— todos negativos (ver documento individual de Familia 3, §3). Esto cierra la pregunta específica sin resolverla a favor del mecanismo propuesto: el efecto total real de η_basal/ρ_rep (ST≈0.30-0.34) está confirmado por el Sobol mismo, pero el mecanismo exacto por el cual se manifiesta —probablemente una interacción de orden superior— no pudo aislarse con las herramientas de correlación empleadas.</w:t>
      </w:r>
    </w:p>
    <w:p>
      <w:pPr>
        <w:pBdr>
          <w:left w:val="single" w:color="1A7C4F" w:sz="18" w:space="8"/>
        </w:pBdr>
        <w:shd w:fill="E2EFDA" w:val="clear"/>
        <w:spacing w:after="120" w:before="80"/>
        <w:ind w:left="480" w:right="480"/>
      </w:pPr>
      <w:r>
        <w:rPr>
          <w:rFonts w:ascii="Arial" w:cs="Arial" w:eastAsia="Arial" w:hAnsi="Arial"/>
          <w:i/>
          <w:iCs/>
          <w:color w:val="1A7C4F"/>
          <w:sz w:val="18"/>
          <w:szCs w:val="18"/>
        </w:rPr>
        <w:t xml:space="preserve">ESTADO FINAL DE LA HIPÓTESIS — la forma general (identificabilidad depende del modo de cese dominante, no del régimen de reparación) queda respaldada con fuerza por el contraste entre Familia 1, Familia 2 y régimen C: tres estructuras matemáticas distintas (Michaelis-Menten, lineal régimen B, reinicio discreto) muestran el mismo patrón — identificable cuando el cese es interno, no identificable cuando una tasa externa domina de forma abrumadora. El mecanismo condicional específico de Familia 3 (régimen B con Γ_ext parcialmente perturbado) queda como resultado negativo definitivo tras cuatro intentos honestos — no refuta la hipótesis general, pero tampoco la confirma en ese caso particular.</w:t>
      </w:r>
    </w:p>
    <w:p>
      <w:pPr>
        <w:pStyle w:val="Heading1"/>
        <w:pageBreakBefore/>
        <w:spacing w:after="120" w:before="32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4 — Estado de cada familia y lo pendiente</w:t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326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Familia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(H. sapiens)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Cerrada — documento completo, resultado limpio y publicable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Ninguno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(H. glaber)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Cerrada — resultado negativo riguroso (no-identificabilidad estructural), publicable como hallazgo honesto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Ninguno — se determinó que aumentar N_ind no resuelve el problema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(S. purpuratus)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Cerrada — ST real confirmado; mecanismo condicional específico cerrado como resultado negativo definitivo tras cuatro intentos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Ninguno — se agotaron las transformaciones razonables (X_eq, MS, Spearman, estratificación por resultado observado)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 (Turritopsis)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Cerrada con resultado mixto honesto — observable principal (resets/individuo) limpio y publicable, converge con profile likelihood ya documentado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Observable secundario (fracción sin colapso) no interpretable por ruido de cuantización a N_ind=20 — no se justifica otra corrida, por analogía directa con Familia 2</w:t>
            </w:r>
          </w:p>
        </w:tc>
      </w:tr>
    </w:tbl>
    <w:p>
      <w:pPr>
        <w:pStyle w:val="Heading1"/>
        <w:pageBreakBefore/>
        <w:spacing w:after="120" w:before="32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5 — Uso previsto para el Artículo 2</w:t>
      </w:r>
    </w:p>
    <w:p>
      <w:pPr>
        <w:spacing w:after="120" w:before="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documento y los tres individuales que consolida son la base directa para redactar §2.1 (Métodos) y §3.1 (Resultados) del Artículo 2 cuando se decida extender esa sección más allá de Familia 1 —actualmente la única desarrollada en el borrador vigente (TMCSA_Article2_Draft_EN_v5.docx). La tabla comparativa de la §2 de este documento es el esqueleto directo de la tabla de resultados que iría en esa sección ampliada.</w:t>
      </w:r>
    </w:p>
    <w:sectPr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2026-07-07T12:33:22.414Z</dcterms:created>
  <dcterms:modified xsi:type="dcterms:W3CDTF">2026-07-07T12:33:22.415Z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