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TMCSA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Teoría de la Membrana Constitutiva en Sistemas Abiertos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Sensibilidad Global de [EM-2] — Familia 3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Análisis Sobol (soboljansen), régimen B con Γ_ext perturbado — base del Artículo 2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v3 — julio 2026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Isrrael Villablanca Fuentes — colaboración técnica de Claude (Anthropic)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Extensión de la Línea 2 de Consensus a Familia 3 (régimen B). Documento individual, base para el Artículo 2. Especie representativa: Strongylocentrotus purpuratus.</w:t>
      </w:r>
    </w:p>
    <w:p>
      <w:pPr>
        <w:pStyle w:val="Heading1"/>
        <w:pageBreakBefore/>
        <w:spacing w:after="120" w:before="32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1 — Diseño</w:t>
      </w:r>
    </w:p>
    <w:p>
      <w:pPr>
        <w:spacing w:after="120" w:before="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diferencia de Familias 1 y 2 (donde Γ_ext se mantuvo fijo), en Familia 3 se incluyó Γ_ext como parámetro perturbado (rango ±50%, más amplio que el resto), junto con los 4 parámetros de la ecuación de vitalidad (a, b, μ, n — candidatos a universales, no universales verificados; terminología corregida explícitamente para este documento) y los 5 parámetros propios de régimen B (η_basal, ρ_rep, Xc, ε, CV_η), todos con ±30%. El objetivo fue testear directamente una hipótesis unificadora surgida de Familias 1 y 2: que la identificabilidad paramétrica en [EM-2] depende del modo de cese dominante (interno vs. externo), no del régimen de reparación (A vs. B). N_base=1000, N_ind=50, tres observables en la misma corrida (t_cese, T_activo, fracción de cese externo), mismos criterios de aceptación que Familias 1 y 2.</w:t>
      </w:r>
    </w:p>
    <w:p>
      <w:pPr>
        <w:pBdr>
          <w:left w:val="single" w:color="1A7C4F" w:sz="18" w:space="8"/>
        </w:pBdr>
        <w:shd w:fill="E2EFDA" w:val="clear"/>
        <w:spacing w:after="120" w:before="80"/>
        <w:ind w:left="480" w:right="480"/>
      </w:pPr>
      <w:r>
        <w:rPr>
          <w:rFonts w:ascii="Arial" w:cs="Arial" w:eastAsia="Arial" w:hAnsi="Arial"/>
          <w:i/>
          <w:iCs/>
          <w:color w:val="1A7C4F"/>
          <w:sz w:val="18"/>
          <w:szCs w:val="18"/>
        </w:rPr>
        <w:t xml:space="preserve">CORRECCIÓN DE BUG APLICADA ANTES DE ESTA CORRIDA — la primera versión del script (v1) crasheó a las ~100/12000 evaluaciones. Causa: al perturbar n dentro de un rango no entero (a diferencia de corridas previas donde n=2.0 fijo), la fricción (1−D/Dc)^n podía evaluarse con base negativa y exponente no entero cuando el daño interno superaba Dc, produciendo NaN en R antes de que la protección max(0,...) pudiera actuar. Corregido verificando el signo de la base antes de elevar a potencia. El mismo patrón inseguro existe en el script ya corrido de Familia 2, pero no se activó allí porque η≈10⁻⁵ mantiene el daño interno siempre muy por debajo de Dc — no requiere re-ejecutarse.</w:t>
      </w:r>
    </w:p>
    <w:p>
      <w:pPr>
        <w:pStyle w:val="Heading1"/>
        <w:pageBreakBefore/>
        <w:spacing w:after="120" w:before="32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2 — Resultado: contraste real con Familia 2</w:t>
      </w:r>
    </w:p>
    <w:p>
      <w:pPr>
        <w:spacing w:after="120" w:before="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diferencia de Familia 2 (donde ST≈0.94–1.09 para los 10 parámetros, sin estructura distinguible del ruido), Familia 3 muestra un patrón limpio y consistente: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2200"/>
        <w:gridCol w:w="1926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 (t_cese)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 (t_cese)</w:t>
            </w:r>
          </w:p>
        </w:tc>
        <w:tc>
          <w:tcPr>
            <w:tcW w:type="dxa" w:w="1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Interpretación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Γ_ext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0.619 [0.566, 0.681]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1.027 [0.903, 1.109]</w:t>
            </w:r>
          </w:p>
        </w:tc>
        <w:tc>
          <w:tcPr>
            <w:tcW w:type="dxa" w:w="1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Domina de forma directa — efecto real, IC estrecho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a, b, μ, n (vitalidad)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negativo (artefacto)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0.296–0.311</w:t>
            </w:r>
          </w:p>
        </w:tc>
        <w:tc>
          <w:tcPr>
            <w:tcW w:type="dxa" w:w="1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Sin efecto directo resoluble; efecto total real y consistente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η_basal, ρ_rep, Xc, ε, CV_η (régimen B)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negativo (artefacto)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0.315–0.337</w:t>
            </w:r>
          </w:p>
        </w:tc>
        <w:tc>
          <w:tcPr>
            <w:tcW w:type="dxa" w:w="1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Mismo patrón — efecto total real, sin efecto directo resoluble</w:t>
            </w:r>
          </w:p>
        </w:tc>
      </w:tr>
    </w:tbl>
    <w:p>
      <w:pPr>
        <w:spacing w:after="120" w:before="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Los S1 negativos de los 9 parámetros internos son, igual que en corridas anteriores, matemáticamente imposibles como valores reales (la suma de todos los S1, incluido Γ_ext, da un número que no tiene sentido como descomposición de varianza) — se interpretan como artefacto de estimación, no como señal. Pero a diferencia de Familia 2, aquí los ST de los 9 parámetros internos son consistentes entre sí (0.28–0.34, con intervalos de confianza razonablemente estrechos, ninguno tocando 1.0) — una estructura demasiado ordenada para ser solo ruido de muestreo. Se interpreta como: Γ_ext domina el resultado de forma directa y medible: pero los parámetros internos de régimen B (y los de vitalidad) retienen un efecto total real, del orden de 0.3, detectable con este diseño — algo que en Familia 2 no fue posible detectar en absoluto.</w:t>
      </w:r>
    </w:p>
    <w:p>
      <w:pPr>
        <w:pStyle w:val="Heading1"/>
        <w:pageBreakBefore/>
        <w:spacing w:after="120" w:before="32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3 — Prueba de la hipótesis unificadora: cierre definitivo, resultado negativo</w:t>
      </w:r>
    </w:p>
    <w:p>
      <w:pPr>
        <w:spacing w:after="120" w:before="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 realizaron cuatro intentos sucesivos de detectar el mecanismo de identificabilidad condicional propuesto por la hipótesis unificadora, cada uno corrigiendo una limitación identificada en el intento anterior:</w:t>
      </w:r>
    </w:p>
    <w:tbl>
      <w:tblPr>
        <w:tblW w:type="dxa" w:w="8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3826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Intento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 / método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η_basal y ρ_rep por separado, por tercil de Γ_ext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Correlaciones minúsculas y casi idénticas en los tres terciles (~0.02, sin patrón)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X_eq=η_basal/ρ_rep (variable compuesta correcta), por tercil de Γ_ext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Sin mejora — correlaciones igual de pequeñas y sin monotonía (0.010 → 0.028 → 0.021)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MS=Dc·Xc/X_eq (incluye Xc, también perturbado en este diseño); Spearman en vez de Pearson; log(ρ_rep) solo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Los tres, sin señal — correlaciones todas &lt;0.05 en valor absoluto, sin patrón por tercil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Estratificación por la FRACCIÓN DE CESE INTERNO OBSERVADA (resultado real de cada evaluación, no Γ_ext como insumo) — incluyendo el 5% de corridas con más cese interno (24-44% de los individuos)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Sin señal incluso en el subconjunto más favorable — correlaciones &lt;0.03, sin signo consistente</w:t>
            </w:r>
          </w:p>
        </w:tc>
      </w:tr>
    </w:tbl>
    <w:p>
      <w:pPr>
        <w:pBdr>
          <w:left w:val="single" w:color="1A7C4F" w:sz="18" w:space="8"/>
        </w:pBdr>
        <w:shd w:fill="E2EFDA" w:val="clear"/>
        <w:spacing w:after="120" w:before="80"/>
        <w:ind w:left="480" w:right="480"/>
      </w:pPr>
      <w:r>
        <w:rPr>
          <w:rFonts w:ascii="Arial" w:cs="Arial" w:eastAsia="Arial" w:hAnsi="Arial"/>
          <w:i/>
          <w:iCs/>
          <w:color w:val="1A7C4F"/>
          <w:sz w:val="18"/>
          <w:szCs w:val="18"/>
        </w:rPr>
        <w:t xml:space="preserve">CIERRE DEFINITIVO — CUATRO INTENTOS HONESTOS, TODOS NEGATIVOS. El mecanismo condicional específico propuesto por la hipótesis unificadora (identificabilidad alta cuando Γ_ext es bajo, nula cuando es alto, detectable vía correlación con alguna combinación de η_basal/ρ_rep) no está presente en los datos con ninguna de las cuatro operacionalizaciones razonables probadas, incluyendo la más directa posible: aislar las corridas donde la dinámica interna tuvo el mayor margen real para influir. Esto no es evidencia de falta de rigor en la búsqueda — es un resultado negativo genuino tras un esfuerzo sistemático de descartar explicaciones alternativas (variable incorrecta, escala incorrecta, estratificación por insumo en vez de resultado).</w:t>
      </w:r>
    </w:p>
    <w:p>
      <w:pPr>
        <w:spacing w:after="120" w:before="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Confirmación independiente adicional: un script separado, escrito en otra sesión de colaboración con IA, repitió el intento 2 (correlación de X_eq por tercil de Γ_ext) usando correlación de rangos de Spearman en vez de Pearson, sobre el mismo diseño completo guardado. Resultado idéntico en sustancia: correlaciones minúsculas y sin patrón monótono (+0.011, +0.027, +0.019 en los terciles bajo/medio/alto; diferencia bajo−alto=−0.008, en la dirección contraria a la esperada). Verificado y no incorporado como script propio al repositorio, por depender de un archivo CSV intermedio ya generado internamente por TMCSA_SensibilidadGlobal_Sobol_Spurpuratus_v3.R — su análisis post-hoc de X_eq es el mismo, dentro del mismo script, sin necesidad de un archivo separado.</w:t>
      </w:r>
    </w:p>
    <w:p>
      <w:pPr>
        <w:spacing w:after="120" w:before="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Lo que SÍ permanece confirmado, independientemente de este resultado negativo: η_basal y ρ_rep tienen efecto total real y estructurado sobre t_cese (ST≈0.30-0.34, §2) — esto viene directamente del Sobol, no depende del post-hoc. Lo que no se pudo identificar es el mecanismo específico por el cual ese efecto se manifiesta; la explicación más probable es una interacción de orden superior (posiblemente con Γ_ext, posiblemente con otros parámetros del diseño) no capturable por un test de correlación simple, lineal o de rangos, sobre pares o variables compuestas de primer orden.</w:t>
      </w:r>
    </w:p>
    <w:p>
      <w:pPr>
        <w:pBdr>
          <w:left w:val="single" w:color="1A7C4F" w:sz="18" w:space="8"/>
        </w:pBdr>
        <w:shd w:fill="E2EFDA" w:val="clear"/>
        <w:spacing w:after="120" w:before="80"/>
        <w:ind w:left="480" w:right="480"/>
      </w:pPr>
      <w:r>
        <w:rPr>
          <w:rFonts w:ascii="Arial" w:cs="Arial" w:eastAsia="Arial" w:hAnsi="Arial"/>
          <w:i/>
          <w:iCs/>
          <w:color w:val="1A7C4F"/>
          <w:sz w:val="18"/>
          <w:szCs w:val="18"/>
        </w:rPr>
        <w:t xml:space="preserve">LECCIÓN APRENDIDA, YA APLICADA — cualquier script de Sobol con post-hoc condicional debe guardar el diseño completo y los vectores de resultado en un archivo con formato universal (CSV además de .rds), no solo índices agregados. Aplicado en TMCSA_Spurpuratus_RDS_a_CSV_y_diagnosticos_v1.R y adoptado como práctica estándar para scripts futuros.</w:t>
      </w:r>
    </w:p>
    <w:p>
      <w:pPr>
        <w:pStyle w:val="Heading1"/>
        <w:pageBreakBefore/>
        <w:spacing w:after="120" w:before="32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4 — Estado</w:t>
      </w:r>
    </w:p>
    <w:p>
      <w:pPr>
        <w:pBdr>
          <w:left w:val="single" w:color="1A7C4F" w:sz="18" w:space="8"/>
        </w:pBdr>
        <w:shd w:fill="E2EFDA" w:val="clear"/>
        <w:spacing w:after="120" w:before="80"/>
        <w:ind w:left="480" w:right="480"/>
      </w:pPr>
      <w:r>
        <w:rPr>
          <w:rFonts w:ascii="Arial" w:cs="Arial" w:eastAsia="Arial" w:hAnsi="Arial"/>
          <w:i/>
          <w:iCs/>
          <w:color w:val="1A7C4F"/>
          <w:sz w:val="18"/>
          <w:szCs w:val="18"/>
        </w:rPr>
        <w:t xml:space="preserve">CERRADO — Familia 3 aporta un resultado real y publicable en dos niveles: (1) el Sobol confirma que η_basal, ρ_rep, y los parámetros de vitalidad tienen efecto total real (ST≈0.30-0.34) incluso bajo dominio parcial de Γ_ext, contrastando con la no-identificabilidad total de Familia 2; (2) el mecanismo condicional específico de la hipótesis unificadora, tras cuatro intentos honestos, queda como resultado negativo definitivo — no confirmado, sin evidencia de que una quinta transformación lo resolvería. La hipótesis unificadora en su forma general (identificabilidad depende del modo de cese) sigue respaldada por el contraste entre Familias 1, 2 y régimen C; su mecanismo específico en Familia 3 no se pudo aislar.</w:t>
      </w:r>
    </w:p>
    <w:sectPr>
      <w:pgSz w:w="11906" w:h="16838" w:orient="portrait"/>
      <w:pgMar w:top="1134" w:right="1134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2026-07-07T14:17:10.265Z</dcterms:created>
  <dcterms:modified xsi:type="dcterms:W3CDTF">2026-07-07T14:17:10.279Z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