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43DF" w14:textId="77777777" w:rsidR="00C823E0" w:rsidRDefault="00000000">
      <w:pPr>
        <w:spacing w:before="480" w:after="120"/>
        <w:jc w:val="center"/>
      </w:pPr>
      <w:r>
        <w:rPr>
          <w:b/>
          <w:bCs/>
          <w:color w:val="1F4E79"/>
          <w:sz w:val="56"/>
          <w:szCs w:val="56"/>
        </w:rPr>
        <w:t>TMCSA</w:t>
      </w:r>
    </w:p>
    <w:p w14:paraId="54837DF4" w14:textId="77777777" w:rsidR="00C823E0" w:rsidRDefault="00000000">
      <w:pPr>
        <w:spacing w:after="480"/>
        <w:jc w:val="center"/>
      </w:pPr>
      <w:r>
        <w:rPr>
          <w:i/>
          <w:iCs/>
          <w:color w:val="2E75B6"/>
          <w:sz w:val="28"/>
          <w:szCs w:val="28"/>
        </w:rPr>
        <w:t>Teoría de la Membrana Constitutiva en Sistemas Abiertos</w:t>
      </w:r>
    </w:p>
    <w:p w14:paraId="5383DF78" w14:textId="77777777" w:rsidR="00C823E0" w:rsidRDefault="00000000">
      <w:pPr>
        <w:spacing w:after="80"/>
        <w:jc w:val="center"/>
      </w:pPr>
      <w:r>
        <w:rPr>
          <w:b/>
          <w:bCs/>
          <w:color w:val="1F4E79"/>
          <w:sz w:val="36"/>
          <w:szCs w:val="36"/>
        </w:rPr>
        <w:t>Validación Predictiva de [EM-2]</w:t>
      </w:r>
    </w:p>
    <w:p w14:paraId="0520E9AC" w14:textId="77777777" w:rsidR="00C823E0" w:rsidRDefault="00000000">
      <w:pPr>
        <w:spacing w:after="80"/>
        <w:jc w:val="center"/>
      </w:pPr>
      <w:r>
        <w:rPr>
          <w:i/>
          <w:iCs/>
          <w:color w:val="2E75B6"/>
          <w:sz w:val="24"/>
          <w:szCs w:val="24"/>
        </w:rPr>
        <w:t xml:space="preserve">Calibración con Calment, predicción </w:t>
      </w:r>
      <w:proofErr w:type="spellStart"/>
      <w:r>
        <w:rPr>
          <w:i/>
          <w:iCs/>
          <w:color w:val="2E75B6"/>
          <w:sz w:val="24"/>
          <w:szCs w:val="24"/>
        </w:rPr>
        <w:t>held-out</w:t>
      </w:r>
      <w:proofErr w:type="spellEnd"/>
      <w:r>
        <w:rPr>
          <w:i/>
          <w:iCs/>
          <w:color w:val="2E75B6"/>
          <w:sz w:val="24"/>
          <w:szCs w:val="24"/>
        </w:rPr>
        <w:t xml:space="preserve"> de Kimura — base del Artículo 2</w:t>
      </w:r>
    </w:p>
    <w:p w14:paraId="5AB10E40" w14:textId="77777777" w:rsidR="00C823E0" w:rsidRDefault="00000000">
      <w:pPr>
        <w:spacing w:after="80"/>
        <w:jc w:val="center"/>
      </w:pPr>
      <w:r>
        <w:rPr>
          <w:color w:val="595959"/>
        </w:rPr>
        <w:t>v3 — julio 2026</w:t>
      </w:r>
    </w:p>
    <w:p w14:paraId="557C91E1" w14:textId="77777777" w:rsidR="00C823E0" w:rsidRDefault="00000000">
      <w:pPr>
        <w:spacing w:after="480"/>
        <w:jc w:val="center"/>
      </w:pPr>
      <w:r>
        <w:rPr>
          <w:color w:val="595959"/>
        </w:rPr>
        <w:t>Isrrael Villablanca Fuentes — colaboración técnica de Claude (</w:t>
      </w:r>
      <w:proofErr w:type="spellStart"/>
      <w:r>
        <w:rPr>
          <w:color w:val="595959"/>
        </w:rPr>
        <w:t>Anthropic</w:t>
      </w:r>
      <w:proofErr w:type="spellEnd"/>
      <w:r>
        <w:rPr>
          <w:color w:val="595959"/>
        </w:rPr>
        <w:t>)</w:t>
      </w:r>
    </w:p>
    <w:p w14:paraId="26F53C68" w14:textId="77777777" w:rsidR="00C823E0" w:rsidRDefault="00000000">
      <w:pPr>
        <w:spacing w:after="80"/>
        <w:jc w:val="center"/>
      </w:pPr>
      <w:r>
        <w:rPr>
          <w:i/>
          <w:iCs/>
          <w:color w:val="595959"/>
          <w:sz w:val="18"/>
          <w:szCs w:val="18"/>
        </w:rPr>
        <w:t xml:space="preserve">Respuesta a la Línea 1 de </w:t>
      </w:r>
      <w:proofErr w:type="spellStart"/>
      <w:r>
        <w:rPr>
          <w:i/>
          <w:iCs/>
          <w:color w:val="595959"/>
          <w:sz w:val="18"/>
          <w:szCs w:val="18"/>
        </w:rPr>
        <w:t>Consensus</w:t>
      </w:r>
      <w:proofErr w:type="spellEnd"/>
      <w:r>
        <w:rPr>
          <w:i/>
          <w:iCs/>
          <w:color w:val="595959"/>
          <w:sz w:val="18"/>
          <w:szCs w:val="18"/>
        </w:rPr>
        <w:t xml:space="preserve"> (validación predictiva formal): calibrar con una mitad de los datos y predecir la otra mitad sin haberla usado. Documento individual, base para el Artículo 2.</w:t>
      </w:r>
    </w:p>
    <w:p w14:paraId="291B2931" w14:textId="77777777" w:rsidR="00C823E0" w:rsidRDefault="00000000">
      <w:pPr>
        <w:pStyle w:val="Ttulo1"/>
        <w:pageBreakBefore/>
        <w:spacing w:before="320" w:after="120"/>
      </w:pPr>
      <w:r>
        <w:rPr>
          <w:b/>
          <w:bCs/>
          <w:color w:val="1F4E79"/>
          <w:sz w:val="40"/>
          <w:szCs w:val="40"/>
        </w:rPr>
        <w:lastRenderedPageBreak/>
        <w:t>1 — Diseño del test</w:t>
      </w:r>
    </w:p>
    <w:p w14:paraId="1207F440" w14:textId="77777777" w:rsidR="00C823E0" w:rsidRDefault="00000000">
      <w:pPr>
        <w:spacing w:after="120" w:line="360" w:lineRule="auto"/>
        <w:jc w:val="both"/>
      </w:pPr>
      <w:proofErr w:type="spellStart"/>
      <w:r>
        <w:rPr>
          <w:color w:val="000000"/>
        </w:rPr>
        <w:t>Consensus</w:t>
      </w:r>
      <w:proofErr w:type="spellEnd"/>
      <w:r>
        <w:rPr>
          <w:color w:val="000000"/>
        </w:rPr>
        <w:t xml:space="preserve"> señaló que la verificación de [EM-2] hasta ahora es descriptiva: se calibra un parámetro contra un dato real y se confirma que el modelo lo reproduce. La validación predictiva genuina es distinta — requiere calibrar con una parte de los datos y predecir otra parte que nunca participó del ajuste, comparando después contra un valor real independiente.</w:t>
      </w:r>
    </w:p>
    <w:p w14:paraId="5631FE9C" w14:textId="77777777" w:rsidR="00C823E0" w:rsidRDefault="00000000">
      <w:pPr>
        <w:spacing w:after="120" w:line="360" w:lineRule="auto"/>
        <w:jc w:val="both"/>
      </w:pPr>
      <w:r>
        <w:rPr>
          <w:color w:val="000000"/>
        </w:rPr>
        <w:t>Diseño del test aplicado a H. sapiens, usando la calibración de longevidad máxima biológica (no esperanza de vida poblacional, que es una métrica distinta — ver nota metodológica en §6):</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26"/>
      </w:tblGrid>
      <w:tr w:rsidR="00C823E0" w14:paraId="379764C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7018BD3" w14:textId="77777777" w:rsidR="00C823E0" w:rsidRDefault="00000000">
            <w:r>
              <w:rPr>
                <w:b/>
                <w:bCs/>
                <w:color w:val="FFFFFF"/>
                <w:sz w:val="18"/>
                <w:szCs w:val="18"/>
              </w:rPr>
              <w:t>Elemento</w:t>
            </w:r>
          </w:p>
        </w:tc>
        <w:tc>
          <w:tcPr>
            <w:tcW w:w="4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15DFFBB" w14:textId="77777777" w:rsidR="00C823E0" w:rsidRDefault="00000000">
            <w:r>
              <w:rPr>
                <w:b/>
                <w:bCs/>
                <w:color w:val="FFFFFF"/>
                <w:sz w:val="18"/>
                <w:szCs w:val="18"/>
              </w:rPr>
              <w:t>Rol en el test</w:t>
            </w:r>
          </w:p>
        </w:tc>
        <w:tc>
          <w:tcPr>
            <w:tcW w:w="262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3E28A038" w14:textId="77777777" w:rsidR="00C823E0" w:rsidRDefault="00000000">
            <w:r>
              <w:rPr>
                <w:b/>
                <w:bCs/>
                <w:color w:val="FFFFFF"/>
                <w:sz w:val="18"/>
                <w:szCs w:val="18"/>
              </w:rPr>
              <w:t>Fuente del dato</w:t>
            </w:r>
          </w:p>
        </w:tc>
      </w:tr>
      <w:tr w:rsidR="00C823E0" w14:paraId="767724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601F75E" w14:textId="77777777" w:rsidR="00C823E0" w:rsidRDefault="00000000">
            <w:pPr>
              <w:jc w:val="both"/>
            </w:pPr>
            <w:proofErr w:type="spellStart"/>
            <w:r>
              <w:rPr>
                <w:color w:val="000000"/>
                <w:sz w:val="20"/>
                <w:szCs w:val="20"/>
              </w:rPr>
              <w:t>η_F</w:t>
            </w:r>
            <w:proofErr w:type="spellEnd"/>
            <w:r>
              <w:rPr>
                <w:color w:val="000000"/>
                <w:sz w:val="20"/>
                <w:szCs w:val="20"/>
              </w:rPr>
              <w:t xml:space="preserve"> (mujer)</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47B9927" w14:textId="77777777" w:rsidR="00C823E0" w:rsidRDefault="00000000">
            <w:pPr>
              <w:jc w:val="both"/>
            </w:pPr>
            <w:r>
              <w:rPr>
                <w:color w:val="000000"/>
                <w:sz w:val="20"/>
                <w:szCs w:val="20"/>
              </w:rPr>
              <w:t>CALIBRACIÓN — se ajusta contra este dato</w:t>
            </w:r>
          </w:p>
        </w:tc>
        <w:tc>
          <w:tcPr>
            <w:tcW w:w="26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AF5C5D" w14:textId="77777777" w:rsidR="00C823E0" w:rsidRDefault="00000000">
            <w:pPr>
              <w:jc w:val="both"/>
            </w:pPr>
            <w:r>
              <w:rPr>
                <w:color w:val="000000"/>
                <w:sz w:val="20"/>
                <w:szCs w:val="20"/>
              </w:rPr>
              <w:t>Jeanne Calment, 122 años 164 días = 122.449a — el registro de longevidad humana más verificado de la historia</w:t>
            </w:r>
          </w:p>
        </w:tc>
      </w:tr>
      <w:tr w:rsidR="00C823E0" w14:paraId="478779F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C1AA48" w14:textId="77777777" w:rsidR="00C823E0" w:rsidRDefault="00000000">
            <w:pPr>
              <w:jc w:val="both"/>
            </w:pPr>
            <w:proofErr w:type="spellStart"/>
            <w:r>
              <w:rPr>
                <w:color w:val="000000"/>
                <w:sz w:val="20"/>
                <w:szCs w:val="20"/>
              </w:rPr>
              <w:t>δη_H</w:t>
            </w:r>
            <w:proofErr w:type="spellEnd"/>
            <w:r>
              <w:rPr>
                <w:color w:val="000000"/>
                <w:sz w:val="20"/>
                <w:szCs w:val="20"/>
              </w:rPr>
              <w:t xml:space="preserve"> (razón hombre/mujer)</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7AE7894" w14:textId="77777777" w:rsidR="00C823E0" w:rsidRDefault="00000000">
            <w:pPr>
              <w:jc w:val="both"/>
            </w:pPr>
            <w:r>
              <w:rPr>
                <w:color w:val="000000"/>
                <w:sz w:val="20"/>
                <w:szCs w:val="20"/>
              </w:rPr>
              <w:t>Predicción — derivado SOLO del canal bioquímico independiente EF-R6 (</w:t>
            </w:r>
            <w:proofErr w:type="spellStart"/>
            <w:r>
              <w:rPr>
                <w:color w:val="000000"/>
                <w:sz w:val="20"/>
                <w:szCs w:val="20"/>
              </w:rPr>
              <w:t>γ_H</w:t>
            </w:r>
            <w:proofErr w:type="spellEnd"/>
            <w:r>
              <w:rPr>
                <w:color w:val="000000"/>
                <w:sz w:val="20"/>
                <w:szCs w:val="20"/>
              </w:rPr>
              <w:t>/</w:t>
            </w:r>
            <w:proofErr w:type="spellStart"/>
            <w:r>
              <w:rPr>
                <w:color w:val="000000"/>
                <w:sz w:val="20"/>
                <w:szCs w:val="20"/>
              </w:rPr>
              <w:t>γ_M</w:t>
            </w:r>
            <w:proofErr w:type="spellEnd"/>
            <w:r>
              <w:rPr>
                <w:color w:val="000000"/>
                <w:sz w:val="20"/>
                <w:szCs w:val="20"/>
              </w:rPr>
              <w:t xml:space="preserve">=1.039, amplificado por </w:t>
            </w:r>
            <w:proofErr w:type="spellStart"/>
            <w:r>
              <w:rPr>
                <w:color w:val="000000"/>
                <w:sz w:val="20"/>
                <w:szCs w:val="20"/>
              </w:rPr>
              <w:t>k_r</w:t>
            </w:r>
            <w:proofErr w:type="spellEnd"/>
            <w:r>
              <w:rPr>
                <w:color w:val="000000"/>
                <w:sz w:val="20"/>
                <w:szCs w:val="20"/>
              </w:rPr>
              <w:t xml:space="preserve"> a un rango 1.10–1.12), nunca ajustado contra ningún dato demográfico</w:t>
            </w:r>
          </w:p>
        </w:tc>
        <w:tc>
          <w:tcPr>
            <w:tcW w:w="26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B54993D" w14:textId="77777777" w:rsidR="00C823E0" w:rsidRDefault="00000000">
            <w:pPr>
              <w:jc w:val="both"/>
            </w:pPr>
            <w:r>
              <w:rPr>
                <w:color w:val="000000"/>
                <w:sz w:val="20"/>
                <w:szCs w:val="20"/>
              </w:rPr>
              <w:t>EF-R6 Familia A (bioquímica, independiente de cualquier dato de longevidad)</w:t>
            </w:r>
          </w:p>
        </w:tc>
      </w:tr>
      <w:tr w:rsidR="00C823E0" w14:paraId="4C4F547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35F23DE" w14:textId="77777777" w:rsidR="00C823E0" w:rsidRDefault="00000000">
            <w:pPr>
              <w:jc w:val="both"/>
            </w:pPr>
            <w:r>
              <w:rPr>
                <w:color w:val="000000"/>
                <w:sz w:val="20"/>
                <w:szCs w:val="20"/>
              </w:rPr>
              <w:t>Target de comparación (hombre)</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EFD064" w14:textId="77777777" w:rsidR="00C823E0" w:rsidRDefault="00000000">
            <w:pPr>
              <w:jc w:val="both"/>
            </w:pPr>
            <w:r>
              <w:rPr>
                <w:color w:val="000000"/>
                <w:sz w:val="20"/>
                <w:szCs w:val="20"/>
              </w:rPr>
              <w:t>HELD-OUT — nunca se usa para calibrar nada, solo para comparar la predicción</w:t>
            </w:r>
          </w:p>
        </w:tc>
        <w:tc>
          <w:tcPr>
            <w:tcW w:w="26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21A76E1" w14:textId="77777777" w:rsidR="00C823E0" w:rsidRDefault="00000000">
            <w:pPr>
              <w:jc w:val="both"/>
            </w:pPr>
            <w:proofErr w:type="spellStart"/>
            <w:r>
              <w:rPr>
                <w:color w:val="000000"/>
                <w:sz w:val="20"/>
                <w:szCs w:val="20"/>
              </w:rPr>
              <w:t>Jiroemon</w:t>
            </w:r>
            <w:proofErr w:type="spellEnd"/>
            <w:r>
              <w:rPr>
                <w:color w:val="000000"/>
                <w:sz w:val="20"/>
                <w:szCs w:val="20"/>
              </w:rPr>
              <w:t xml:space="preserve"> Kimura, 116 años 54 días = 116.148a — el hombre con la longevidad más verificada de la historia (Guinness World Records)</w:t>
            </w:r>
          </w:p>
        </w:tc>
      </w:tr>
    </w:tbl>
    <w:p w14:paraId="542E0EFF" w14:textId="77777777" w:rsidR="00827371" w:rsidRDefault="00827371">
      <w:pPr>
        <w:spacing w:after="120" w:line="360" w:lineRule="auto"/>
        <w:jc w:val="both"/>
        <w:rPr>
          <w:color w:val="000000"/>
        </w:rPr>
      </w:pPr>
    </w:p>
    <w:p w14:paraId="1A67C142" w14:textId="3FC7199A" w:rsidR="00C823E0" w:rsidRDefault="00000000">
      <w:pPr>
        <w:spacing w:after="120" w:line="360" w:lineRule="auto"/>
        <w:jc w:val="both"/>
      </w:pPr>
      <w:r>
        <w:rPr>
          <w:color w:val="000000"/>
        </w:rPr>
        <w:t xml:space="preserve">Por qué es una validación genuina y no otra forma de ajuste: </w:t>
      </w:r>
      <w:proofErr w:type="spellStart"/>
      <w:r>
        <w:rPr>
          <w:color w:val="000000"/>
        </w:rPr>
        <w:t>δη_H</w:t>
      </w:r>
      <w:proofErr w:type="spellEnd"/>
      <w:r>
        <w:rPr>
          <w:color w:val="000000"/>
        </w:rPr>
        <w:t xml:space="preserve"> nunca se optimiza para acercarse al valor de Kimura — se calcula exclusivamente desde la razón bioquímica EF-R6, un canal completamente ajeno a cualquier dato de longevidad. El único punto de contacto entre el modelo y el dato de Kimura ocurre al final, al comparar la predicción resultante contra el registro real — exactamente la lógica de un test predictivo con datos </w:t>
      </w:r>
      <w:proofErr w:type="spellStart"/>
      <w:r>
        <w:rPr>
          <w:color w:val="000000"/>
        </w:rPr>
        <w:t>held-out</w:t>
      </w:r>
      <w:proofErr w:type="spellEnd"/>
      <w:r>
        <w:rPr>
          <w:color w:val="000000"/>
        </w:rPr>
        <w:t>.</w:t>
      </w:r>
    </w:p>
    <w:p w14:paraId="196DC6AA" w14:textId="77777777" w:rsidR="00C823E0" w:rsidRDefault="00000000">
      <w:pPr>
        <w:pStyle w:val="Ttulo1"/>
        <w:pageBreakBefore/>
        <w:spacing w:before="320" w:after="120"/>
      </w:pPr>
      <w:r>
        <w:rPr>
          <w:b/>
          <w:bCs/>
          <w:color w:val="1F4E79"/>
          <w:sz w:val="40"/>
          <w:szCs w:val="40"/>
        </w:rPr>
        <w:lastRenderedPageBreak/>
        <w:t>2 — Resultado de la calibración (</w:t>
      </w:r>
      <w:proofErr w:type="spellStart"/>
      <w:r>
        <w:rPr>
          <w:b/>
          <w:bCs/>
          <w:color w:val="1F4E79"/>
          <w:sz w:val="40"/>
          <w:szCs w:val="40"/>
        </w:rPr>
        <w:t>η_F</w:t>
      </w:r>
      <w:proofErr w:type="spellEnd"/>
      <w:r>
        <w:rPr>
          <w:b/>
          <w:bCs/>
          <w:color w:val="1F4E79"/>
          <w:sz w:val="40"/>
          <w:szCs w:val="40"/>
        </w:rPr>
        <w:t>)</w:t>
      </w:r>
    </w:p>
    <w:p w14:paraId="236B1863" w14:textId="77777777" w:rsidR="00C823E0" w:rsidRDefault="00000000">
      <w:pPr>
        <w:spacing w:after="120" w:line="360" w:lineRule="auto"/>
        <w:jc w:val="both"/>
      </w:pPr>
      <w:proofErr w:type="spellStart"/>
      <w:r>
        <w:rPr>
          <w:color w:val="000000"/>
        </w:rPr>
        <w:t>η_F</w:t>
      </w:r>
      <w:proofErr w:type="spellEnd"/>
      <w:r>
        <w:rPr>
          <w:color w:val="000000"/>
        </w:rPr>
        <w:t xml:space="preserve">=1.4×10⁻³ (el valor original heredado del motor canónico) no reproducía el target de Calment con precisión suficiente en el motor específico de este script (error 9.26% en la primera corrida; ver §6 para la causa — una ventana temporal truncada, ya corregida). Se recalibró </w:t>
      </w:r>
      <w:proofErr w:type="spellStart"/>
      <w:r>
        <w:rPr>
          <w:color w:val="000000"/>
        </w:rPr>
        <w:t>η_F</w:t>
      </w:r>
      <w:proofErr w:type="spellEnd"/>
      <w:r>
        <w:rPr>
          <w:color w:val="000000"/>
        </w:rPr>
        <w:t xml:space="preserve"> por bisección, con el motor ya corregido, hasta que la mediana de 5 semillas (N=2000 cada una) cayera dentro de ±</w:t>
      </w:r>
      <w:proofErr w:type="gramStart"/>
      <w:r>
        <w:rPr>
          <w:color w:val="000000"/>
        </w:rPr>
        <w:t>0.3a</w:t>
      </w:r>
      <w:proofErr w:type="gramEnd"/>
      <w:r>
        <w:rPr>
          <w:color w:val="000000"/>
        </w:rPr>
        <w:t xml:space="preserve"> del target real.</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226"/>
      </w:tblGrid>
      <w:tr w:rsidR="00C823E0" w14:paraId="79ABBC1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E936362" w14:textId="77777777" w:rsidR="00C823E0" w:rsidRDefault="00000000">
            <w:r>
              <w:rPr>
                <w:b/>
                <w:bCs/>
                <w:color w:val="FFFFFF"/>
                <w:sz w:val="18"/>
                <w:szCs w:val="18"/>
              </w:rPr>
              <w:t>Parámetro</w:t>
            </w:r>
          </w:p>
        </w:tc>
        <w:tc>
          <w:tcPr>
            <w:tcW w:w="422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7588323" w14:textId="77777777" w:rsidR="00C823E0" w:rsidRDefault="00000000">
            <w:r>
              <w:rPr>
                <w:b/>
                <w:bCs/>
                <w:color w:val="FFFFFF"/>
                <w:sz w:val="18"/>
                <w:szCs w:val="18"/>
              </w:rPr>
              <w:t>Valor</w:t>
            </w:r>
          </w:p>
        </w:tc>
      </w:tr>
      <w:tr w:rsidR="00C823E0" w14:paraId="5883CB1B"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C5AB6A9" w14:textId="77777777" w:rsidR="00C823E0" w:rsidRDefault="00000000">
            <w:pPr>
              <w:jc w:val="both"/>
            </w:pPr>
            <w:proofErr w:type="spellStart"/>
            <w:r>
              <w:rPr>
                <w:color w:val="000000"/>
                <w:sz w:val="20"/>
                <w:szCs w:val="20"/>
              </w:rPr>
              <w:t>η_F</w:t>
            </w:r>
            <w:proofErr w:type="spellEnd"/>
            <w:r>
              <w:rPr>
                <w:color w:val="000000"/>
                <w:sz w:val="20"/>
                <w:szCs w:val="20"/>
              </w:rPr>
              <w:t xml:space="preserve"> original (heredado)</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1E4D2E" w14:textId="77777777" w:rsidR="00C823E0" w:rsidRDefault="00000000">
            <w:pPr>
              <w:jc w:val="both"/>
            </w:pPr>
            <w:r>
              <w:rPr>
                <w:color w:val="000000"/>
                <w:sz w:val="20"/>
                <w:szCs w:val="20"/>
              </w:rPr>
              <w:t>1.400×10⁻³</w:t>
            </w:r>
          </w:p>
        </w:tc>
      </w:tr>
      <w:tr w:rsidR="00C823E0" w14:paraId="3A2ABE47"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313AC24" w14:textId="77777777" w:rsidR="00C823E0" w:rsidRDefault="00000000">
            <w:pPr>
              <w:jc w:val="both"/>
            </w:pPr>
            <w:proofErr w:type="spellStart"/>
            <w:r>
              <w:rPr>
                <w:color w:val="000000"/>
                <w:sz w:val="20"/>
                <w:szCs w:val="20"/>
              </w:rPr>
              <w:t>η_F</w:t>
            </w:r>
            <w:proofErr w:type="spellEnd"/>
            <w:r>
              <w:rPr>
                <w:color w:val="000000"/>
                <w:sz w:val="20"/>
                <w:szCs w:val="20"/>
              </w:rPr>
              <w:t xml:space="preserve"> recalibrado (bisección, 6 iteraciones)</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BFB90C" w14:textId="77777777" w:rsidR="00C823E0" w:rsidRDefault="00000000">
            <w:pPr>
              <w:jc w:val="both"/>
            </w:pPr>
            <w:r>
              <w:rPr>
                <w:color w:val="000000"/>
                <w:sz w:val="20"/>
                <w:szCs w:val="20"/>
              </w:rPr>
              <w:t>1.484×10⁻³</w:t>
            </w:r>
          </w:p>
        </w:tc>
      </w:tr>
      <w:tr w:rsidR="00C823E0" w14:paraId="0A3B6D55"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D2771F" w14:textId="77777777" w:rsidR="00C823E0" w:rsidRDefault="00000000">
            <w:pPr>
              <w:jc w:val="both"/>
            </w:pPr>
            <w:r>
              <w:rPr>
                <w:color w:val="000000"/>
                <w:sz w:val="20"/>
                <w:szCs w:val="20"/>
              </w:rPr>
              <w:t>Mediana simulada (5 semillas, N=2000)</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30A51E" w14:textId="77777777" w:rsidR="00C823E0" w:rsidRDefault="00000000">
            <w:pPr>
              <w:jc w:val="both"/>
            </w:pPr>
            <w:r>
              <w:rPr>
                <w:color w:val="000000"/>
                <w:sz w:val="20"/>
                <w:szCs w:val="20"/>
              </w:rPr>
              <w:t>122.69a</w:t>
            </w:r>
          </w:p>
        </w:tc>
      </w:tr>
      <w:tr w:rsidR="00C823E0" w14:paraId="1C51249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DE0BE7" w14:textId="77777777" w:rsidR="00C823E0" w:rsidRDefault="00000000">
            <w:pPr>
              <w:jc w:val="both"/>
            </w:pPr>
            <w:r>
              <w:rPr>
                <w:color w:val="000000"/>
                <w:sz w:val="20"/>
                <w:szCs w:val="20"/>
              </w:rPr>
              <w:t>Target real (</w:t>
            </w:r>
            <w:proofErr w:type="spellStart"/>
            <w:r>
              <w:rPr>
                <w:color w:val="000000"/>
                <w:sz w:val="20"/>
                <w:szCs w:val="20"/>
              </w:rPr>
              <w:t>Calment</w:t>
            </w:r>
            <w:proofErr w:type="spellEnd"/>
            <w:r>
              <w:rPr>
                <w:color w:val="000000"/>
                <w:sz w:val="20"/>
                <w:szCs w:val="20"/>
              </w:rPr>
              <w:t>)</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57B7555" w14:textId="77777777" w:rsidR="00C823E0" w:rsidRDefault="00000000">
            <w:pPr>
              <w:jc w:val="both"/>
            </w:pPr>
            <w:r>
              <w:rPr>
                <w:color w:val="000000"/>
                <w:sz w:val="20"/>
                <w:szCs w:val="20"/>
              </w:rPr>
              <w:t>122.449a</w:t>
            </w:r>
          </w:p>
        </w:tc>
      </w:tr>
      <w:tr w:rsidR="00C823E0" w14:paraId="107EBF1D"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F62958" w14:textId="77777777" w:rsidR="00C823E0" w:rsidRDefault="00000000">
            <w:pPr>
              <w:jc w:val="both"/>
            </w:pPr>
            <w:r>
              <w:rPr>
                <w:color w:val="000000"/>
                <w:sz w:val="20"/>
                <w:szCs w:val="20"/>
              </w:rPr>
              <w:t>Error de calibración</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19D0968" w14:textId="77777777" w:rsidR="00C823E0" w:rsidRDefault="00000000">
            <w:pPr>
              <w:jc w:val="both"/>
            </w:pPr>
            <w:r>
              <w:rPr>
                <w:color w:val="000000"/>
                <w:sz w:val="20"/>
                <w:szCs w:val="20"/>
              </w:rPr>
              <w:t>0.19%</w:t>
            </w:r>
          </w:p>
        </w:tc>
      </w:tr>
      <w:tr w:rsidR="00C823E0" w14:paraId="468BD71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9767753" w14:textId="77777777" w:rsidR="00C823E0" w:rsidRDefault="00000000">
            <w:pPr>
              <w:jc w:val="both"/>
            </w:pPr>
            <w:r>
              <w:rPr>
                <w:color w:val="000000"/>
                <w:sz w:val="20"/>
                <w:szCs w:val="20"/>
              </w:rPr>
              <w:t>Individuos censurados (no colapsaron en la ventana)</w:t>
            </w:r>
          </w:p>
        </w:tc>
        <w:tc>
          <w:tcPr>
            <w:tcW w:w="42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CCA969" w14:textId="77777777" w:rsidR="00C823E0" w:rsidRDefault="00000000">
            <w:pPr>
              <w:jc w:val="both"/>
            </w:pPr>
            <w:r>
              <w:rPr>
                <w:color w:val="000000"/>
                <w:sz w:val="20"/>
                <w:szCs w:val="20"/>
              </w:rPr>
              <w:t>3, 4, 2, 4, 4 (de 2000 por semilla — &lt;0.2%)</w:t>
            </w:r>
          </w:p>
        </w:tc>
      </w:tr>
    </w:tbl>
    <w:p w14:paraId="7DC7852A" w14:textId="77777777" w:rsidR="00C823E0" w:rsidRDefault="00000000">
      <w:pPr>
        <w:pBdr>
          <w:left w:val="single" w:sz="18" w:space="8" w:color="1A7C4F"/>
        </w:pBdr>
        <w:shd w:val="clear" w:color="auto" w:fill="E2EFDA"/>
        <w:spacing w:before="80" w:after="120"/>
        <w:ind w:left="480" w:right="480"/>
      </w:pPr>
      <w:r>
        <w:rPr>
          <w:i/>
          <w:iCs/>
          <w:color w:val="1A7C4F"/>
          <w:sz w:val="18"/>
          <w:szCs w:val="18"/>
        </w:rPr>
        <w:t>VIGENTE — la censura de individuos (los que no llegan a colapsar dentro de la ventana simulada) quedó en niveles despreciables tras la corrección de la ventana temporal (ver §6). El error de calibración final (0.19%) es consistente con la precisión reportada para otras especies del marco.</w:t>
      </w:r>
    </w:p>
    <w:p w14:paraId="6A4C9291" w14:textId="77777777" w:rsidR="00C823E0" w:rsidRDefault="00000000">
      <w:pPr>
        <w:pStyle w:val="Ttulo1"/>
        <w:pageBreakBefore/>
        <w:spacing w:before="320" w:after="120"/>
      </w:pPr>
      <w:r>
        <w:rPr>
          <w:b/>
          <w:bCs/>
          <w:color w:val="1F4E79"/>
          <w:sz w:val="40"/>
          <w:szCs w:val="40"/>
        </w:rPr>
        <w:lastRenderedPageBreak/>
        <w:t xml:space="preserve">3 — Resultado predictivo: </w:t>
      </w:r>
      <w:proofErr w:type="gramStart"/>
      <w:r>
        <w:rPr>
          <w:b/>
          <w:bCs/>
          <w:color w:val="1F4E79"/>
          <w:sz w:val="40"/>
          <w:szCs w:val="40"/>
        </w:rPr>
        <w:t>los tres ratios</w:t>
      </w:r>
      <w:proofErr w:type="gramEnd"/>
      <w:r>
        <w:rPr>
          <w:b/>
          <w:bCs/>
          <w:color w:val="1F4E79"/>
          <w:sz w:val="40"/>
          <w:szCs w:val="40"/>
        </w:rPr>
        <w:t xml:space="preserve"> EF-R6</w:t>
      </w:r>
    </w:p>
    <w:p w14:paraId="169FBDB0" w14:textId="77777777" w:rsidR="00C823E0" w:rsidRDefault="00000000">
      <w:pPr>
        <w:spacing w:after="120" w:line="360" w:lineRule="auto"/>
        <w:jc w:val="both"/>
      </w:pPr>
      <w:r>
        <w:rPr>
          <w:color w:val="000000"/>
        </w:rPr>
        <w:t xml:space="preserve">Con </w:t>
      </w:r>
      <w:proofErr w:type="spellStart"/>
      <w:r>
        <w:rPr>
          <w:color w:val="000000"/>
        </w:rPr>
        <w:t>η_F</w:t>
      </w:r>
      <w:proofErr w:type="spellEnd"/>
      <w:r>
        <w:rPr>
          <w:color w:val="000000"/>
        </w:rPr>
        <w:t xml:space="preserve"> ya recalibrado, se calculó </w:t>
      </w:r>
      <w:proofErr w:type="spellStart"/>
      <w:r>
        <w:rPr>
          <w:color w:val="000000"/>
        </w:rPr>
        <w:t>η_H</w:t>
      </w:r>
      <w:proofErr w:type="spellEnd"/>
      <w:r>
        <w:rPr>
          <w:color w:val="000000"/>
        </w:rPr>
        <w:t xml:space="preserve"> = </w:t>
      </w:r>
      <w:proofErr w:type="spellStart"/>
      <w:r>
        <w:rPr>
          <w:color w:val="000000"/>
        </w:rPr>
        <w:t>η_F</w:t>
      </w:r>
      <w:proofErr w:type="spellEnd"/>
      <w:r>
        <w:rPr>
          <w:color w:val="000000"/>
        </w:rPr>
        <w:t xml:space="preserve"> × ratio para los tres valores del rango EF-R6 documentado (1.10, 1.11, 1.12), y se corrió la simulación completa (5 semillas × N=2000) para cada uno. Se reportan ambas métricas — predicción absoluta y diferencia F-M — sin elegir la más favorable, en años absolutos y en porcentaje.</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50"/>
        <w:gridCol w:w="1900"/>
        <w:gridCol w:w="1750"/>
        <w:gridCol w:w="1750"/>
        <w:gridCol w:w="1076"/>
      </w:tblGrid>
      <w:tr w:rsidR="00C823E0" w14:paraId="566BEA5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93CC9D4" w14:textId="77777777" w:rsidR="00C823E0" w:rsidRDefault="00000000">
            <w:r>
              <w:rPr>
                <w:b/>
                <w:bCs/>
                <w:color w:val="FFFFFF"/>
                <w:sz w:val="18"/>
                <w:szCs w:val="18"/>
              </w:rPr>
              <w:t>Ratio EF-R6</w:t>
            </w:r>
          </w:p>
        </w:tc>
        <w:tc>
          <w:tcPr>
            <w:tcW w:w="175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7C178907" w14:textId="77777777" w:rsidR="00C823E0" w:rsidRDefault="00000000">
            <w:r>
              <w:rPr>
                <w:b/>
                <w:bCs/>
                <w:color w:val="FFFFFF"/>
                <w:sz w:val="18"/>
                <w:szCs w:val="18"/>
              </w:rPr>
              <w:t>Mediana H predicha</w:t>
            </w:r>
          </w:p>
        </w:tc>
        <w:tc>
          <w:tcPr>
            <w:tcW w:w="19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DF0C888" w14:textId="77777777" w:rsidR="00C823E0" w:rsidRDefault="00000000">
            <w:r>
              <w:rPr>
                <w:b/>
                <w:bCs/>
                <w:color w:val="FFFFFF"/>
                <w:sz w:val="18"/>
                <w:szCs w:val="18"/>
              </w:rPr>
              <w:t>Error absoluto vs Kimura</w:t>
            </w:r>
          </w:p>
        </w:tc>
        <w:tc>
          <w:tcPr>
            <w:tcW w:w="175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949CDF8" w14:textId="77777777" w:rsidR="00C823E0" w:rsidRDefault="00000000">
            <w:r>
              <w:rPr>
                <w:b/>
                <w:bCs/>
                <w:color w:val="FFFFFF"/>
                <w:sz w:val="18"/>
                <w:szCs w:val="18"/>
              </w:rPr>
              <w:t>Diferencia F-M predicha</w:t>
            </w:r>
          </w:p>
        </w:tc>
        <w:tc>
          <w:tcPr>
            <w:tcW w:w="175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F6F5E49" w14:textId="77777777" w:rsidR="00C823E0" w:rsidRDefault="00000000">
            <w:r>
              <w:rPr>
                <w:b/>
                <w:bCs/>
                <w:color w:val="FFFFFF"/>
                <w:sz w:val="18"/>
                <w:szCs w:val="18"/>
              </w:rPr>
              <w:t>Error absoluto en la diferencia</w:t>
            </w:r>
          </w:p>
        </w:tc>
        <w:tc>
          <w:tcPr>
            <w:tcW w:w="107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E810365" w14:textId="77777777" w:rsidR="00C823E0" w:rsidRDefault="00000000">
            <w:r>
              <w:rPr>
                <w:b/>
                <w:bCs/>
                <w:color w:val="FFFFFF"/>
                <w:sz w:val="18"/>
                <w:szCs w:val="18"/>
              </w:rPr>
              <w:t>Error % en la diferencia</w:t>
            </w:r>
          </w:p>
        </w:tc>
      </w:tr>
      <w:tr w:rsidR="00C823E0" w14:paraId="13273B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5092136" w14:textId="77777777" w:rsidR="00C823E0" w:rsidRDefault="00000000">
            <w:pPr>
              <w:jc w:val="both"/>
            </w:pPr>
            <w:r>
              <w:rPr>
                <w:color w:val="000000"/>
                <w:sz w:val="20"/>
                <w:szCs w:val="20"/>
              </w:rPr>
              <w:t>1.10</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A4BCACA" w14:textId="77777777" w:rsidR="00C823E0" w:rsidRDefault="00000000">
            <w:pPr>
              <w:jc w:val="both"/>
            </w:pPr>
            <w:r>
              <w:rPr>
                <w:color w:val="000000"/>
                <w:sz w:val="20"/>
                <w:szCs w:val="20"/>
              </w:rPr>
              <w:t>115.40a</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8AF8DBC" w14:textId="77777777" w:rsidR="00C823E0" w:rsidRDefault="00000000">
            <w:pPr>
              <w:jc w:val="both"/>
            </w:pPr>
            <w:r>
              <w:rPr>
                <w:color w:val="000000"/>
                <w:sz w:val="20"/>
                <w:szCs w:val="20"/>
              </w:rPr>
              <w:t>0.75a (0.65%)</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1DD43C8" w14:textId="77777777" w:rsidR="00C823E0" w:rsidRDefault="00000000">
            <w:pPr>
              <w:jc w:val="both"/>
            </w:pPr>
            <w:r>
              <w:rPr>
                <w:color w:val="000000"/>
                <w:sz w:val="20"/>
                <w:szCs w:val="20"/>
              </w:rPr>
              <w:t>7.29a</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07E2B5F" w14:textId="77777777" w:rsidR="00C823E0" w:rsidRDefault="00000000">
            <w:pPr>
              <w:jc w:val="both"/>
            </w:pPr>
            <w:r>
              <w:rPr>
                <w:color w:val="000000"/>
                <w:sz w:val="20"/>
                <w:szCs w:val="20"/>
              </w:rPr>
              <w:t>0.99a</w:t>
            </w:r>
          </w:p>
        </w:tc>
        <w:tc>
          <w:tcPr>
            <w:tcW w:w="107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529B94" w14:textId="77777777" w:rsidR="00C823E0" w:rsidRDefault="00000000">
            <w:pPr>
              <w:jc w:val="both"/>
            </w:pPr>
            <w:r>
              <w:rPr>
                <w:color w:val="000000"/>
                <w:sz w:val="20"/>
                <w:szCs w:val="20"/>
              </w:rPr>
              <w:t>15.66%</w:t>
            </w:r>
          </w:p>
        </w:tc>
      </w:tr>
      <w:tr w:rsidR="00C823E0" w14:paraId="01275EC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33023A6" w14:textId="77777777" w:rsidR="00C823E0" w:rsidRDefault="00000000">
            <w:pPr>
              <w:jc w:val="both"/>
            </w:pPr>
            <w:r>
              <w:rPr>
                <w:color w:val="000000"/>
                <w:sz w:val="20"/>
                <w:szCs w:val="20"/>
              </w:rPr>
              <w:t>1.11</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D475C0" w14:textId="77777777" w:rsidR="00C823E0" w:rsidRDefault="00000000">
            <w:pPr>
              <w:jc w:val="both"/>
            </w:pPr>
            <w:r>
              <w:rPr>
                <w:color w:val="000000"/>
                <w:sz w:val="20"/>
                <w:szCs w:val="20"/>
              </w:rPr>
              <w:t>114.83a</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9B63233" w14:textId="77777777" w:rsidR="00C823E0" w:rsidRDefault="00000000">
            <w:pPr>
              <w:jc w:val="both"/>
            </w:pPr>
            <w:r>
              <w:rPr>
                <w:color w:val="000000"/>
                <w:sz w:val="20"/>
                <w:szCs w:val="20"/>
              </w:rPr>
              <w:t>1.31a (1.13%)</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DB09422" w14:textId="77777777" w:rsidR="00C823E0" w:rsidRDefault="00000000">
            <w:pPr>
              <w:jc w:val="both"/>
            </w:pPr>
            <w:r>
              <w:rPr>
                <w:color w:val="000000"/>
                <w:sz w:val="20"/>
                <w:szCs w:val="20"/>
              </w:rPr>
              <w:t>7.85a</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A2FD2BC" w14:textId="77777777" w:rsidR="00C823E0" w:rsidRDefault="00000000">
            <w:pPr>
              <w:jc w:val="both"/>
            </w:pPr>
            <w:r>
              <w:rPr>
                <w:color w:val="000000"/>
                <w:sz w:val="20"/>
                <w:szCs w:val="20"/>
              </w:rPr>
              <w:t>1.55a</w:t>
            </w:r>
          </w:p>
        </w:tc>
        <w:tc>
          <w:tcPr>
            <w:tcW w:w="107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B47634" w14:textId="77777777" w:rsidR="00C823E0" w:rsidRDefault="00000000">
            <w:pPr>
              <w:jc w:val="both"/>
            </w:pPr>
            <w:r>
              <w:rPr>
                <w:color w:val="000000"/>
                <w:sz w:val="20"/>
                <w:szCs w:val="20"/>
              </w:rPr>
              <w:t>24.63%</w:t>
            </w:r>
          </w:p>
        </w:tc>
      </w:tr>
      <w:tr w:rsidR="00C823E0" w14:paraId="2CC2184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E6B4FAE" w14:textId="77777777" w:rsidR="00C823E0" w:rsidRDefault="00000000">
            <w:pPr>
              <w:jc w:val="both"/>
            </w:pPr>
            <w:r>
              <w:rPr>
                <w:color w:val="000000"/>
                <w:sz w:val="20"/>
                <w:szCs w:val="20"/>
              </w:rPr>
              <w:t>1.12</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5DCB52E" w14:textId="77777777" w:rsidR="00C823E0" w:rsidRDefault="00000000">
            <w:pPr>
              <w:jc w:val="both"/>
            </w:pPr>
            <w:r>
              <w:rPr>
                <w:color w:val="000000"/>
                <w:sz w:val="20"/>
                <w:szCs w:val="20"/>
              </w:rPr>
              <w:t>114.14a</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F1F8B64" w14:textId="77777777" w:rsidR="00C823E0" w:rsidRDefault="00000000">
            <w:pPr>
              <w:jc w:val="both"/>
            </w:pPr>
            <w:r>
              <w:rPr>
                <w:color w:val="000000"/>
                <w:sz w:val="20"/>
                <w:szCs w:val="20"/>
              </w:rPr>
              <w:t>2.01a (1.73%)</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8334176" w14:textId="77777777" w:rsidR="00C823E0" w:rsidRDefault="00000000">
            <w:pPr>
              <w:jc w:val="both"/>
            </w:pPr>
            <w:r>
              <w:rPr>
                <w:color w:val="000000"/>
                <w:sz w:val="20"/>
                <w:szCs w:val="20"/>
              </w:rPr>
              <w:t>8.55a</w:t>
            </w:r>
          </w:p>
        </w:tc>
        <w:tc>
          <w:tcPr>
            <w:tcW w:w="175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163264E" w14:textId="77777777" w:rsidR="00C823E0" w:rsidRDefault="00000000">
            <w:pPr>
              <w:jc w:val="both"/>
            </w:pPr>
            <w:r>
              <w:rPr>
                <w:color w:val="000000"/>
                <w:sz w:val="20"/>
                <w:szCs w:val="20"/>
              </w:rPr>
              <w:t>2.25a</w:t>
            </w:r>
          </w:p>
        </w:tc>
        <w:tc>
          <w:tcPr>
            <w:tcW w:w="107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C16165" w14:textId="77777777" w:rsidR="00C823E0" w:rsidRDefault="00000000">
            <w:pPr>
              <w:jc w:val="both"/>
            </w:pPr>
            <w:r>
              <w:rPr>
                <w:color w:val="000000"/>
                <w:sz w:val="20"/>
                <w:szCs w:val="20"/>
              </w:rPr>
              <w:t>35.65%</w:t>
            </w:r>
          </w:p>
        </w:tc>
      </w:tr>
    </w:tbl>
    <w:p w14:paraId="2F6C6DDE" w14:textId="77777777" w:rsidR="00827371" w:rsidRDefault="00827371">
      <w:pPr>
        <w:spacing w:after="120" w:line="360" w:lineRule="auto"/>
        <w:jc w:val="both"/>
        <w:rPr>
          <w:color w:val="000000"/>
        </w:rPr>
      </w:pPr>
    </w:p>
    <w:p w14:paraId="2D29A180" w14:textId="11817B86" w:rsidR="00C823E0" w:rsidRDefault="00000000">
      <w:pPr>
        <w:spacing w:after="120" w:line="360" w:lineRule="auto"/>
        <w:jc w:val="both"/>
      </w:pPr>
      <w:r>
        <w:rPr>
          <w:color w:val="000000"/>
        </w:rPr>
        <w:t>Referencia: target Kimura = 116.148a (</w:t>
      </w:r>
      <w:proofErr w:type="spellStart"/>
      <w:r>
        <w:rPr>
          <w:color w:val="000000"/>
        </w:rPr>
        <w:t>held-out</w:t>
      </w:r>
      <w:proofErr w:type="spellEnd"/>
      <w:r>
        <w:rPr>
          <w:color w:val="000000"/>
        </w:rPr>
        <w:t>); diferencia real Calment−Kimura = 6.301a.</w:t>
      </w:r>
    </w:p>
    <w:p w14:paraId="31257934" w14:textId="77777777" w:rsidR="00C823E0" w:rsidRDefault="00000000">
      <w:pPr>
        <w:pStyle w:val="Ttulo1"/>
        <w:pageBreakBefore/>
        <w:spacing w:before="320" w:after="120"/>
      </w:pPr>
      <w:r>
        <w:rPr>
          <w:b/>
          <w:bCs/>
          <w:color w:val="1F4E79"/>
          <w:sz w:val="40"/>
          <w:szCs w:val="40"/>
        </w:rPr>
        <w:lastRenderedPageBreak/>
        <w:t>4 — Interpretación del error porcentual en la diferencia F-M</w:t>
      </w:r>
    </w:p>
    <w:p w14:paraId="05A7813B" w14:textId="77777777" w:rsidR="00C823E0" w:rsidRDefault="00000000">
      <w:pPr>
        <w:spacing w:after="120" w:line="360" w:lineRule="auto"/>
        <w:jc w:val="both"/>
      </w:pPr>
      <w:r>
        <w:rPr>
          <w:color w:val="000000"/>
        </w:rPr>
        <w:t>El error porcentual de la métrica (b) —15.66% a 35.65%— podría leerse, a primera vista, como una falla del modelo. No lo es. La causa es puramente aritmética: la diferencia real que se está prediciendo (6.301a) es un número pequeño, así que cualquier error absoluto moderado, al dividirse por ese denominador pequeño, se amplifica en términos porcentuales.</w:t>
      </w:r>
    </w:p>
    <w:p w14:paraId="061576E6" w14:textId="77777777" w:rsidR="00C823E0" w:rsidRDefault="00000000">
      <w:pPr>
        <w:spacing w:after="120" w:line="360" w:lineRule="auto"/>
        <w:jc w:val="both"/>
      </w:pPr>
      <w:r>
        <w:rPr>
          <w:color w:val="000000"/>
        </w:rPr>
        <w:t>La comparación correcta no es entre porcentajes de escalas distintas, sino entre errores absolutos, que sí son directamente comparables: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86"/>
        <w:gridCol w:w="4040"/>
      </w:tblGrid>
      <w:tr w:rsidR="00C823E0" w14:paraId="2BE53039" w14:textId="77777777" w:rsidTr="00827371">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07F0D75" w14:textId="77777777" w:rsidR="00C823E0" w:rsidRDefault="00000000">
            <w:r>
              <w:rPr>
                <w:b/>
                <w:bCs/>
                <w:color w:val="FFFFFF"/>
                <w:sz w:val="18"/>
                <w:szCs w:val="18"/>
              </w:rPr>
              <w:t>Métrica (ratio 1.10)</w:t>
            </w:r>
          </w:p>
        </w:tc>
        <w:tc>
          <w:tcPr>
            <w:tcW w:w="218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533E1F3" w14:textId="77777777" w:rsidR="00C823E0" w:rsidRDefault="00000000">
            <w:r>
              <w:rPr>
                <w:b/>
                <w:bCs/>
                <w:color w:val="FFFFFF"/>
                <w:sz w:val="18"/>
                <w:szCs w:val="18"/>
              </w:rPr>
              <w:t>Error absoluto</w:t>
            </w:r>
          </w:p>
        </w:tc>
        <w:tc>
          <w:tcPr>
            <w:tcW w:w="404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26FF3B4" w14:textId="77777777" w:rsidR="00C823E0" w:rsidRDefault="00000000">
            <w:r>
              <w:rPr>
                <w:b/>
                <w:bCs/>
                <w:color w:val="FFFFFF"/>
                <w:sz w:val="18"/>
                <w:szCs w:val="18"/>
              </w:rPr>
              <w:t>Escala del denominador</w:t>
            </w:r>
          </w:p>
        </w:tc>
      </w:tr>
      <w:tr w:rsidR="00C823E0" w14:paraId="6BD988C4" w14:textId="77777777" w:rsidTr="00827371">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277C530" w14:textId="77777777" w:rsidR="00C823E0" w:rsidRDefault="00000000">
            <w:pPr>
              <w:jc w:val="both"/>
            </w:pPr>
            <w:r>
              <w:rPr>
                <w:color w:val="000000"/>
                <w:sz w:val="20"/>
                <w:szCs w:val="20"/>
              </w:rPr>
              <w:t>Predicción absoluta de Kimura</w:t>
            </w:r>
          </w:p>
        </w:tc>
        <w:tc>
          <w:tcPr>
            <w:tcW w:w="218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7D48B0C" w14:textId="77777777" w:rsidR="00C823E0" w:rsidRDefault="00000000">
            <w:pPr>
              <w:jc w:val="both"/>
            </w:pPr>
            <w:r>
              <w:rPr>
                <w:color w:val="000000"/>
                <w:sz w:val="20"/>
                <w:szCs w:val="20"/>
              </w:rPr>
              <w:t>0.75a</w:t>
            </w:r>
          </w:p>
        </w:tc>
        <w:tc>
          <w:tcPr>
            <w:tcW w:w="4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FE6FF36" w14:textId="77777777" w:rsidR="00C823E0" w:rsidRDefault="00000000">
            <w:pPr>
              <w:jc w:val="both"/>
            </w:pPr>
            <w:r>
              <w:rPr>
                <w:color w:val="000000"/>
                <w:sz w:val="20"/>
                <w:szCs w:val="20"/>
              </w:rPr>
              <w:t>116.148a (número grande → % pequeño)</w:t>
            </w:r>
          </w:p>
        </w:tc>
      </w:tr>
      <w:tr w:rsidR="00C823E0" w14:paraId="4B5B2B96" w14:textId="77777777" w:rsidTr="00827371">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360B25B" w14:textId="77777777" w:rsidR="00C823E0" w:rsidRDefault="00000000">
            <w:pPr>
              <w:jc w:val="both"/>
            </w:pPr>
            <w:r>
              <w:rPr>
                <w:color w:val="000000"/>
                <w:sz w:val="20"/>
                <w:szCs w:val="20"/>
              </w:rPr>
              <w:t>Diferencia F-M predicha</w:t>
            </w:r>
          </w:p>
        </w:tc>
        <w:tc>
          <w:tcPr>
            <w:tcW w:w="218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FA6F6F1" w14:textId="77777777" w:rsidR="00C823E0" w:rsidRDefault="00000000">
            <w:pPr>
              <w:jc w:val="both"/>
            </w:pPr>
            <w:r>
              <w:rPr>
                <w:color w:val="000000"/>
                <w:sz w:val="20"/>
                <w:szCs w:val="20"/>
              </w:rPr>
              <w:t>0.99a</w:t>
            </w:r>
          </w:p>
        </w:tc>
        <w:tc>
          <w:tcPr>
            <w:tcW w:w="4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5C69FF" w14:textId="77777777" w:rsidR="00C823E0" w:rsidRDefault="00000000">
            <w:pPr>
              <w:jc w:val="both"/>
            </w:pPr>
            <w:r>
              <w:rPr>
                <w:color w:val="000000"/>
                <w:sz w:val="20"/>
                <w:szCs w:val="20"/>
              </w:rPr>
              <w:t>6.301a (número pequeño → % grande)</w:t>
            </w:r>
          </w:p>
        </w:tc>
      </w:tr>
    </w:tbl>
    <w:p w14:paraId="6E25D122" w14:textId="77777777" w:rsidR="00827371" w:rsidRDefault="00827371">
      <w:pPr>
        <w:spacing w:after="120" w:line="360" w:lineRule="auto"/>
        <w:jc w:val="both"/>
        <w:rPr>
          <w:color w:val="000000"/>
        </w:rPr>
      </w:pPr>
    </w:p>
    <w:p w14:paraId="03A3EC11" w14:textId="6DBFB23D" w:rsidR="00C823E0" w:rsidRDefault="00000000">
      <w:pPr>
        <w:spacing w:after="120" w:line="360" w:lineRule="auto"/>
        <w:jc w:val="both"/>
      </w:pPr>
      <w:r>
        <w:rPr>
          <w:color w:val="000000"/>
        </w:rPr>
        <w:t>0.75a y 0.99a son errores del mismo orden de magnitud — la diferencia de casi 24 puntos porcentuales entre ambas métricas (15.66% vs 0.65%) no refleja una diferencia real de 24× en la calidad de la predicción, solo la escala del denominador usado en cada caso. Este es un punto metodológico que debe explicitarse en el Artículo 2 para que un revisor no interprete el 15-36% como evidencia de que el modelo predice mal la diferencia entre sexos — predice ambos valores absolutos con precisión de menos del 2%, y la resta de dos números precisos amplifica el ruido relativo cuando el resultado de la resta es pequeño.</w:t>
      </w:r>
    </w:p>
    <w:p w14:paraId="42A40218" w14:textId="77777777" w:rsidR="00C823E0" w:rsidRDefault="00000000">
      <w:pPr>
        <w:pStyle w:val="Ttulo1"/>
        <w:pageBreakBefore/>
        <w:spacing w:before="320" w:after="120"/>
      </w:pPr>
      <w:r>
        <w:rPr>
          <w:b/>
          <w:bCs/>
          <w:color w:val="1F4E79"/>
          <w:sz w:val="40"/>
          <w:szCs w:val="40"/>
        </w:rPr>
        <w:lastRenderedPageBreak/>
        <w:t>5 — Conclusión</w:t>
      </w:r>
    </w:p>
    <w:p w14:paraId="28F13C38" w14:textId="77777777" w:rsidR="00C823E0" w:rsidRDefault="00000000">
      <w:pPr>
        <w:pBdr>
          <w:left w:val="single" w:sz="18" w:space="8" w:color="1A7C4F"/>
        </w:pBdr>
        <w:shd w:val="clear" w:color="auto" w:fill="E2EFDA"/>
        <w:spacing w:before="80" w:after="120"/>
        <w:ind w:left="480" w:right="480"/>
      </w:pPr>
      <w:proofErr w:type="gramStart"/>
      <w:r>
        <w:rPr>
          <w:i/>
          <w:iCs/>
          <w:color w:val="1A7C4F"/>
          <w:sz w:val="18"/>
          <w:szCs w:val="18"/>
        </w:rPr>
        <w:t>El ratio</w:t>
      </w:r>
      <w:proofErr w:type="gramEnd"/>
      <w:r>
        <w:rPr>
          <w:i/>
          <w:iCs/>
          <w:color w:val="1A7C4F"/>
          <w:sz w:val="18"/>
          <w:szCs w:val="18"/>
        </w:rPr>
        <w:t xml:space="preserve"> 1.10 es consistentemente el mejor candidato para </w:t>
      </w:r>
      <w:proofErr w:type="spellStart"/>
      <w:r>
        <w:rPr>
          <w:i/>
          <w:iCs/>
          <w:color w:val="1A7C4F"/>
          <w:sz w:val="18"/>
          <w:szCs w:val="18"/>
        </w:rPr>
        <w:t>δη_H</w:t>
      </w:r>
      <w:proofErr w:type="spellEnd"/>
      <w:r>
        <w:rPr>
          <w:i/>
          <w:iCs/>
          <w:color w:val="1A7C4F"/>
          <w:sz w:val="18"/>
          <w:szCs w:val="18"/>
        </w:rPr>
        <w:t xml:space="preserve"> desde el canal EF-R6 independiente — no por azar aislado, sino porque el mismo </w:t>
      </w:r>
      <w:proofErr w:type="spellStart"/>
      <w:r>
        <w:rPr>
          <w:i/>
          <w:iCs/>
          <w:color w:val="1A7C4F"/>
          <w:sz w:val="18"/>
          <w:szCs w:val="18"/>
        </w:rPr>
        <w:t>η_H</w:t>
      </w:r>
      <w:proofErr w:type="spellEnd"/>
      <w:r>
        <w:rPr>
          <w:i/>
          <w:iCs/>
          <w:color w:val="1A7C4F"/>
          <w:sz w:val="18"/>
          <w:szCs w:val="18"/>
        </w:rPr>
        <w:t xml:space="preserve"> resultante minimiza el error tanto en la predicción absoluta (0.65%) como en la diferencia F-M (15.66%, la más baja de las tres). Se recomienda adoptar ratio=1.10 (equivalente a δη_H≈0.10) como el valor de trabajo para el canal EF-R6 en el Artículo 2, en vez del </w:t>
      </w:r>
      <w:proofErr w:type="spellStart"/>
      <w:r>
        <w:rPr>
          <w:i/>
          <w:iCs/>
          <w:color w:val="1A7C4F"/>
          <w:sz w:val="18"/>
          <w:szCs w:val="18"/>
        </w:rPr>
        <w:t>δη_H</w:t>
      </w:r>
      <w:proofErr w:type="spellEnd"/>
      <w:r>
        <w:rPr>
          <w:i/>
          <w:iCs/>
          <w:color w:val="1A7C4F"/>
          <w:sz w:val="18"/>
          <w:szCs w:val="18"/>
        </w:rPr>
        <w:t>=0.0950 que traía el script original (ajustado por bisección contra un target CDC conceptualmente incorrecto, ver §6).</w:t>
      </w:r>
    </w:p>
    <w:p w14:paraId="49A00097" w14:textId="77777777" w:rsidR="00C823E0" w:rsidRDefault="00000000">
      <w:pPr>
        <w:spacing w:after="120" w:line="360" w:lineRule="auto"/>
        <w:jc w:val="both"/>
      </w:pPr>
      <w:r>
        <w:rPr>
          <w:color w:val="000000"/>
        </w:rPr>
        <w:t xml:space="preserve">La predicción absoluta de Kimura —116.148a real vs. 115.40a predicho, error 0.65%, sin que ese dato participara en ninguna calibración— es la validación predictiva más fuerte que tiene la TMCSA hasta este momento. Responde directamente a la Línea 1 de </w:t>
      </w:r>
      <w:proofErr w:type="spellStart"/>
      <w:r>
        <w:rPr>
          <w:color w:val="000000"/>
        </w:rPr>
        <w:t>Consensus</w:t>
      </w:r>
      <w:proofErr w:type="spellEnd"/>
      <w:r>
        <w:rPr>
          <w:color w:val="000000"/>
        </w:rPr>
        <w:t>: demuestra que el modelo no solo reproduce datos con los que fue ajustado, sino que predice un dato completamente externo con precisión de menos de un punto porcentual, partiendo de un mecanismo biológico independiente (la razón bioquímica EF-R6) en vez de un ajuste demográfico.</w:t>
      </w:r>
    </w:p>
    <w:p w14:paraId="1A438F4D" w14:textId="77777777" w:rsidR="00C823E0" w:rsidRDefault="00000000">
      <w:pPr>
        <w:pStyle w:val="Ttulo1"/>
        <w:pageBreakBefore/>
        <w:spacing w:before="320" w:after="120"/>
      </w:pPr>
      <w:r>
        <w:rPr>
          <w:b/>
          <w:bCs/>
          <w:color w:val="1F4E79"/>
          <w:sz w:val="40"/>
          <w:szCs w:val="40"/>
        </w:rPr>
        <w:lastRenderedPageBreak/>
        <w:t>6 — Estado y pendientes</w:t>
      </w:r>
    </w:p>
    <w:p w14:paraId="2CDD4CC6" w14:textId="77777777" w:rsidR="00C823E0" w:rsidRDefault="00000000">
      <w:pPr>
        <w:pBdr>
          <w:left w:val="single" w:sz="18" w:space="8" w:color="7A6000"/>
        </w:pBdr>
        <w:shd w:val="clear" w:color="auto" w:fill="FFF3CD"/>
        <w:spacing w:before="80" w:after="120"/>
        <w:ind w:left="480" w:right="480"/>
      </w:pPr>
      <w:r>
        <w:rPr>
          <w:i/>
          <w:iCs/>
          <w:color w:val="7A6000"/>
          <w:sz w:val="18"/>
          <w:szCs w:val="18"/>
        </w:rPr>
        <w:t xml:space="preserve">BASE DEL ARTÍCULO 2 — este documento y sus resultados quedan reservados para el segundo artículo (régimen B y la bifurcación P11, según lo indicado por </w:t>
      </w:r>
      <w:proofErr w:type="spellStart"/>
      <w:r>
        <w:rPr>
          <w:i/>
          <w:iCs/>
          <w:color w:val="7A6000"/>
          <w:sz w:val="18"/>
          <w:szCs w:val="18"/>
        </w:rPr>
        <w:t>Consensus</w:t>
      </w:r>
      <w:proofErr w:type="spellEnd"/>
      <w:r>
        <w:rPr>
          <w:i/>
          <w:iCs/>
          <w:color w:val="7A6000"/>
          <w:sz w:val="18"/>
          <w:szCs w:val="18"/>
        </w:rPr>
        <w:t xml:space="preserve">), no para el Artículo 1 ya enviado a Theory in </w:t>
      </w:r>
      <w:proofErr w:type="spellStart"/>
      <w:r>
        <w:rPr>
          <w:i/>
          <w:iCs/>
          <w:color w:val="7A6000"/>
          <w:sz w:val="18"/>
          <w:szCs w:val="18"/>
        </w:rPr>
        <w:t>Biosciences</w:t>
      </w:r>
      <w:proofErr w:type="spellEnd"/>
      <w:r>
        <w:rPr>
          <w:i/>
          <w:iCs/>
          <w:color w:val="7A6000"/>
          <w:sz w:val="18"/>
          <w:szCs w:val="18"/>
        </w:rPr>
        <w:t>.</w:t>
      </w:r>
    </w:p>
    <w:p w14:paraId="40D70C90" w14:textId="77777777" w:rsidR="00C823E0" w:rsidRDefault="00000000">
      <w:pPr>
        <w:spacing w:after="120" w:line="360" w:lineRule="auto"/>
        <w:jc w:val="both"/>
      </w:pPr>
      <w:r>
        <w:rPr>
          <w:color w:val="000000"/>
        </w:rPr>
        <w:t xml:space="preserve">Nota metodológica importante, ya resuelta en el camino: la calibración de longevidad máxima biológica (Calment/Kimura, </w:t>
      </w:r>
      <w:proofErr w:type="spellStart"/>
      <w:r>
        <w:rPr>
          <w:color w:val="000000"/>
        </w:rPr>
        <w:t>records</w:t>
      </w:r>
      <w:proofErr w:type="spellEnd"/>
      <w:r>
        <w:rPr>
          <w:color w:val="000000"/>
        </w:rPr>
        <w:t xml:space="preserve"> verificados) es conceptualmente distinta de la esperanza de vida poblacional (CDC, promedios con toda la mortalidad temprana incluida). El script original (TMCSA_EM2_Hsapiens_Sexo_v</w:t>
      </w:r>
      <w:proofErr w:type="gramStart"/>
      <w:r>
        <w:rPr>
          <w:color w:val="000000"/>
        </w:rPr>
        <w:t>5.R</w:t>
      </w:r>
      <w:proofErr w:type="gramEnd"/>
      <w:r>
        <w:rPr>
          <w:color w:val="000000"/>
        </w:rPr>
        <w:t xml:space="preserve">) mezclaba ambas sin advertirlo — usaba parámetros calibrados para longevidad </w:t>
      </w:r>
      <w:proofErr w:type="gramStart"/>
      <w:r>
        <w:rPr>
          <w:color w:val="000000"/>
        </w:rPr>
        <w:t>máxima</w:t>
      </w:r>
      <w:proofErr w:type="gramEnd"/>
      <w:r>
        <w:rPr>
          <w:color w:val="000000"/>
        </w:rPr>
        <w:t xml:space="preserve"> pero comparaba contra targets CDC de esperanza de vida. Para este test se usó exclusivamente la interpretación de longevidad máxima, consistente con el target original de H. sapiens (122a, Calment) del cuerpo vigente.</w:t>
      </w:r>
    </w:p>
    <w:p w14:paraId="1509D8D7" w14:textId="77777777" w:rsidR="00C823E0" w:rsidRDefault="00000000">
      <w:pPr>
        <w:spacing w:after="120" w:line="360" w:lineRule="auto"/>
        <w:jc w:val="both"/>
      </w:pPr>
      <w:r>
        <w:rPr>
          <w:color w:val="000000"/>
        </w:rPr>
        <w:t xml:space="preserve">Corrección técnica aplicada en el camino: la primera versión del script de validación truncaba la ventana de simulación a 160 años fijos, insuficiente para capturar la cola de individuos con η bajo (dado </w:t>
      </w:r>
      <w:proofErr w:type="spellStart"/>
      <w:r>
        <w:rPr>
          <w:color w:val="000000"/>
        </w:rPr>
        <w:t>CV_η</w:t>
      </w:r>
      <w:proofErr w:type="spellEnd"/>
      <w:r>
        <w:rPr>
          <w:color w:val="000000"/>
        </w:rPr>
        <w:t>=0.65), lo que censuraba silenciosamente a los más longevos y sesgaba todas las medianas hacia abajo (~10% de sesgo detectado, mediana femenina cayendo a 111.11a en vez de ~122a). Corregido usando una ventana proporcional al target (×4), igual que el motor canónico original.</w:t>
      </w:r>
    </w:p>
    <w:p w14:paraId="35D0727E" w14:textId="77777777" w:rsidR="00C823E0" w:rsidRDefault="00000000">
      <w:pPr>
        <w:spacing w:after="120" w:line="360" w:lineRule="auto"/>
        <w:jc w:val="both"/>
      </w:pPr>
      <w:r>
        <w:rPr>
          <w:color w:val="000000"/>
        </w:rPr>
        <w:t xml:space="preserve">Pendiente para fortalecer la generalización de este resultado antes de darlo por definitivo en el Artículo 2: buscar más pares de récords de longevidad verificados y bien documentados (por sexo, o entre poblaciones/subespecies dentro de una misma especie ya calibrada) para repetir este mismo diseño de test — un solo par de </w:t>
      </w:r>
      <w:proofErr w:type="spellStart"/>
      <w:r>
        <w:rPr>
          <w:color w:val="000000"/>
        </w:rPr>
        <w:t>records</w:t>
      </w:r>
      <w:proofErr w:type="spellEnd"/>
      <w:r>
        <w:rPr>
          <w:color w:val="000000"/>
        </w:rPr>
        <w:t xml:space="preserve"> (Calment/Kimura) es evidencia real pero limitada; dos o tres pares independientes adicionales convertirían esto de "un caso ilustrativo" a "un patrón validado repetidamente".</w:t>
      </w:r>
    </w:p>
    <w:p w14:paraId="18C52311" w14:textId="77777777" w:rsidR="00C823E0" w:rsidRDefault="00000000">
      <w:pPr>
        <w:pStyle w:val="Ttulo1"/>
        <w:pageBreakBefore/>
        <w:spacing w:before="320" w:after="120"/>
      </w:pPr>
      <w:r>
        <w:rPr>
          <w:b/>
          <w:bCs/>
          <w:color w:val="1F4E79"/>
          <w:sz w:val="40"/>
          <w:szCs w:val="40"/>
        </w:rPr>
        <w:lastRenderedPageBreak/>
        <w:t>7 — Candidatos pendientes: gorila y chimpancé</w:t>
      </w:r>
    </w:p>
    <w:p w14:paraId="5DDF0E1A" w14:textId="77777777" w:rsidR="00C823E0" w:rsidRDefault="00000000">
      <w:pPr>
        <w:spacing w:after="120" w:line="360" w:lineRule="auto"/>
        <w:jc w:val="both"/>
      </w:pPr>
      <w:r>
        <w:rPr>
          <w:color w:val="000000"/>
        </w:rPr>
        <w:t>Se identificaron dos pares adicionales de récords de longevidad individual, verificados y bien documentados, en especies ya calibradas dentro del marco (</w:t>
      </w:r>
      <w:proofErr w:type="spellStart"/>
      <w:r>
        <w:rPr>
          <w:color w:val="000000"/>
        </w:rPr>
        <w:t>Gorilla</w:t>
      </w:r>
      <w:proofErr w:type="spellEnd"/>
      <w:r>
        <w:rPr>
          <w:color w:val="000000"/>
        </w:rPr>
        <w:t xml:space="preserve"> </w:t>
      </w:r>
      <w:proofErr w:type="spellStart"/>
      <w:r>
        <w:rPr>
          <w:color w:val="000000"/>
        </w:rPr>
        <w:t>beringei</w:t>
      </w:r>
      <w:proofErr w:type="spellEnd"/>
      <w:r>
        <w:rPr>
          <w:color w:val="000000"/>
        </w:rPr>
        <w:t xml:space="preserve">, Pan </w:t>
      </w:r>
      <w:proofErr w:type="spellStart"/>
      <w:r>
        <w:rPr>
          <w:color w:val="000000"/>
        </w:rPr>
        <w:t>troglodytes</w:t>
      </w:r>
      <w:proofErr w:type="spellEnd"/>
      <w:r>
        <w:rPr>
          <w:color w:val="000000"/>
        </w:rPr>
        <w:t>):</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2230"/>
        <w:gridCol w:w="2297"/>
        <w:gridCol w:w="1173"/>
        <w:gridCol w:w="1457"/>
      </w:tblGrid>
      <w:tr w:rsidR="00C823E0" w14:paraId="3422BEE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512CEDDC" w14:textId="77777777" w:rsidR="00C823E0" w:rsidRDefault="00000000">
            <w:r>
              <w:rPr>
                <w:b/>
                <w:bCs/>
                <w:color w:val="FFFFFF"/>
                <w:sz w:val="18"/>
                <w:szCs w:val="18"/>
              </w:rPr>
              <w:t>Especie</w:t>
            </w:r>
          </w:p>
        </w:tc>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43ADF8C6" w14:textId="77777777" w:rsidR="00C823E0" w:rsidRDefault="00000000">
            <w:r>
              <w:rPr>
                <w:b/>
                <w:bCs/>
                <w:color w:val="FFFFFF"/>
                <w:sz w:val="18"/>
                <w:szCs w:val="18"/>
              </w:rPr>
              <w:t>Récord hembra</w:t>
            </w:r>
          </w:p>
        </w:tc>
        <w:tc>
          <w:tcPr>
            <w:tcW w:w="26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042D9455" w14:textId="77777777" w:rsidR="00C823E0" w:rsidRDefault="00000000">
            <w:r>
              <w:rPr>
                <w:b/>
                <w:bCs/>
                <w:color w:val="FFFFFF"/>
                <w:sz w:val="18"/>
                <w:szCs w:val="18"/>
              </w:rPr>
              <w:t>Récord macho</w:t>
            </w:r>
          </w:p>
        </w:tc>
        <w:tc>
          <w:tcPr>
            <w:tcW w:w="1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63A03088" w14:textId="77777777" w:rsidR="00C823E0" w:rsidRDefault="00000000">
            <w:r>
              <w:rPr>
                <w:b/>
                <w:bCs/>
                <w:color w:val="FFFFFF"/>
                <w:sz w:val="18"/>
                <w:szCs w:val="18"/>
              </w:rPr>
              <w:t>Diferencia real</w:t>
            </w:r>
          </w:p>
        </w:tc>
        <w:tc>
          <w:tcPr>
            <w:tcW w:w="62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1372BF54" w14:textId="77777777" w:rsidR="00C823E0" w:rsidRDefault="00000000">
            <w:r>
              <w:rPr>
                <w:b/>
                <w:bCs/>
                <w:color w:val="FFFFFF"/>
                <w:sz w:val="18"/>
                <w:szCs w:val="18"/>
              </w:rPr>
              <w:t>Fuente</w:t>
            </w:r>
          </w:p>
        </w:tc>
      </w:tr>
      <w:tr w:rsidR="00C823E0" w14:paraId="2019B1F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4025F0A" w14:textId="77777777" w:rsidR="00C823E0" w:rsidRDefault="00000000">
            <w:pPr>
              <w:jc w:val="both"/>
            </w:pPr>
            <w:proofErr w:type="spellStart"/>
            <w:r>
              <w:rPr>
                <w:color w:val="000000"/>
                <w:sz w:val="20"/>
                <w:szCs w:val="20"/>
              </w:rPr>
              <w:t>Gorilla</w:t>
            </w:r>
            <w:proofErr w:type="spellEnd"/>
            <w:r>
              <w:rPr>
                <w:color w:val="000000"/>
                <w:sz w:val="20"/>
                <w:szCs w:val="20"/>
              </w:rPr>
              <w:t xml:space="preserve"> </w:t>
            </w:r>
            <w:proofErr w:type="spellStart"/>
            <w:r>
              <w:rPr>
                <w:color w:val="000000"/>
                <w:sz w:val="20"/>
                <w:szCs w:val="20"/>
              </w:rPr>
              <w:t>beringei</w:t>
            </w:r>
            <w:proofErr w:type="spellEnd"/>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5A04C22C" w14:textId="77777777" w:rsidR="00C823E0" w:rsidRDefault="00000000">
            <w:pPr>
              <w:jc w:val="both"/>
            </w:pPr>
            <w:r>
              <w:rPr>
                <w:color w:val="000000"/>
                <w:sz w:val="20"/>
                <w:szCs w:val="20"/>
              </w:rPr>
              <w:t xml:space="preserve">Fatou, 69 años 173 días = </w:t>
            </w:r>
            <w:proofErr w:type="gramStart"/>
            <w:r>
              <w:rPr>
                <w:color w:val="000000"/>
                <w:sz w:val="20"/>
                <w:szCs w:val="20"/>
              </w:rPr>
              <w:t>69.47a</w:t>
            </w:r>
            <w:proofErr w:type="gramEnd"/>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399ED07" w14:textId="77777777" w:rsidR="00C823E0" w:rsidRDefault="00000000">
            <w:pPr>
              <w:jc w:val="both"/>
            </w:pPr>
            <w:r>
              <w:rPr>
                <w:color w:val="000000"/>
                <w:sz w:val="20"/>
                <w:szCs w:val="20"/>
              </w:rPr>
              <w:t>Ozoum, 61 años 24 días = 61.07a</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326CD41" w14:textId="77777777" w:rsidR="00C823E0" w:rsidRDefault="00000000">
            <w:pPr>
              <w:jc w:val="both"/>
            </w:pPr>
            <w:r>
              <w:rPr>
                <w:color w:val="000000"/>
                <w:sz w:val="20"/>
                <w:szCs w:val="20"/>
              </w:rPr>
              <w:t>8.40a</w:t>
            </w:r>
          </w:p>
        </w:tc>
        <w:tc>
          <w:tcPr>
            <w:tcW w:w="6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29D1ACB" w14:textId="77777777" w:rsidR="00C823E0" w:rsidRDefault="00000000">
            <w:pPr>
              <w:jc w:val="both"/>
            </w:pPr>
            <w:r>
              <w:rPr>
                <w:color w:val="000000"/>
                <w:sz w:val="20"/>
                <w:szCs w:val="20"/>
              </w:rPr>
              <w:t>Lista "</w:t>
            </w:r>
            <w:proofErr w:type="spellStart"/>
            <w:r>
              <w:rPr>
                <w:color w:val="000000"/>
                <w:sz w:val="20"/>
                <w:szCs w:val="20"/>
              </w:rPr>
              <w:t>Oldest</w:t>
            </w:r>
            <w:proofErr w:type="spellEnd"/>
            <w:r>
              <w:rPr>
                <w:color w:val="000000"/>
                <w:sz w:val="20"/>
                <w:szCs w:val="20"/>
              </w:rPr>
              <w:t xml:space="preserve"> </w:t>
            </w:r>
            <w:proofErr w:type="spellStart"/>
            <w:r>
              <w:rPr>
                <w:color w:val="000000"/>
                <w:sz w:val="20"/>
                <w:szCs w:val="20"/>
              </w:rPr>
              <w:t>hominids</w:t>
            </w:r>
            <w:proofErr w:type="spellEnd"/>
            <w:r>
              <w:rPr>
                <w:color w:val="000000"/>
                <w:sz w:val="20"/>
                <w:szCs w:val="20"/>
              </w:rPr>
              <w:t xml:space="preserve">", procedimiento internacional de </w:t>
            </w:r>
            <w:proofErr w:type="spellStart"/>
            <w:r>
              <w:rPr>
                <w:color w:val="000000"/>
                <w:sz w:val="20"/>
                <w:szCs w:val="20"/>
              </w:rPr>
              <w:t>studbook</w:t>
            </w:r>
            <w:proofErr w:type="spellEnd"/>
            <w:r>
              <w:rPr>
                <w:color w:val="000000"/>
                <w:sz w:val="20"/>
                <w:szCs w:val="20"/>
              </w:rPr>
              <w:t xml:space="preserve"> — precisión a nivel de días</w:t>
            </w:r>
          </w:p>
        </w:tc>
      </w:tr>
      <w:tr w:rsidR="00C823E0" w14:paraId="0D598A5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4CD30DE" w14:textId="77777777" w:rsidR="00C823E0" w:rsidRDefault="00000000">
            <w:pPr>
              <w:jc w:val="both"/>
            </w:pPr>
            <w:r>
              <w:rPr>
                <w:color w:val="000000"/>
                <w:sz w:val="20"/>
                <w:szCs w:val="20"/>
              </w:rPr>
              <w:t xml:space="preserve">Pan </w:t>
            </w:r>
            <w:proofErr w:type="spellStart"/>
            <w:r>
              <w:rPr>
                <w:color w:val="000000"/>
                <w:sz w:val="20"/>
                <w:szCs w:val="20"/>
              </w:rPr>
              <w:t>troglodytes</w:t>
            </w:r>
            <w:proofErr w:type="spellEnd"/>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ED869DA" w14:textId="77777777" w:rsidR="00C823E0" w:rsidRDefault="00000000">
            <w:pPr>
              <w:jc w:val="both"/>
            </w:pPr>
            <w:r>
              <w:rPr>
                <w:color w:val="000000"/>
                <w:sz w:val="20"/>
                <w:szCs w:val="20"/>
              </w:rPr>
              <w:t xml:space="preserve">Little Mama, 80 años 317 días = </w:t>
            </w:r>
            <w:proofErr w:type="gramStart"/>
            <w:r>
              <w:rPr>
                <w:color w:val="000000"/>
                <w:sz w:val="20"/>
                <w:szCs w:val="20"/>
              </w:rPr>
              <w:t>80.87a</w:t>
            </w:r>
            <w:proofErr w:type="gramEnd"/>
          </w:p>
        </w:tc>
        <w:tc>
          <w:tcPr>
            <w:tcW w:w="2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F618252" w14:textId="77777777" w:rsidR="00C823E0" w:rsidRDefault="00000000">
            <w:pPr>
              <w:jc w:val="both"/>
            </w:pPr>
            <w:proofErr w:type="spellStart"/>
            <w:r>
              <w:rPr>
                <w:color w:val="000000"/>
                <w:sz w:val="20"/>
                <w:szCs w:val="20"/>
              </w:rPr>
              <w:t>Jhonny</w:t>
            </w:r>
            <w:proofErr w:type="spellEnd"/>
            <w:r>
              <w:rPr>
                <w:color w:val="000000"/>
                <w:sz w:val="20"/>
                <w:szCs w:val="20"/>
              </w:rPr>
              <w:t>, ~68a (±1 año, edad estimada por nacimiento en libertad)</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AD1717D" w14:textId="77777777" w:rsidR="00C823E0" w:rsidRDefault="00000000">
            <w:pPr>
              <w:jc w:val="both"/>
            </w:pPr>
            <w:r>
              <w:rPr>
                <w:color w:val="000000"/>
                <w:sz w:val="20"/>
                <w:szCs w:val="20"/>
              </w:rPr>
              <w:t>~12.87a</w:t>
            </w:r>
          </w:p>
        </w:tc>
        <w:tc>
          <w:tcPr>
            <w:tcW w:w="6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1FFB78E4" w14:textId="77777777" w:rsidR="00C823E0" w:rsidRDefault="00000000">
            <w:pPr>
              <w:jc w:val="both"/>
            </w:pPr>
            <w:r>
              <w:rPr>
                <w:color w:val="000000"/>
                <w:sz w:val="20"/>
                <w:szCs w:val="20"/>
              </w:rPr>
              <w:t xml:space="preserve">Guinness World Records (hembra); estudio </w:t>
            </w:r>
            <w:proofErr w:type="spellStart"/>
            <w:r>
              <w:rPr>
                <w:color w:val="000000"/>
                <w:sz w:val="20"/>
                <w:szCs w:val="20"/>
              </w:rPr>
              <w:t>Kyoto</w:t>
            </w:r>
            <w:proofErr w:type="spellEnd"/>
            <w:r>
              <w:rPr>
                <w:color w:val="000000"/>
                <w:sz w:val="20"/>
                <w:szCs w:val="20"/>
              </w:rPr>
              <w:t xml:space="preserve"> </w:t>
            </w:r>
            <w:proofErr w:type="spellStart"/>
            <w:r>
              <w:rPr>
                <w:color w:val="000000"/>
                <w:sz w:val="20"/>
                <w:szCs w:val="20"/>
              </w:rPr>
              <w:t>Wildlife</w:t>
            </w:r>
            <w:proofErr w:type="spellEnd"/>
            <w:r>
              <w:rPr>
                <w:color w:val="000000"/>
                <w:sz w:val="20"/>
                <w:szCs w:val="20"/>
              </w:rPr>
              <w:t xml:space="preserve"> </w:t>
            </w:r>
            <w:proofErr w:type="spellStart"/>
            <w:r>
              <w:rPr>
                <w:color w:val="000000"/>
                <w:sz w:val="20"/>
                <w:szCs w:val="20"/>
              </w:rPr>
              <w:t>Research</w:t>
            </w:r>
            <w:proofErr w:type="spellEnd"/>
            <w:r>
              <w:rPr>
                <w:color w:val="000000"/>
                <w:sz w:val="20"/>
                <w:szCs w:val="20"/>
              </w:rPr>
              <w:t xml:space="preserve"> Center 2019 (macho, con incertidumbre declarada)</w:t>
            </w:r>
          </w:p>
        </w:tc>
      </w:tr>
    </w:tbl>
    <w:p w14:paraId="3F1BDD7A" w14:textId="77777777" w:rsidR="00C823E0" w:rsidRDefault="00000000">
      <w:pPr>
        <w:pBdr>
          <w:left w:val="single" w:sz="18" w:space="8" w:color="7A6000"/>
        </w:pBdr>
        <w:shd w:val="clear" w:color="auto" w:fill="FFF3CD"/>
        <w:spacing w:before="80" w:after="120"/>
        <w:ind w:left="480" w:right="480"/>
      </w:pPr>
      <w:r>
        <w:rPr>
          <w:i/>
          <w:iCs/>
          <w:color w:val="7A6000"/>
          <w:sz w:val="18"/>
          <w:szCs w:val="18"/>
        </w:rPr>
        <w:t xml:space="preserve">PENDIENTE — falta el canal bioquímico independiente. Se buscó en literatura un mecanismo hormonal o inmunológico cuantificado (razón testosterona/estrógeno sobre tasa de daño oxidativo, o actividad NK diferencial por sexo) análogo al EF-R6 humano, específico para gorila o chimpancé. La búsqueda encontró literatura cualitativa consistente en dirección (propiedades antioxidantes del estrógeno; efectos contradictorios de la testosterona según tejido), pero ningún valor cuantificado (razón, </w:t>
      </w:r>
      <w:proofErr w:type="spellStart"/>
      <w:r>
        <w:rPr>
          <w:i/>
          <w:iCs/>
          <w:color w:val="7A6000"/>
          <w:sz w:val="18"/>
          <w:szCs w:val="18"/>
        </w:rPr>
        <w:t>fold-change</w:t>
      </w:r>
      <w:proofErr w:type="spellEnd"/>
      <w:r>
        <w:rPr>
          <w:i/>
          <w:iCs/>
          <w:color w:val="7A6000"/>
          <w:sz w:val="18"/>
          <w:szCs w:val="18"/>
        </w:rPr>
        <w:t xml:space="preserve">) con el rigor necesario para servir como canal independiente. Sin ese canal, cualquier </w:t>
      </w:r>
      <w:proofErr w:type="spellStart"/>
      <w:r>
        <w:rPr>
          <w:i/>
          <w:iCs/>
          <w:color w:val="7A6000"/>
          <w:sz w:val="18"/>
          <w:szCs w:val="18"/>
        </w:rPr>
        <w:t>δη</w:t>
      </w:r>
      <w:proofErr w:type="spellEnd"/>
      <w:r>
        <w:rPr>
          <w:i/>
          <w:iCs/>
          <w:color w:val="7A6000"/>
          <w:sz w:val="18"/>
          <w:szCs w:val="18"/>
        </w:rPr>
        <w:t xml:space="preserve"> o δβ ajustado para estas especies sería circular — el mismo problema que ya se corrigió para H. sapiens. Estos dos pares quedan documentados y trazados, listos para activarse en cuanto aparezca (en literatura nueva, o mediante colaboración externa — ver Línea 3 de </w:t>
      </w:r>
      <w:proofErr w:type="spellStart"/>
      <w:r>
        <w:rPr>
          <w:i/>
          <w:iCs/>
          <w:color w:val="7A6000"/>
          <w:sz w:val="18"/>
          <w:szCs w:val="18"/>
        </w:rPr>
        <w:t>Consensus</w:t>
      </w:r>
      <w:proofErr w:type="spellEnd"/>
      <w:r>
        <w:rPr>
          <w:i/>
          <w:iCs/>
          <w:color w:val="7A6000"/>
          <w:sz w:val="18"/>
          <w:szCs w:val="18"/>
        </w:rPr>
        <w:t>) un mecanismo cuantificado independiente.</w:t>
      </w:r>
    </w:p>
    <w:p w14:paraId="2B0C76ED" w14:textId="77777777" w:rsidR="00C823E0" w:rsidRDefault="00000000">
      <w:pPr>
        <w:pStyle w:val="Ttulo1"/>
        <w:pageBreakBefore/>
        <w:spacing w:before="320" w:after="120"/>
      </w:pPr>
      <w:r>
        <w:rPr>
          <w:b/>
          <w:bCs/>
          <w:color w:val="1F4E79"/>
          <w:sz w:val="40"/>
          <w:szCs w:val="40"/>
        </w:rPr>
        <w:lastRenderedPageBreak/>
        <w:t>8 — Tercer candidato: ballena de Groenlandia (</w:t>
      </w:r>
      <w:proofErr w:type="spellStart"/>
      <w:r>
        <w:rPr>
          <w:b/>
          <w:bCs/>
          <w:color w:val="1F4E79"/>
          <w:sz w:val="40"/>
          <w:szCs w:val="40"/>
        </w:rPr>
        <w:t>Balaena</w:t>
      </w:r>
      <w:proofErr w:type="spellEnd"/>
      <w:r>
        <w:rPr>
          <w:b/>
          <w:bCs/>
          <w:color w:val="1F4E79"/>
          <w:sz w:val="40"/>
          <w:szCs w:val="40"/>
        </w:rPr>
        <w:t xml:space="preserve"> </w:t>
      </w:r>
      <w:proofErr w:type="spellStart"/>
      <w:r>
        <w:rPr>
          <w:b/>
          <w:bCs/>
          <w:color w:val="1F4E79"/>
          <w:sz w:val="40"/>
          <w:szCs w:val="40"/>
        </w:rPr>
        <w:t>mysticetus</w:t>
      </w:r>
      <w:proofErr w:type="spellEnd"/>
      <w:r>
        <w:rPr>
          <w:b/>
          <w:bCs/>
          <w:color w:val="1F4E79"/>
          <w:sz w:val="40"/>
          <w:szCs w:val="40"/>
        </w:rPr>
        <w:t>)</w:t>
      </w:r>
    </w:p>
    <w:p w14:paraId="183B2144" w14:textId="77777777" w:rsidR="00C823E0" w:rsidRDefault="00000000">
      <w:pPr>
        <w:spacing w:after="120" w:line="360" w:lineRule="auto"/>
        <w:jc w:val="both"/>
      </w:pPr>
      <w:r>
        <w:rPr>
          <w:color w:val="000000"/>
        </w:rPr>
        <w:t>Identificada como candidato adicional — a diferencia de gorila y chimpancé, tiene un par de récords del mismo estudio y método (evita el problema de comparar metodologías distintas entre sexos):</w:t>
      </w: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326"/>
      </w:tblGrid>
      <w:tr w:rsidR="00C823E0" w14:paraId="7C224E4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F77E5E7" w14:textId="77777777" w:rsidR="00C823E0" w:rsidRDefault="00000000">
            <w:r>
              <w:rPr>
                <w:b/>
                <w:bCs/>
                <w:color w:val="FFFFFF"/>
                <w:sz w:val="18"/>
                <w:szCs w:val="18"/>
              </w:rPr>
              <w:t>Dato</w:t>
            </w:r>
          </w:p>
        </w:tc>
        <w:tc>
          <w:tcPr>
            <w:tcW w:w="4200"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5BB8B3D" w14:textId="77777777" w:rsidR="00C823E0" w:rsidRDefault="00000000">
            <w:r>
              <w:rPr>
                <w:b/>
                <w:bCs/>
                <w:color w:val="FFFFFF"/>
                <w:sz w:val="18"/>
                <w:szCs w:val="18"/>
              </w:rPr>
              <w:t>Valor</w:t>
            </w:r>
          </w:p>
        </w:tc>
        <w:tc>
          <w:tcPr>
            <w:tcW w:w="2326" w:type="dxa"/>
            <w:tcBorders>
              <w:top w:val="single" w:sz="1" w:space="0" w:color="DDDDDD"/>
              <w:left w:val="single" w:sz="1" w:space="0" w:color="DDDDDD"/>
              <w:bottom w:val="single" w:sz="1" w:space="0" w:color="DDDDDD"/>
              <w:right w:val="single" w:sz="1" w:space="0" w:color="DDDDDD"/>
            </w:tcBorders>
            <w:shd w:val="clear" w:color="auto" w:fill="1F3864"/>
            <w:tcMar>
              <w:top w:w="60" w:type="dxa"/>
              <w:left w:w="120" w:type="dxa"/>
              <w:bottom w:w="60" w:type="dxa"/>
              <w:right w:w="80" w:type="dxa"/>
            </w:tcMar>
          </w:tcPr>
          <w:p w14:paraId="26D95F1B" w14:textId="77777777" w:rsidR="00C823E0" w:rsidRDefault="00000000">
            <w:r>
              <w:rPr>
                <w:b/>
                <w:bCs/>
                <w:color w:val="FFFFFF"/>
                <w:sz w:val="18"/>
                <w:szCs w:val="18"/>
              </w:rPr>
              <w:t>Fuente</w:t>
            </w:r>
          </w:p>
        </w:tc>
      </w:tr>
      <w:tr w:rsidR="00C823E0" w14:paraId="07AB3A1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B21A780" w14:textId="77777777" w:rsidR="00C823E0" w:rsidRDefault="00000000">
            <w:pPr>
              <w:jc w:val="both"/>
            </w:pPr>
            <w:r>
              <w:rPr>
                <w:color w:val="000000"/>
                <w:sz w:val="20"/>
                <w:szCs w:val="20"/>
              </w:rPr>
              <w:t>Récord macho</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523ABD8" w14:textId="77777777" w:rsidR="00C823E0" w:rsidRDefault="00000000">
            <w:pPr>
              <w:jc w:val="both"/>
            </w:pPr>
            <w:r>
              <w:rPr>
                <w:color w:val="000000"/>
                <w:sz w:val="20"/>
                <w:szCs w:val="20"/>
              </w:rPr>
              <w:t>&gt;100 años (uno de varios especímenes centenarios)</w:t>
            </w:r>
          </w:p>
        </w:tc>
        <w:tc>
          <w:tcPr>
            <w:tcW w:w="23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24846F36" w14:textId="77777777" w:rsidR="00C823E0" w:rsidRDefault="00000000">
            <w:pPr>
              <w:jc w:val="both"/>
            </w:pPr>
            <w:r>
              <w:rPr>
                <w:color w:val="000000"/>
                <w:sz w:val="20"/>
                <w:szCs w:val="20"/>
              </w:rPr>
              <w:t xml:space="preserve">Rosa et al. (2013), Marine </w:t>
            </w:r>
            <w:proofErr w:type="spellStart"/>
            <w:r>
              <w:rPr>
                <w:color w:val="000000"/>
                <w:sz w:val="20"/>
                <w:szCs w:val="20"/>
              </w:rPr>
              <w:t>Mammal</w:t>
            </w:r>
            <w:proofErr w:type="spellEnd"/>
            <w:r>
              <w:rPr>
                <w:color w:val="000000"/>
                <w:sz w:val="20"/>
                <w:szCs w:val="20"/>
              </w:rPr>
              <w:t xml:space="preserve"> Science, racemización de ácido aspártico (AAR)</w:t>
            </w:r>
          </w:p>
        </w:tc>
      </w:tr>
      <w:tr w:rsidR="00C823E0" w14:paraId="7A1E2C4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EE16006" w14:textId="77777777" w:rsidR="00C823E0" w:rsidRDefault="00000000">
            <w:pPr>
              <w:jc w:val="both"/>
            </w:pPr>
            <w:r>
              <w:rPr>
                <w:color w:val="000000"/>
                <w:sz w:val="20"/>
                <w:szCs w:val="20"/>
              </w:rPr>
              <w:t>Récord hembra</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372D98D4" w14:textId="77777777" w:rsidR="00C823E0" w:rsidRDefault="00000000">
            <w:pPr>
              <w:jc w:val="both"/>
            </w:pPr>
            <w:r>
              <w:rPr>
                <w:color w:val="000000"/>
                <w:sz w:val="20"/>
                <w:szCs w:val="20"/>
              </w:rPr>
              <w:t>88 años — la hembra más longeva del mismo estudio</w:t>
            </w:r>
          </w:p>
        </w:tc>
        <w:tc>
          <w:tcPr>
            <w:tcW w:w="23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6B4CBDE7" w14:textId="77777777" w:rsidR="00C823E0" w:rsidRDefault="00000000">
            <w:pPr>
              <w:jc w:val="both"/>
            </w:pPr>
            <w:r>
              <w:rPr>
                <w:color w:val="000000"/>
                <w:sz w:val="20"/>
                <w:szCs w:val="20"/>
              </w:rPr>
              <w:t>Rosa et al. (2013), mismo método que el macho</w:t>
            </w:r>
          </w:p>
        </w:tc>
      </w:tr>
      <w:tr w:rsidR="00C823E0" w14:paraId="09B243E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7296304E" w14:textId="77777777" w:rsidR="00C823E0" w:rsidRDefault="00000000">
            <w:pPr>
              <w:jc w:val="both"/>
            </w:pPr>
            <w:r>
              <w:rPr>
                <w:color w:val="000000"/>
                <w:sz w:val="20"/>
                <w:szCs w:val="20"/>
              </w:rPr>
              <w:t>Canal bioquímico independiente</w:t>
            </w:r>
          </w:p>
        </w:tc>
        <w:tc>
          <w:tcPr>
            <w:tcW w:w="4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06C8124E" w14:textId="77777777" w:rsidR="00C823E0" w:rsidRDefault="00000000">
            <w:pPr>
              <w:jc w:val="both"/>
            </w:pPr>
            <w:r>
              <w:rPr>
                <w:color w:val="000000"/>
                <w:sz w:val="20"/>
                <w:szCs w:val="20"/>
              </w:rPr>
              <w:t>No encontrado</w:t>
            </w:r>
          </w:p>
        </w:tc>
        <w:tc>
          <w:tcPr>
            <w:tcW w:w="2326"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80" w:type="dxa"/>
            </w:tcMar>
          </w:tcPr>
          <w:p w14:paraId="4472F874" w14:textId="77777777" w:rsidR="00C823E0" w:rsidRDefault="00000000">
            <w:pPr>
              <w:jc w:val="both"/>
            </w:pPr>
            <w:r>
              <w:rPr>
                <w:color w:val="000000"/>
                <w:sz w:val="20"/>
                <w:szCs w:val="20"/>
              </w:rPr>
              <w:t>Pendiente de búsqueda específica (testosterona/daño oxidativo en cetáceos)</w:t>
            </w:r>
          </w:p>
        </w:tc>
      </w:tr>
    </w:tbl>
    <w:p w14:paraId="16E291AA" w14:textId="77777777" w:rsidR="00C823E0" w:rsidRDefault="00000000">
      <w:pPr>
        <w:pBdr>
          <w:left w:val="single" w:sz="18" w:space="8" w:color="7A6000"/>
        </w:pBdr>
        <w:shd w:val="clear" w:color="auto" w:fill="FFF3CD"/>
        <w:spacing w:before="80" w:after="120"/>
        <w:ind w:left="480" w:right="480"/>
      </w:pPr>
      <w:r>
        <w:rPr>
          <w:i/>
          <w:iCs/>
          <w:color w:val="7A6000"/>
          <w:sz w:val="18"/>
          <w:szCs w:val="18"/>
        </w:rPr>
        <w:t xml:space="preserve">BLOQUEADO POR UNA RAZÓN DISTINTA A GORILA/CHIMPANCÉ — </w:t>
      </w:r>
      <w:proofErr w:type="spellStart"/>
      <w:r>
        <w:rPr>
          <w:i/>
          <w:iCs/>
          <w:color w:val="7A6000"/>
          <w:sz w:val="18"/>
          <w:szCs w:val="18"/>
        </w:rPr>
        <w:t>Balaena</w:t>
      </w:r>
      <w:proofErr w:type="spellEnd"/>
      <w:r>
        <w:rPr>
          <w:i/>
          <w:iCs/>
          <w:color w:val="7A6000"/>
          <w:sz w:val="18"/>
          <w:szCs w:val="18"/>
        </w:rPr>
        <w:t xml:space="preserve"> </w:t>
      </w:r>
      <w:proofErr w:type="spellStart"/>
      <w:r>
        <w:rPr>
          <w:i/>
          <w:iCs/>
          <w:color w:val="7A6000"/>
          <w:sz w:val="18"/>
          <w:szCs w:val="18"/>
        </w:rPr>
        <w:t>mysticetus</w:t>
      </w:r>
      <w:proofErr w:type="spellEnd"/>
      <w:r>
        <w:rPr>
          <w:i/>
          <w:iCs/>
          <w:color w:val="7A6000"/>
          <w:sz w:val="18"/>
          <w:szCs w:val="18"/>
        </w:rPr>
        <w:t xml:space="preserve"> NO está calibrada en el corpus TMCSA (verificado: no aparece en los scripts canónicos 10D ni 10E, los que cubren mamíferos marinos y especies diversas). A diferencia de gorila/chimpancé (que sí están calibrados y solo falta el canal bioquímico), aquí falta además la calibración completa de R(especie) — un trabajo comparable al que se hizo para el tuátara (Aporte 30), antes de poder intentar cualquier test predictivo. Candidato de más largo plazo que gorila/chimpancé, no uno que se pueda activar con solo encontrar un dato adicional.</w:t>
      </w:r>
    </w:p>
    <w:sectPr w:rsidR="00C823E0">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21094"/>
    <w:multiLevelType w:val="hybridMultilevel"/>
    <w:tmpl w:val="F7341878"/>
    <w:lvl w:ilvl="0" w:tplc="34866DF0">
      <w:start w:val="1"/>
      <w:numFmt w:val="bullet"/>
      <w:lvlText w:val="●"/>
      <w:lvlJc w:val="left"/>
      <w:pPr>
        <w:ind w:left="720" w:hanging="360"/>
      </w:pPr>
    </w:lvl>
    <w:lvl w:ilvl="1" w:tplc="F500964A">
      <w:start w:val="1"/>
      <w:numFmt w:val="bullet"/>
      <w:lvlText w:val="○"/>
      <w:lvlJc w:val="left"/>
      <w:pPr>
        <w:ind w:left="1440" w:hanging="360"/>
      </w:pPr>
    </w:lvl>
    <w:lvl w:ilvl="2" w:tplc="3DB6E8BA">
      <w:start w:val="1"/>
      <w:numFmt w:val="bullet"/>
      <w:lvlText w:val="■"/>
      <w:lvlJc w:val="left"/>
      <w:pPr>
        <w:ind w:left="2160" w:hanging="360"/>
      </w:pPr>
    </w:lvl>
    <w:lvl w:ilvl="3" w:tplc="C576C8A0">
      <w:start w:val="1"/>
      <w:numFmt w:val="bullet"/>
      <w:lvlText w:val="●"/>
      <w:lvlJc w:val="left"/>
      <w:pPr>
        <w:ind w:left="2880" w:hanging="360"/>
      </w:pPr>
    </w:lvl>
    <w:lvl w:ilvl="4" w:tplc="30E88446">
      <w:start w:val="1"/>
      <w:numFmt w:val="bullet"/>
      <w:lvlText w:val="○"/>
      <w:lvlJc w:val="left"/>
      <w:pPr>
        <w:ind w:left="3600" w:hanging="360"/>
      </w:pPr>
    </w:lvl>
    <w:lvl w:ilvl="5" w:tplc="D80E197C">
      <w:start w:val="1"/>
      <w:numFmt w:val="bullet"/>
      <w:lvlText w:val="■"/>
      <w:lvlJc w:val="left"/>
      <w:pPr>
        <w:ind w:left="4320" w:hanging="360"/>
      </w:pPr>
    </w:lvl>
    <w:lvl w:ilvl="6" w:tplc="181EB75C">
      <w:start w:val="1"/>
      <w:numFmt w:val="bullet"/>
      <w:lvlText w:val="●"/>
      <w:lvlJc w:val="left"/>
      <w:pPr>
        <w:ind w:left="5040" w:hanging="360"/>
      </w:pPr>
    </w:lvl>
    <w:lvl w:ilvl="7" w:tplc="F9D61144">
      <w:start w:val="1"/>
      <w:numFmt w:val="bullet"/>
      <w:lvlText w:val="●"/>
      <w:lvlJc w:val="left"/>
      <w:pPr>
        <w:ind w:left="5760" w:hanging="360"/>
      </w:pPr>
    </w:lvl>
    <w:lvl w:ilvl="8" w:tplc="B2085C1E">
      <w:start w:val="1"/>
      <w:numFmt w:val="bullet"/>
      <w:lvlText w:val="●"/>
      <w:lvlJc w:val="left"/>
      <w:pPr>
        <w:ind w:left="6480" w:hanging="360"/>
      </w:pPr>
    </w:lvl>
  </w:abstractNum>
  <w:num w:numId="1" w16cid:durableId="450054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3E0"/>
    <w:rsid w:val="00307AB9"/>
    <w:rsid w:val="00827371"/>
    <w:rsid w:val="00C823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D77E"/>
  <w15:docId w15:val="{ADC47219-6C6C-4C5A-9109-A8492EE12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1723</Words>
  <Characters>9480</Characters>
  <Application>Microsoft Office Word</Application>
  <DocSecurity>0</DocSecurity>
  <Lines>79</Lines>
  <Paragraphs>22</Paragraphs>
  <ScaleCrop>false</ScaleCrop>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Isrrael Villablanca</cp:lastModifiedBy>
  <cp:revision>2</cp:revision>
  <dcterms:created xsi:type="dcterms:W3CDTF">2026-07-06T15:23:00Z</dcterms:created>
  <dcterms:modified xsi:type="dcterms:W3CDTF">2026-07-06T16:44:00Z</dcterms:modified>
</cp:coreProperties>
</file>