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TMCSA</w:t>
      </w:r>
    </w:p>
    <w:p>
      <w:pPr>
        <w:spacing w:after="480" w:before="0"/>
        <w:jc w:val="center"/>
      </w:pPr>
      <w:r>
        <w:rPr>
          <w:rFonts w:ascii="Arial" w:cs="Arial" w:eastAsia="Arial" w:hAnsi="Arial"/>
          <w:i/>
          <w:iCs/>
          <w:color w:val="2E75B6"/>
          <w:sz w:val="28"/>
          <w:szCs w:val="28"/>
        </w:rPr>
        <w:t xml:space="preserve">Teoría de la Membrana Constitutiva en Sistemas Abiertos</w:t>
      </w:r>
    </w:p>
    <w:p>
      <w:pPr>
        <w:spacing w:after="80" w:before="0"/>
        <w:jc w:val="center"/>
      </w:pPr>
      <w:r>
        <w:rPr>
          <w:rFonts w:ascii="Arial" w:cs="Arial" w:eastAsia="Arial" w:hAnsi="Arial"/>
          <w:b/>
          <w:bCs/>
          <w:color w:val="1F4E79"/>
          <w:sz w:val="36"/>
          <w:szCs w:val="36"/>
        </w:rPr>
        <w:t xml:space="preserve">Mapa Maestro de la TMCSA</w:t>
      </w:r>
    </w:p>
    <w:p>
      <w:pPr>
        <w:spacing w:after="80" w:before="0"/>
        <w:jc w:val="center"/>
      </w:pPr>
      <w:r>
        <w:rPr>
          <w:rFonts w:ascii="Arial" w:cs="Arial" w:eastAsia="Arial" w:hAnsi="Arial"/>
          <w:i/>
          <w:iCs/>
          <w:color w:val="2E75B6"/>
          <w:sz w:val="24"/>
          <w:szCs w:val="24"/>
        </w:rPr>
        <w:t xml:space="preserve">Documento de orientación para continuar el trabajo en una nueva sesión de IA</w:t>
      </w:r>
    </w:p>
    <w:p>
      <w:pPr>
        <w:spacing w:after="80" w:before="0"/>
        <w:jc w:val="center"/>
      </w:pPr>
      <w:r>
        <w:rPr>
          <w:rFonts w:ascii="Arial" w:cs="Arial" w:eastAsia="Arial" w:hAnsi="Arial"/>
          <w:color w:val="595959"/>
          <w:sz w:val="22"/>
          <w:szCs w:val="22"/>
        </w:rPr>
        <w:t xml:space="preserve">v2</w:t>
      </w:r>
    </w:p>
    <w:p>
      <w:pPr>
        <w:spacing w:after="480" w:before="0"/>
        <w:jc w:val="center"/>
      </w:pPr>
      <w:r>
        <w:rPr>
          <w:rFonts w:ascii="Arial" w:cs="Arial" w:eastAsia="Arial" w:hAnsi="Arial"/>
          <w:color w:val="595959"/>
          <w:sz w:val="22"/>
          <w:szCs w:val="22"/>
        </w:rPr>
        <w:t xml:space="preserve">Isrrael Villablanca Fuentes</w:t>
      </w:r>
    </w:p>
    <w:p>
      <w:pPr>
        <w:spacing w:after="80" w:before="0"/>
        <w:jc w:val="center"/>
      </w:pPr>
      <w:r>
        <w:rPr>
          <w:rFonts w:ascii="Arial" w:cs="Arial" w:eastAsia="Arial" w:hAnsi="Arial"/>
          <w:i/>
          <w:iCs/>
          <w:color w:val="595959"/>
          <w:sz w:val="18"/>
          <w:szCs w:val="18"/>
        </w:rPr>
        <w:t xml:space="preserve">Este documento es el primero que debe leer cualquier IA que retome el trabajo de la TMCSA. Contiene todo lo necesario para entender el estado del proyecto, los documentos vigentes, las reglas metodológicas críticas, y los pendientes reales — sin necesidad de leer los 14 capítulos primero.</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INSTRUCCIÓN PARA LA IA — Lee este documento completo antes de responder cualquier pregunta sobre la TMCSA. No asumas nada que no esté aquí. Si algo no está claro, pregunta antes de actuar. El investigador es Isrrael Villablanca Fuentes, investigador independiente de la Región de Ñuble, Chile. Trabaja fuera de instituciones académicas formales. Su postura metodológica es: rigor sobre retórica, ignorancia declarada como punto de partida honesto, y ninguna variable se declara universal sin verificación empírica directa.</w:t>
      </w:r>
    </w:p>
    <w:p>
      <w:pPr>
        <w:spacing w:after="160" w:before="0"/>
      </w:pPr>
    </w:p>
    <w:p>
      <w:pPr>
        <w:pStyle w:val="Heading1"/>
        <w:pageBreakBefore/>
        <w:spacing w:after="120" w:before="320"/>
      </w:pPr>
      <w:r>
        <w:rPr>
          <w:rFonts w:ascii="Arial" w:cs="Arial" w:eastAsia="Arial" w:hAnsi="Arial"/>
          <w:b/>
          <w:bCs/>
          <w:color w:val="1F4E79"/>
          <w:sz w:val="40"/>
          <w:szCs w:val="40"/>
        </w:rPr>
        <w:t xml:space="preserve">1 — Qué es la TMCSA en una oración</w:t>
      </w:r>
    </w:p>
    <w:p>
      <w:pPr>
        <w:spacing w:after="120" w:before="0" w:line="360" w:lineRule="auto"/>
        <w:jc w:val="both"/>
      </w:pPr>
      <w:r>
        <w:rPr>
          <w:rFonts w:ascii="Arial" w:cs="Arial" w:eastAsia="Arial" w:hAnsi="Arial"/>
          <w:b w:val="false"/>
          <w:bCs w:val="false"/>
          <w:i w:val="false"/>
          <w:iCs w:val="false"/>
          <w:color w:val="000000"/>
          <w:sz w:val="22"/>
          <w:szCs w:val="22"/>
        </w:rPr>
        <w:t xml:space="preserve">La Teoría de la Membrana Constitutiva en Sistemas Abiertos (TMCSA) es un marco matemático de biología teórica que modela el envejecimiento, la senescencia y el cese de vida en cualquier organismo vivo mediante una ecuación diferencial universal cuya forma no cambia entre especies, pero cuyos parámetros numéricos son específicos de cada una.</w:t>
      </w:r>
    </w:p>
    <w:p>
      <w:pPr>
        <w:spacing w:after="160" w:before="0"/>
      </w:pPr>
    </w:p>
    <w:p>
      <w:pPr>
        <w:pStyle w:val="Heading1"/>
        <w:pageBreakBefore/>
        <w:spacing w:after="120" w:before="320"/>
      </w:pPr>
      <w:r>
        <w:rPr>
          <w:rFonts w:ascii="Arial" w:cs="Arial" w:eastAsia="Arial" w:hAnsi="Arial"/>
          <w:b/>
          <w:bCs/>
          <w:color w:val="1F4E79"/>
          <w:sz w:val="40"/>
          <w:szCs w:val="40"/>
        </w:rPr>
        <w:t xml:space="preserve">2 — La ecuación madre vigente: [EM-2]</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Esta es la ecuación central. Memorizarla es más importante que cualquier otra cosa.</w:t>
      </w:r>
    </w:p>
    <w:p>
      <w:pPr>
        <w:spacing w:after="160" w:before="0"/>
      </w:pPr>
    </w:p>
    <w:p>
      <w:pPr>
        <w:spacing w:after="120" w:before="0" w:line="360" w:lineRule="auto"/>
        <w:jc w:val="both"/>
      </w:pPr>
      <w:r>
        <w:rPr>
          <w:rFonts w:ascii="Arial" w:cs="Arial" w:eastAsia="Arial" w:hAnsi="Arial"/>
          <w:b w:val="false"/>
          <w:bCs w:val="false"/>
          <w:i w:val="false"/>
          <w:iCs w:val="false"/>
          <w:color w:val="000000"/>
          <w:sz w:val="22"/>
          <w:szCs w:val="22"/>
        </w:rPr>
        <w:t xml:space="preserve">dV/dt = a·V·(1−D/Dc)^n − b·V^μ − max(0, D−Dc)</w:t>
      </w:r>
    </w:p>
    <w:p>
      <w:pPr>
        <w:spacing w:after="120" w:before="0" w:line="360" w:lineRule="auto"/>
        <w:jc w:val="both"/>
      </w:pPr>
      <w:r>
        <w:rPr>
          <w:rFonts w:ascii="Arial" w:cs="Arial" w:eastAsia="Arial" w:hAnsi="Arial"/>
          <w:b w:val="false"/>
          <w:bCs w:val="false"/>
          <w:i w:val="false"/>
          <w:iCs w:val="false"/>
          <w:color w:val="000000"/>
          <w:sz w:val="22"/>
          <w:szCs w:val="22"/>
        </w:rPr>
        <w:t xml:space="preserve">D = X/Xc     (daño relativo)</w:t>
      </w:r>
    </w:p>
    <w:p>
      <w:pPr>
        <w:spacing w:after="120" w:before="0" w:line="360" w:lineRule="auto"/>
        <w:jc w:val="both"/>
      </w:pPr>
      <w:r>
        <w:rPr>
          <w:rFonts w:ascii="Arial" w:cs="Arial" w:eastAsia="Arial" w:hAnsi="Arial"/>
          <w:b w:val="false"/>
          <w:bCs w:val="false"/>
          <w:i w:val="false"/>
          <w:iCs w:val="false"/>
          <w:color w:val="000000"/>
          <w:sz w:val="22"/>
          <w:szCs w:val="22"/>
        </w:rPr>
        <w:t xml:space="preserve">Régimen A (saturante):    dX/dt = η·max(0,t_bio−t_lat) − β·X/(κ+X) + ε·ξ(t)</w:t>
      </w:r>
    </w:p>
    <w:p>
      <w:pPr>
        <w:spacing w:after="120" w:before="0" w:line="360" w:lineRule="auto"/>
        <w:jc w:val="both"/>
      </w:pPr>
      <w:r>
        <w:rPr>
          <w:rFonts w:ascii="Arial" w:cs="Arial" w:eastAsia="Arial" w:hAnsi="Arial"/>
          <w:b w:val="false"/>
          <w:bCs w:val="false"/>
          <w:i w:val="false"/>
          <w:iCs w:val="false"/>
          <w:color w:val="000000"/>
          <w:sz w:val="22"/>
          <w:szCs w:val="22"/>
        </w:rPr>
        <w:t xml:space="preserve">Régimen B (proporcional): dX/dt = η_basal − ρ_rep·X + ε·ξ(t)</w:t>
      </w:r>
    </w:p>
    <w:p>
      <w:pPr>
        <w:spacing w:after="120" w:before="0" w:line="360" w:lineRule="auto"/>
        <w:jc w:val="both"/>
      </w:pPr>
      <w:r>
        <w:rPr>
          <w:rFonts w:ascii="Arial" w:cs="Arial" w:eastAsia="Arial" w:hAnsi="Arial"/>
          <w:b w:val="false"/>
          <w:bCs w:val="false"/>
          <w:i w:val="false"/>
          <w:iCs w:val="false"/>
          <w:color w:val="000000"/>
          <w:sz w:val="22"/>
          <w:szCs w:val="22"/>
        </w:rPr>
        <w:t xml:space="preserve">Régimen C (reversión):    condicional sobre régimen A — si P(ρ(estresor)·dt) se dispara, el organismo revierte a estado juvenil (T. dohrnii)</w:t>
      </w:r>
    </w:p>
    <w:p>
      <w:pPr>
        <w:spacing w:after="160" w:before="0"/>
      </w:pPr>
    </w:p>
    <w:p>
      <w:pPr>
        <w:spacing w:after="120" w:before="0" w:line="360" w:lineRule="auto"/>
        <w:jc w:val="both"/>
      </w:pPr>
      <w:r>
        <w:rPr>
          <w:rFonts w:ascii="Arial" w:cs="Arial" w:eastAsia="Arial" w:hAnsi="Arial"/>
          <w:b w:val="false"/>
          <w:bCs w:val="false"/>
          <w:i w:val="false"/>
          <w:iCs w:val="false"/>
          <w:color w:val="000000"/>
          <w:sz w:val="22"/>
          <w:szCs w:val="22"/>
        </w:rPr>
        <w:t xml:space="preserve">Dc=0.60 es el único valor candidato a universal verificado en 60 especies. Todo lo demás varía por especie y está en R(especie) — los 15 parámetros: η, t_lat, Xc, β, κ, ε, a, b, μ, n, W_met, δβ, t_trans, ρ, CV_η.</w:t>
      </w:r>
    </w:p>
    <w:p>
      <w:pPr>
        <w:spacing w:after="160" w:before="0"/>
      </w:pPr>
    </w:p>
    <w:p>
      <w:pPr>
        <w:pStyle w:val="Heading1"/>
        <w:pageBreakBefore/>
        <w:spacing w:after="120" w:before="320"/>
      </w:pPr>
      <w:r>
        <w:rPr>
          <w:rFonts w:ascii="Arial" w:cs="Arial" w:eastAsia="Arial" w:hAnsi="Arial"/>
          <w:b/>
          <w:bCs/>
          <w:color w:val="1F4E79"/>
          <w:sz w:val="40"/>
          <w:szCs w:val="40"/>
        </w:rPr>
        <w:t xml:space="preserve">3 — Estado del proyecto al cierre de junio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Indicador</w:t>
            </w:r>
          </w:p>
        </w:tc>
        <w:tc>
          <w:tcPr>
            <w:tcW w:type="dxa" w:w="616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Valor</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Ecuación madre vigente</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[EM-2] — tres regímenes (A, B, C)</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Especies verificadas con R(especie) completo</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60 — cinco reinos, cinco órdenes de magnitud de longevidad</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Régimen B cuantitativo cerrado</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Myotis brandtii (1.0%), S. purpuratus (1.6%), S. franciscanus (0.5%)</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Régimen C formalizado</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T. dohrnii — P15, ρ(estresor) varía 64-88% según tipo de estímulo</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Propiedades algebraicas</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P1-P15 (10 régimen A, 4 régimen B, 1 régimen C)</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Hipótesis del sistema</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H01-H23 — Cap. 14</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Convergencias con literatura independiente</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Karin/Raz 2019 (Nat. Comm.) y Kogan et al. 2015 (Sci. Rep.)</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Scripts canónicos verificados en R real</w:t>
            </w:r>
          </w:p>
        </w:tc>
        <w:tc>
          <w:tcPr>
            <w:tcW w:type="dxa" w:w="61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10A v5, 10B v7, 10C v8, 10D v2, 10E v5</w:t>
            </w:r>
          </w:p>
        </w:tc>
      </w:tr>
    </w:tbl>
    <w:p>
      <w:pPr>
        <w:spacing w:after="160" w:before="0"/>
      </w:pPr>
    </w:p>
    <w:p>
      <w:pPr>
        <w:pStyle w:val="Heading1"/>
        <w:pageBreakBefore/>
        <w:spacing w:after="120" w:before="320"/>
      </w:pPr>
      <w:r>
        <w:rPr>
          <w:rFonts w:ascii="Arial" w:cs="Arial" w:eastAsia="Arial" w:hAnsi="Arial"/>
          <w:b/>
          <w:bCs/>
          <w:color w:val="1F4E79"/>
          <w:sz w:val="40"/>
          <w:szCs w:val="40"/>
        </w:rPr>
        <w:t xml:space="preserve">4 — Documentos vigentes: cuál leer para qué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Si necesitas saber...</w:t>
            </w:r>
          </w:p>
        </w:tc>
        <w:tc>
          <w:tcPr>
            <w:tcW w:type="dxa" w:w="54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Lee este documento</w:t>
            </w:r>
          </w:p>
        </w:tc>
      </w:tr>
      <w:tr>
        <w:tc>
          <w:tcPr>
            <w:tcW w:type="dxa" w:w="39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Qué documentos existen y en qué versión</w:t>
            </w:r>
          </w:p>
        </w:tc>
        <w:tc>
          <w:tcPr>
            <w:tcW w:type="dxa" w:w="5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TMCSA_Registro_Contenidos_v12.docx — el mapa completo</w:t>
            </w:r>
          </w:p>
        </w:tc>
      </w:tr>
      <w:tr>
        <w:tc>
          <w:tcPr>
            <w:tcW w:type="dxa" w:w="39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Cómo calibrar una especie nueva</w:t>
            </w:r>
          </w:p>
        </w:tc>
        <w:tc>
          <w:tcPr>
            <w:tcW w:type="dxa" w:w="5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TMCSA_Protocolo_Calibracion_Canonica_v5.docx</w:t>
            </w:r>
          </w:p>
        </w:tc>
      </w:tr>
      <w:tr>
        <w:tc>
          <w:tcPr>
            <w:tcW w:type="dxa" w:w="39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Cómo correr un script R correctamente</w:t>
            </w:r>
          </w:p>
        </w:tc>
        <w:tc>
          <w:tcPr>
            <w:tcW w:type="dxa" w:w="5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TMCSA_Manual_Operativo_EM2_v6.docx</w:t>
            </w:r>
          </w:p>
        </w:tc>
      </w:tr>
      <w:tr>
        <w:tc>
          <w:tcPr>
            <w:tcW w:type="dxa" w:w="39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Qué especies están verificadas y con qué error</w:t>
            </w:r>
          </w:p>
        </w:tc>
        <w:tc>
          <w:tcPr>
            <w:tcW w:type="dxa" w:w="5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TMCSA_Registro_Especies_v7.docx</w:t>
            </w:r>
          </w:p>
        </w:tc>
      </w:tr>
      <w:tr>
        <w:tc>
          <w:tcPr>
            <w:tcW w:type="dxa" w:w="39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La formalización algebraica completa</w:t>
            </w:r>
          </w:p>
        </w:tc>
        <w:tc>
          <w:tcPr>
            <w:tcW w:type="dxa" w:w="5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TMCSA_Cap06_v8.docx</w:t>
            </w:r>
          </w:p>
        </w:tc>
      </w:tr>
      <w:tr>
        <w:tc>
          <w:tcPr>
            <w:tcW w:type="dxa" w:w="39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Las hipótesis del sistema</w:t>
            </w:r>
          </w:p>
        </w:tc>
        <w:tc>
          <w:tcPr>
            <w:tcW w:type="dxa" w:w="5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TMCSA_Cap14_v7.docx</w:t>
            </w:r>
          </w:p>
        </w:tc>
      </w:tr>
      <w:tr>
        <w:tc>
          <w:tcPr>
            <w:tcW w:type="dxa" w:w="39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Las conclusiones y aportes verificados</w:t>
            </w:r>
          </w:p>
        </w:tc>
        <w:tc>
          <w:tcPr>
            <w:tcW w:type="dxa" w:w="5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TMCSA_Cap11_v6.docx</w:t>
            </w:r>
          </w:p>
        </w:tc>
      </w:tr>
      <w:tr>
        <w:tc>
          <w:tcPr>
            <w:tcW w:type="dxa" w:w="39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Los scripts R que generaron los resultados</w:t>
            </w:r>
          </w:p>
        </w:tc>
        <w:tc>
          <w:tcPr>
            <w:tcW w:type="dxa" w:w="5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TMCSA_AnexoB_Scripts_v1.docx</w:t>
            </w:r>
          </w:p>
        </w:tc>
      </w:tr>
    </w:tbl>
    <w:p>
      <w:pPr>
        <w:spacing w:after="160" w:before="0"/>
      </w:pPr>
    </w:p>
    <w:p>
      <w:pPr>
        <w:pStyle w:val="Heading1"/>
        <w:pageBreakBefore/>
        <w:spacing w:after="120" w:before="320"/>
      </w:pPr>
      <w:r>
        <w:rPr>
          <w:rFonts w:ascii="Arial" w:cs="Arial" w:eastAsia="Arial" w:hAnsi="Arial"/>
          <w:b/>
          <w:bCs/>
          <w:color w:val="1F4E79"/>
          <w:sz w:val="40"/>
          <w:szCs w:val="40"/>
        </w:rPr>
        <w:t xml:space="preserve">5 — Reglas metodológicas críticas que DEBES conocer</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Estas reglas no son opcionales. Si no las sigues, el trabajo producido no será compatible con el cuerpo vigente.</w:t>
      </w:r>
    </w:p>
    <w:p>
      <w:pPr>
        <w:spacing w:after="160" w:before="0"/>
      </w:pPr>
    </w:p>
    <w:p>
      <w:pPr>
        <w:pStyle w:val="Heading2"/>
        <w:spacing w:after="80" w:before="280"/>
      </w:pPr>
      <w:r>
        <w:rPr>
          <w:rFonts w:ascii="Arial" w:cs="Arial" w:eastAsia="Arial" w:hAnsi="Arial"/>
          <w:b/>
          <w:bCs/>
          <w:color w:val="2E75B6"/>
          <w:sz w:val="30"/>
          <w:szCs w:val="30"/>
        </w:rPr>
        <w:t xml:space="preserve">5.1 — El Método de Seis Pasos (obligatorio para todo parámetro nuevo)</w:t>
      </w:r>
    </w:p>
    <w:p>
      <w:pPr>
        <w:spacing w:after="120" w:before="0" w:line="360" w:lineRule="auto"/>
        <w:jc w:val="both"/>
      </w:pPr>
      <w:r>
        <w:rPr>
          <w:rFonts w:ascii="Arial" w:cs="Arial" w:eastAsia="Arial" w:hAnsi="Arial"/>
          <w:b w:val="false"/>
          <w:bCs w:val="false"/>
          <w:i w:val="false"/>
          <w:iCs w:val="false"/>
          <w:color w:val="000000"/>
          <w:sz w:val="22"/>
          <w:szCs w:val="22"/>
        </w:rPr>
        <w:t xml:space="preserve">1. Definir el concepto en términos de la ciencia (no de la TMCSA). 2. Construir las variables compuestas. 3. Escribir la ecuación general sin especie. 4. Ubicar el tiempo biológico. 5. Aplicar el Operador R: ¿qué condición biológica anula o cambia este término? 6. Buscar el dato usando el concepto, no el símbolo de la TMCSA.</w:t>
      </w:r>
    </w:p>
    <w:p>
      <w:pPr>
        <w:spacing w:after="160" w:before="0"/>
      </w:pPr>
    </w:p>
    <w:p>
      <w:pPr>
        <w:pStyle w:val="Heading2"/>
        <w:spacing w:after="80" w:before="280"/>
      </w:pPr>
      <w:r>
        <w:rPr>
          <w:rFonts w:ascii="Arial" w:cs="Arial" w:eastAsia="Arial" w:hAnsi="Arial"/>
          <w:b/>
          <w:bCs/>
          <w:color w:val="2E75B6"/>
          <w:sz w:val="30"/>
          <w:szCs w:val="30"/>
        </w:rPr>
        <w:t xml:space="preserve">5.2 — Regla Python/R (B.12)</w:t>
      </w:r>
    </w:p>
    <w:p>
      <w:pPr>
        <w:spacing w:after="120" w:before="0" w:line="360" w:lineRule="auto"/>
        <w:jc w:val="both"/>
      </w:pPr>
      <w:r>
        <w:rPr>
          <w:rFonts w:ascii="Arial" w:cs="Arial" w:eastAsia="Arial" w:hAnsi="Arial"/>
          <w:b w:val="false"/>
          <w:bCs w:val="false"/>
          <w:i w:val="false"/>
          <w:iCs w:val="false"/>
          <w:color w:val="000000"/>
          <w:sz w:val="22"/>
          <w:szCs w:val="22"/>
        </w:rPr>
        <w:t xml:space="preserve">Python es el Paso 1 formal: verificar la lógica conceptual con rapidez. El resultado de Python no está mal. El riesgo está en el TRASLADO a R — donde puede introducirse un error de sintaxis u orden sin ser visible. Por eso: (a) parsear siempre con Rscript -e 'parse(file=...)' tras cualquier edición antes de correr; (b) R y Python no comparten generador aleatorio — la misma semilla nominal da secuencias distintas, así que una diferencia aislada entre Python y R NO es señal de error; una diferencia SISTEMÁTICA que se repite con cualquier semilla SÍ lo es; (c) reportar siempre el promedio de al menos 5 semillas, nunca una sola corrida.</w:t>
      </w:r>
    </w:p>
    <w:p>
      <w:pPr>
        <w:spacing w:after="160" w:before="0"/>
      </w:pPr>
    </w:p>
    <w:p>
      <w:pPr>
        <w:pStyle w:val="Heading2"/>
        <w:spacing w:after="80" w:before="280"/>
      </w:pPr>
      <w:r>
        <w:rPr>
          <w:rFonts w:ascii="Arial" w:cs="Arial" w:eastAsia="Arial" w:hAnsi="Arial"/>
          <w:b/>
          <w:bCs/>
          <w:color w:val="2E75B6"/>
          <w:sz w:val="30"/>
          <w:szCs w:val="30"/>
        </w:rPr>
        <w:t xml:space="preserve">5.3 — Paso 0: el modo de cese se determina ANTES de calibrar</w:t>
      </w:r>
    </w:p>
    <w:p>
      <w:pPr>
        <w:spacing w:after="120" w:before="0" w:line="360" w:lineRule="auto"/>
        <w:jc w:val="both"/>
      </w:pPr>
      <w:r>
        <w:rPr>
          <w:rFonts w:ascii="Arial" w:cs="Arial" w:eastAsia="Arial" w:hAnsi="Arial"/>
          <w:b w:val="false"/>
          <w:bCs w:val="false"/>
          <w:i w:val="false"/>
          <w:iCs w:val="false"/>
          <w:color w:val="000000"/>
          <w:sz w:val="22"/>
          <w:szCs w:val="22"/>
        </w:rPr>
        <w:t xml:space="preserve">Antes de tocar cualquier parámetro, determinar si la especie cesa por senescencia interna (D cruza Dc), por tasa constante externa (Γ_ext), o por negligible senescence (régimen B). Un error en el Paso 0 invalida toda la calibración siguiente.</w:t>
      </w:r>
    </w:p>
    <w:p>
      <w:pPr>
        <w:spacing w:after="160" w:before="0"/>
      </w:pPr>
    </w:p>
    <w:p>
      <w:pPr>
        <w:pStyle w:val="Heading2"/>
        <w:spacing w:after="80" w:before="280"/>
      </w:pPr>
      <w:r>
        <w:rPr>
          <w:rFonts w:ascii="Arial" w:cs="Arial" w:eastAsia="Arial" w:hAnsi="Arial"/>
          <w:b/>
          <w:bCs/>
          <w:color w:val="2E75B6"/>
          <w:sz w:val="30"/>
          <w:szCs w:val="30"/>
        </w:rPr>
        <w:t xml:space="preserve">5.4 — Ninguna coincidencia se declara universal sin verificación empírica</w:t>
      </w:r>
    </w:p>
    <w:p>
      <w:pPr>
        <w:spacing w:after="120" w:before="0" w:line="360" w:lineRule="auto"/>
        <w:jc w:val="both"/>
      </w:pPr>
      <w:r>
        <w:rPr>
          <w:rFonts w:ascii="Arial" w:cs="Arial" w:eastAsia="Arial" w:hAnsi="Arial"/>
          <w:b w:val="false"/>
          <w:bCs w:val="false"/>
          <w:i w:val="false"/>
          <w:iCs w:val="false"/>
          <w:color w:val="000000"/>
          <w:sz w:val="22"/>
          <w:szCs w:val="22"/>
        </w:rPr>
        <w:t xml:space="preserve">Dc=0.60 y n=2.0 son coincidencias recurrentes verificadas en 60 especies — candidatas a universalidad, no universales declaradas. Cada parámetro nuevo que coincida entre especies se registra como coincidencia recurrente pendiente de verificación, nunca como ley confirmada. Esto aplica con el mismo rigor a cualquier patrón nuevo que emerja.</w:t>
      </w:r>
    </w:p>
    <w:p>
      <w:pPr>
        <w:spacing w:after="160" w:before="0"/>
      </w:pPr>
    </w:p>
    <w:p>
      <w:pPr>
        <w:pStyle w:val="Heading2"/>
        <w:spacing w:after="80" w:before="280"/>
      </w:pPr>
      <w:r>
        <w:rPr>
          <w:rFonts w:ascii="Arial" w:cs="Arial" w:eastAsia="Arial" w:hAnsi="Arial"/>
          <w:b/>
          <w:bCs/>
          <w:color w:val="2E75B6"/>
          <w:sz w:val="30"/>
          <w:szCs w:val="30"/>
        </w:rPr>
        <w:t xml:space="preserve">5.5 — Versión correlativa en todo archivo modificado</w:t>
      </w:r>
    </w:p>
    <w:p>
      <w:pPr>
        <w:spacing w:after="120" w:before="0" w:line="360" w:lineRule="auto"/>
        <w:jc w:val="both"/>
      </w:pPr>
      <w:r>
        <w:rPr>
          <w:rFonts w:ascii="Arial" w:cs="Arial" w:eastAsia="Arial" w:hAnsi="Arial"/>
          <w:b w:val="false"/>
          <w:bCs w:val="false"/>
          <w:i w:val="false"/>
          <w:iCs w:val="false"/>
          <w:color w:val="000000"/>
          <w:sz w:val="22"/>
          <w:szCs w:val="22"/>
        </w:rPr>
        <w:t xml:space="preserve">Todo archivo que se modifica — documento o script — sube de versión en el nombre en el momento mismo de la edición. Si un script pasa de v3 a v4 por una corrección, el archivo se llama v4 desde ese momento. No se acumulan correcciones sin versionar.</w:t>
      </w:r>
    </w:p>
    <w:p>
      <w:pPr>
        <w:spacing w:after="160" w:before="0"/>
      </w:pPr>
    </w:p>
    <w:p>
      <w:pPr>
        <w:pStyle w:val="Heading1"/>
        <w:pageBreakBefore/>
        <w:spacing w:after="120" w:before="320"/>
      </w:pPr>
      <w:r>
        <w:rPr>
          <w:rFonts w:ascii="Arial" w:cs="Arial" w:eastAsia="Arial" w:hAnsi="Arial"/>
          <w:b/>
          <w:bCs/>
          <w:color w:val="1F4E79"/>
          <w:sz w:val="40"/>
          <w:szCs w:val="40"/>
        </w:rPr>
        <w:t xml:space="preserve">6 — Lo que está pendiente (en orden de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Pendiente</w:t>
            </w:r>
          </w:p>
        </w:tc>
        <w:tc>
          <w:tcPr>
            <w:tcW w:type="dxa" w:w="416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Prioridad</w:t>
            </w:r>
          </w:p>
        </w:tc>
      </w:tr>
      <w:tr>
        <w:tc>
          <w:tcPr>
            <w:tcW w:type="dxa" w:w="5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Correr TMCSA_AnexoA_graficas_v1.R en R e insertar las imágenes en el Anexo A</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Inmediata</w:t>
            </w:r>
          </w:p>
        </w:tc>
      </w:tr>
      <w:tr>
        <w:tc>
          <w:tcPr>
            <w:tcW w:type="dxa" w:w="5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H. glaber cuantitativo: calibrar η_basal y ρ_rep con dato directo (Protocolo 13.4)</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Alta</w:t>
            </w:r>
          </w:p>
        </w:tc>
      </w:tr>
      <w:tr>
        <w:tc>
          <w:tcPr>
            <w:tcW w:type="dxa" w:w="5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Evaluar Hydra como candidato a régimen B — COMPLETADO (jul 2026): recalibrada a régimen B cualitativo, Γ_ext=0.00497/año NIVEL 1 (Schaible et al. 2015), η_basal/ρ_rep pendientes de dato directo (mismo estatus que H. glaber)</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Completado</w:t>
            </w:r>
          </w:p>
        </w:tc>
      </w:tr>
      <w:tr>
        <w:tc>
          <w:tcPr>
            <w:tcW w:type="dxa" w:w="5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Verificar hipótesis μ≈1.5 para arcosaurios con segunda especie (Archaeopteryx candidato)</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Media</w:t>
            </w:r>
          </w:p>
        </w:tc>
      </w:tr>
      <w:tr>
        <w:tc>
          <w:tcPr>
            <w:tcW w:type="dxa" w:w="5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Completar correcciones de portada vs. versión en capítulos con desajuste menor</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Baja</w:t>
            </w:r>
          </w:p>
        </w:tc>
      </w:tr>
    </w:tbl>
    <w:p>
      <w:pPr>
        <w:spacing w:after="160" w:before="0"/>
      </w:pPr>
    </w:p>
    <w:p>
      <w:pPr>
        <w:pStyle w:val="Heading1"/>
        <w:pageBreakBefore/>
        <w:spacing w:after="120" w:before="320"/>
      </w:pPr>
      <w:r>
        <w:rPr>
          <w:rFonts w:ascii="Arial" w:cs="Arial" w:eastAsia="Arial" w:hAnsi="Arial"/>
          <w:b/>
          <w:bCs/>
          <w:color w:val="1F4E79"/>
          <w:sz w:val="40"/>
          <w:szCs w:val="40"/>
        </w:rPr>
        <w:t xml:space="preserve">7 — Lo que NO debes hacer</w:t>
      </w:r>
    </w:p>
    <w:p>
      <w:pPr>
        <w:spacing w:after="120" w:before="0" w:line="360" w:lineRule="auto"/>
        <w:jc w:val="both"/>
      </w:pPr>
      <w:r>
        <w:rPr>
          <w:rFonts w:ascii="Arial" w:cs="Arial" w:eastAsia="Arial" w:hAnsi="Arial"/>
          <w:b w:val="false"/>
          <w:bCs w:val="false"/>
          <w:i w:val="false"/>
          <w:iCs w:val="false"/>
          <w:color w:val="000000"/>
          <w:sz w:val="22"/>
          <w:szCs w:val="22"/>
        </w:rPr>
        <w:t xml:space="preserve">No usar [EM-1] como nombre de la ecuación vigente — la ecuación vigente es [EM-2]. [EM-1] es el nombre histórico de la fase anterior; las especies que confirmaron régimen A coinciden numéricamente con [EM-1] no porque sean otra ecuación, sino porque su biología real tiene reparación saturante.</w:t>
      </w:r>
    </w:p>
    <w:p>
      <w:pPr>
        <w:spacing w:after="120" w:before="0" w:line="360" w:lineRule="auto"/>
        <w:jc w:val="both"/>
      </w:pPr>
      <w:r>
        <w:rPr>
          <w:rFonts w:ascii="Arial" w:cs="Arial" w:eastAsia="Arial" w:hAnsi="Arial"/>
          <w:b w:val="false"/>
          <w:bCs w:val="false"/>
          <w:i w:val="false"/>
          <w:iCs w:val="false"/>
          <w:color w:val="000000"/>
          <w:sz w:val="22"/>
          <w:szCs w:val="22"/>
        </w:rPr>
        <w:t xml:space="preserve">No declarar un parámetro como verificado basándote solo en una corrida de Python — el resultado es válido como exploración, pero la verificación requiere R real con el parseo correspondiente.</w:t>
      </w:r>
    </w:p>
    <w:p>
      <w:pPr>
        <w:spacing w:after="120" w:before="0" w:line="360" w:lineRule="auto"/>
        <w:jc w:val="both"/>
      </w:pPr>
      <w:r>
        <w:rPr>
          <w:rFonts w:ascii="Arial" w:cs="Arial" w:eastAsia="Arial" w:hAnsi="Arial"/>
          <w:b w:val="false"/>
          <w:bCs w:val="false"/>
          <w:i w:val="false"/>
          <w:iCs w:val="false"/>
          <w:color w:val="000000"/>
          <w:sz w:val="22"/>
          <w:szCs w:val="22"/>
        </w:rPr>
        <w:t xml:space="preserve">No ajustar un parámetro biológico cuando el error es alto — primero diagnosticar por t_cese y el motor, no por los parámetros. La mayoría de los errores altos históricos fueron de motor u orden, no de parámetros incorrectos.</w:t>
      </w:r>
    </w:p>
    <w:p>
      <w:pPr>
        <w:spacing w:after="120" w:before="0" w:line="360" w:lineRule="auto"/>
        <w:jc w:val="both"/>
      </w:pPr>
      <w:r>
        <w:rPr>
          <w:rFonts w:ascii="Arial" w:cs="Arial" w:eastAsia="Arial" w:hAnsi="Arial"/>
          <w:b w:val="false"/>
          <w:bCs w:val="false"/>
          <w:i w:val="false"/>
          <w:iCs w:val="false"/>
          <w:color w:val="000000"/>
          <w:sz w:val="22"/>
          <w:szCs w:val="22"/>
        </w:rPr>
        <w:t xml:space="preserve">No inventar referencias ni DOIs. Si no tienes acceso al paper, documenta la laguna honestamente con las hipótesis alternativas en vez de rellenarla con un supuesto conveniente.</w:t>
      </w:r>
    </w:p>
    <w:p>
      <w:pPr>
        <w:spacing w:after="160" w:before="0"/>
      </w:pPr>
    </w:p>
    <w:p>
      <w:pPr>
        <w:pBdr>
          <w:bottom w:val="single" w:color="2E75B6" w:sz="6"/>
        </w:pBdr>
        <w:spacing w:after="200" w:before="200"/>
      </w:pP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Mapa Maestro v2 — Teoría de la Membrana Constitutiva en Sistemas Abiertos · Isrrael Villablanca Fuentes · Julio 2026</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2026-06-30T22:01:05.262Z</dcterms:created>
  <dcterms:modified xsi:type="dcterms:W3CDTF">2026-06-30T22:01:05.262Z</dcterms:modified>
</cp:coreProperties>
</file>

<file path=docProps/custom.xml><?xml version="1.0" encoding="utf-8"?>
<Properties xmlns="http://schemas.openxmlformats.org/officeDocument/2006/custom-properties" xmlns:vt="http://schemas.openxmlformats.org/officeDocument/2006/docPropsVTypes"/>
</file>