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TMCSA</w:t>
      </w:r>
    </w:p>
    <w:p>
      <w:pPr>
        <w:spacing w:after="480" w:before="0"/>
        <w:jc w:val="center"/>
      </w:pPr>
      <w:r>
        <w:rPr>
          <w:rFonts w:ascii="Arial" w:cs="Arial" w:eastAsia="Arial" w:hAnsi="Arial"/>
          <w:i/>
          <w:iCs/>
          <w:color w:val="2E75B6"/>
          <w:sz w:val="28"/>
          <w:szCs w:val="28"/>
        </w:rPr>
        <w:t xml:space="preserve">Teoría de la Membrana Constitutiva en Sistemas Abiertos</w:t>
      </w:r>
    </w:p>
    <w:p>
      <w:pPr>
        <w:spacing w:after="80" w:before="0"/>
        <w:jc w:val="center"/>
      </w:pPr>
      <w:r>
        <w:rPr>
          <w:rFonts w:ascii="Arial" w:cs="Arial" w:eastAsia="Arial" w:hAnsi="Arial"/>
          <w:b/>
          <w:bCs/>
          <w:color w:val="1F4E79"/>
          <w:sz w:val="36"/>
          <w:szCs w:val="36"/>
        </w:rPr>
        <w:t xml:space="preserve">Registro de Especies</w:t>
      </w:r>
    </w:p>
    <w:p>
      <w:pPr>
        <w:spacing w:after="80" w:before="0"/>
        <w:jc w:val="center"/>
      </w:pPr>
      <w:r>
        <w:rPr>
          <w:rFonts w:ascii="Arial" w:cs="Arial" w:eastAsia="Arial" w:hAnsi="Arial"/>
          <w:i/>
          <w:iCs/>
          <w:color w:val="2E75B6"/>
          <w:sz w:val="24"/>
          <w:szCs w:val="24"/>
        </w:rPr>
        <w:t xml:space="preserve">TMCSA — Fichas completas de las especies verificadas bajo [EM-2]</w:t>
      </w:r>
    </w:p>
    <w:p>
      <w:pPr>
        <w:spacing w:after="80" w:before="0"/>
        <w:jc w:val="center"/>
      </w:pPr>
      <w:r>
        <w:rPr>
          <w:rFonts w:ascii="Arial" w:cs="Arial" w:eastAsia="Arial" w:hAnsi="Arial"/>
          <w:color w:val="595959"/>
          <w:sz w:val="22"/>
          <w:szCs w:val="22"/>
        </w:rPr>
        <w:t xml:space="preserve">v12</w:t>
      </w:r>
    </w:p>
    <w:p>
      <w:pPr>
        <w:spacing w:after="480" w:before="0"/>
        <w:jc w:val="center"/>
      </w:pPr>
      <w:r>
        <w:rPr>
          <w:rFonts w:ascii="Arial" w:cs="Arial" w:eastAsia="Arial" w:hAnsi="Arial"/>
          <w:color w:val="595959"/>
          <w:sz w:val="22"/>
          <w:szCs w:val="22"/>
        </w:rPr>
        <w:t xml:space="preserve">Isrrael Villablanca Fuentes</w:t>
      </w:r>
    </w:p>
    <w:p>
      <w:pPr>
        <w:spacing w:after="80" w:before="0"/>
        <w:jc w:val="center"/>
      </w:pPr>
      <w:r>
        <w:rPr>
          <w:rFonts w:ascii="Arial" w:cs="Arial" w:eastAsia="Arial" w:hAnsi="Arial"/>
          <w:i/>
          <w:iCs/>
          <w:color w:val="595959"/>
          <w:sz w:val="18"/>
          <w:szCs w:val="18"/>
        </w:rPr>
        <w:t xml:space="preserve">Fichas detalladas de cada especie calibrada: código, régimen verificado (A, B o C), modo de cese, parámetros completos de R(especie) con fuente, target de longevidad, script de origen, y pendientes. Incluye sección de casos de validación parcial (componentes aislados, no R completo). Documento de referencia operativa y de publicación.</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v2 — Actualización: 58 especies con R(especie) completo verificado (56 del lote original 10A-10E + Drimys winteri actualizado con script de mayor rigor + Myotis brandtii, primer caso cuantitativo de régimen B). Se añade §8 con 6 casos de validación parcial — componentes aislados de la ecuación, no R completo — más el registro de 5 casos descartados por falta de dato suficiente.</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v3 — Se completaron las 60 especies: corregida la clasificación de Strongylocentrotus purpuratus (de régimen A a régimen B, recalibrada cuantitativamente) y añadida S. franciscanus como par comparativo de régimen B desde la misma fuente primaria. Tres especies cuantitativamente cerradas en régimen B: Myotis, S. purpuratus, S. franciscanus.</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v4 — Errores actualizados con verificación REAL en R (el usuario ejecutó ambos scripts en su entorno R local): S. purpuratus error 4.4% (no 3.0%, mi réplica en Python era aproximada). S. franciscanus error 1.0% (no 4.3%). PRECISIÓN IMPORTANTE: al revisar el script canónico 10B original subido por el usuario, se confirmó que la ficha previa B.EM1-7 de S. purpuratus (target 6.93a, Γ_ext=0.10) mide mortalidad poblacional bajo depredación —mismo patrón que Euphausia superba, "presa base"— y sigue siendo válida. La ficha nueva (B.EM2-13) mide algo distinto: la capacidad biológica de no-senescencia en condiciones sin depredación. Ambas son correctas y se complementan, no se reemplazan.</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v5 — Cierre del par de erizos de mar con verificación final en R (v3, scripts con gráficas completas): se identificó y corrigió un sesgo en el orden de evaluación de Γ_ext (el usuario detectó la discrepancia entre el % de error en consola y el título del gráfico de Paridad — corregido para que ambos usen la misma variable). Se amplió vida_max (purpuratus 150→300a, franciscanus 200→400a) para eliminar un artefacto de censura visible en el histograma de t_cese. Resultado final: purpuratus error 1.6% (cese externo 99%), franciscanus error 0.5% (cese externo 94%) — ambos con histogramas limpios, distribución exponencial decreciente sin acumulación artificial.</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v7 — Hydra vulgaris (A.EM1-4) recalibrada de régimen A (t_lat=1000a, interruptor de producción nunca activo) a régimen B: evidencia biológica de renovación celular continua (Bradshaw, Cazet y Primack 2022; Schaible et al. 2015) contradice el mecanismo de interruptor diferido. Γ_ext=0.00497/año es NIVEL 1 (Schaible et al. 2015, PNAS — mortalidad natural pooled de 12 cohortes, 3.891.682 días-Hydra; LRT confirma riesgo constante en las 12, p=0.07-0.99). η_basal y ρ_rep permanecen NIVEL 3/2 (candidato y derivado de turnover celular) — clasificación cualitativa, mismo estatus que H. glaber. Verificado en Python y en R real (TMCSA_EM2_Hydra_canonico_v1.R, 5 semillas): promedio 133.0a, error 4.7% frente al target teórico 139.5a (ln2/Γ_ext), con la varianza observada (sd=11.9a) coincidiendo con la predicción analítica de error de muestreo (1/(Γ_ext·√N)=11.6a) — se optó por no aumentar N_sto para no ocultar que η_basal/ρ_rep siguen sin dato directo. Corrección de cita: el criterio previo "sin colapso" atribuido a Martínez 1998 correspondía en realidad a Schaible et al. 2015 (Martínez es coautor; el estudio de 1998 solo cubrió ~4a).</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v8 — Heterocephalus glaber (A.EM1-6): tres correcciones tras revisión del hallazgo 8 del canónico 10B. (1) Se separó la cita fusionada "Ruby 2023 eLife" en sus dos fuentes reales: Ruby, Smith &amp; Buffenstein 2018 eLife (dato demográfico, Γ_ext) y Kawamura et al. 2023, The EMBO Journal (mecanismo molecular serotonina→MAO→H₂O₂) — dos papers, dos grupos, sin relación entre sí. (2) Se incorporó como evidencia molecular de respaldo el fold-change de MAO-A/MAO-B obtenido de las figuras del paper de Kawamura (5D, 5G): 2.45×/3.81× tras transducción de INK4a y 3.18×/5.30× tras tratamiento con DXR, exclusivos de NMR (el ratón no muestra cambio, ~1.0× en ambos casos) — el mecanismo SCD deja de ser "candidato" y pasa a confirmado genética (knockdown/transducción INK4a) y farmacológicamente (inhibidores de MAO) in vitro e in vivo. (3) Se actualizó el estatus de η_basal/ρ_rep: no son traducibles desde el fold-change de proteína disponible, porque (a) fold-change de proteína no es una tasa poblacional en año⁻¹, y (b) el mecanismo es un interruptor condicionado a que la célula individual cruce el umbral de senescencia, no una tasa continua de fondo como asume la forma dX/dt=η_basal−ρ_rep·X. El dato que realmente cerraría esta calibración —tasa de aclaramiento de células SA-β-Gal+ en tejido de H. glaber en función de la edad real, no del modelo de senescencia inducida— no está en Kawamura 2023. Protocolo 13.4 sigue abierto.</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v9 — Búsqueda de segundo caso μ≈1.5 (arcosaurios extintos), tras T. rex (Woodward et al. 2026): dos candidatos evaluados y descartados con criterio explícito — serie histológica multi-individuo con LAGs contables, no estimación por analogía. (1) Archaeopteryx lithographica: descartado — cita textual de Erickson et al. 2009 confirma ausencia de LAGs ("líneas de crecimiento intracorticales profundas... están ausentes"); la curva edad-masa se construye por tasa de depósito óseo análoga a aves vivas (2.5 μm/día, pato), método circular ya señalado por Myhrvold 2016. (2) Mahakala omnogovae: descartado por razón más fundamental — conocido por un único espécimen holotipo (Turner et al. 2007), sin importar presencia/ausencia de LAGs en ese individuo, un solo espécimen no permite construir serie ontogenética. Añadidos como casos D.6 y D.7 en §9 (siete casos descartados en total). La categoría μ≈1.5 permanece con un solo caso verificado (T. rex) — declarada explícitamente pendiente de un segundo candidato con dato directo, sin forzar convergencia.</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v10 — Tercer candidato para μ≈1.5, Deinonychus antirrhopus (jul 2026): a diferencia de Archaeopteryx y Mahakala, SÍ tiene LAGs contados reales con retrocálculo (Parsons &amp; Parsons 2015, sobre histología de Ostrom 1969 y posteriores) — juvenil MCZ 8791 (1 LAG, 1-2a, 6.95-8.70 kg) y adulto MOR 1178 (14 LAGs, crecimiento terminado a los 14a, EFS confirmado en AMNH 3015). Se corrió el barrido de μ (1.0-2.5) con la misma lógica que T. rex, contra 3 restricciones reales (masa juvenil, masa adulta/asintótica, edad de inflexión ~11a). Primer barrido (optimización local) sugirió mínimo en μ=1.5 (RMSE=0.097) — pero se verificó con optimización global (differential evolution) antes de reportar, siguiendo la misma disciplina aplicada en otros hallazgos de este registro. El resultado cambió: con optimización global, el RMSE queda plano (0.0065-0.012) entre μ=1.1 y μ=2.5, sin mínimo distinguible — el mínimo aparente en μ=1.5 era artefacto del optimizador local, no señal real. Diagnóstico: con solo 2 anclas cuantitativas y 3 parámetros libres (a, b, M0) en el motor de crecimiento dV/dt=a·V−b·V^μ, el sistema es matemáticamente NO IDENTIFICABLE — no hay información suficiente en el dato disponible para discriminar μ, independientemente de la calidad del método de ajuste. Registrado como caso D.8 en §9 (ocho casos descartados en total) — no por tipo de dato insuficiente sino por no-identificabilidad demostrada. La categoría μ≈1.5 permanece abierta con un solo caso verificado (T. rex, n=17). No se fuerza convergencia con dato indeterminado.</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v11 — Hydra vulgaris: ρ_rep actualizado de NIVEL 2 a NIVEL 1/2 (jul 2026). David &amp; Campbell 1972 midieron el ciclo celular epitelial de Hydra en 3-4 días (marcaje [3H]-timidina); aplicando el Método de Seis Pasos (Paso 5: el epitelio es la masa estructural dominante — todas las células epiteliales de la región gástrica son células madre en división activa, Bosch et al. 2010 — no una población nicho minoritaria como en vertebrados), ρ_rep=ln(2)/3.5d×365=72.29/año, reemplazando la estimación anterior de 15.21/año (turnover corporal completo por analogía). Ciclos intersticial (16-30h) y glandular (64-83h) documentados como nota metodológica, no usados como término principal por ser linajes minoritarios. Corrección de cita: Martínez 1998 es Experimental Gerontology, no Science, y no contiene dato de proliferación celular (solo mortalidad) — el dato de ciclo celular proviene de Bosch/David/Campbell, línea de literatura distinta. Verificado en Python y en R real (TMCSA_EM2_Hydra_canonico_v2.R, 5 semillas): medianas IDÉNTICAS a v1 (133.0a, error 4.7%) — confirma que Γ_ext domina el 100% del cese y ρ_rep no afecta t_cese en este régimen. Cambio proporcional esperado sí observado: D_max interno bajó de 0.0008 a 0.000173 (factor 4.6×, ≈ razón 72.29/15.21=4.75×) y MS subió de 730 a 3470. Conclusión metodológica: el error de ajuste no es el indicador de mejora aquí — lo es el nivel de evidencia de ρ_rep y el margen de seguridad. η_basal permanece NIVEL 3, sin cambio, pendiente de medición directa de tasa de daño oxidativo o error de replicación.</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v12 — Heterocephalus glaber (Aporte 29, jul 2026): búsqueda de tasa de aclaramiento de células SA-β-Gal+ en función de la edad real, para traducir directamente a ρ_rep. Resultado negativo, documentado por transparencia. Kawamura et al. 2023 (EMBO J) revisado completo: sin serie de envejecimiento natural con SA-β-Gal+ — todas las curvas son de modelos de senescencia inducida en días (DXR, transducción INK4a, bleomicina), no de edad real en años. Localizado el preprint bioRxiv 2020 del mismo grupo (precursor directo del paper de 2023), con comparación de envejecimiento natural real (piel NMR 1a vs. 13-15a, % área SA-β-Gal+) — más cercano pero insuficiente: solo dos puntos de edad, sin serie; valores numéricos no extraíbles del texto del preprint (solo descripción cualitativa "casi ninguna célula" + significancia estadística, sin cifras); sin brazo con inhibidor de MAO que separe tasa de producción (η_basal) de tasa de aclaramiento (ρ_rep). No se generó script R — no hay dato suficiente. η_basal y ρ_rep quedan marcados EXPLÍCITAMENTE como pendientes del experimento necesario: cohorte NMR con medición periódica de SA-β-Gal+ en tejido real, múltiples edades, con y sin inhibidor de MAO (clorgilina para MAO-A, selegilina/rasagilina para MAO-B) — diseño que no existe todavía en la literatura revisada. Protocolo 13.4 sigue abierto.</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PRINCIPIO DE REGISTRO — Toda especie de este documento fue calibrada con el método [EM-2]: cada parámetro construido desde su concepto, sin herencia sin verificar. El campo "Régimen" indica qué reveló esa calibración — A (reparación saturante) o B (reparación proporcional) — no qué ecuación se usó. Todas son [EM-2]. Las que resultan en régimen A coinciden numéricamente con la fase histórica documentada bajo el nombre "[EM-1]" porque su biología real tiene reparación con techo.</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DISTINCIÓN DE NIVEL — Una especie verificada (§2-§6) tiene R(especie) completo: los 15 parámetros construidos y una simulación que reproduce su longevidad dentro del criterio de error. Un caso de validación parcial (§8) confirma un componente aislado — un solo parámetro, un exponente, una tasa de tejido — sin ejecutar R(especie) completo para esa especie. No se mezclan ambas categorías en el conteo principal.</w:t>
      </w:r>
    </w:p>
    <w:p>
      <w:pPr>
        <w:spacing w:after="160" w:before="0"/>
      </w:pPr>
    </w:p>
    <w:p>
      <w:pPr>
        <w:pStyle w:val="Heading1"/>
        <w:pageBreakBefore/>
        <w:spacing w:after="120" w:before="320"/>
      </w:pPr>
      <w:r>
        <w:rPr>
          <w:rFonts w:ascii="Arial" w:cs="Arial" w:eastAsia="Arial" w:hAnsi="Arial"/>
          <w:b/>
          <w:bCs/>
          <w:color w:val="1F4E79"/>
          <w:sz w:val="40"/>
          <w:szCs w:val="40"/>
        </w:rPr>
        <w:t xml:space="preserve">1 — Índice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760"/>
        <w:gridCol w:w="2400"/>
      </w:tblGrid>
      <w:tr>
        <w:tc>
          <w:tcPr>
            <w:tcW w:type="dxa" w:w="1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Grupo</w:t>
            </w:r>
          </w:p>
        </w:tc>
        <w:tc>
          <w:tcPr>
            <w:tcW w:type="dxa" w:w="1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N especies</w:t>
            </w:r>
          </w:p>
        </w:tc>
        <w:tc>
          <w:tcPr>
            <w:tcW w:type="dxa" w:w="37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Régimen dominante</w:t>
            </w:r>
          </w:p>
        </w:tc>
        <w:tc>
          <w:tcPr>
            <w:tcW w:type="dxa" w:w="24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Reino(s)</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10A</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 (10) · B/C (Turritopsis tiene ρ)</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Animalia, Plantae, Bacteria</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10B</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13 + 1 complemento</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 (12) · B (S.purpuratus capacidad biológica) · indeterminado (Ambystoma)</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Animalia, Fungi</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10C</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13</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 (todas)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Plantae</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10D</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 (todas)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Animalia</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10E</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 (todas)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Plantae</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Régimen B independiente</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B — Strongylocentrotus franciscanus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Animalia</w:t>
            </w:r>
          </w:p>
        </w:tc>
      </w:tr>
    </w:tbl>
    <w:p>
      <w:pPr>
        <w:spacing w:after="160" w:before="0"/>
      </w:pPr>
    </w:p>
    <w:p>
      <w:pPr>
        <w:spacing w:after="120" w:before="0" w:line="360" w:lineRule="auto"/>
        <w:jc w:val="both"/>
      </w:pPr>
      <w:r>
        <w:rPr>
          <w:rFonts w:ascii="Arial" w:cs="Arial" w:eastAsia="Arial" w:hAnsi="Arial"/>
          <w:b w:val="false"/>
          <w:bCs w:val="false"/>
          <w:i w:val="false"/>
          <w:iCs w:val="false"/>
          <w:color w:val="000000"/>
          <w:sz w:val="22"/>
          <w:szCs w:val="22"/>
        </w:rPr>
        <w:t xml:space="preserve">Total: 60 especies con R(especie) completo verificado. Esta versión NO reemplaza la ficha previa de Strongylocentrotus purpuratus (B.EM1-7, mortalidad poblacional bajo depredación, target 6.93a) — ambas siguen vigentes y responden preguntas distintas. Se añade B.EM2-13 (capacidad biológica de no-senescencia, régimen B, target &gt;50a en condiciones sin depredación) como complemento, más S. franciscanus (=Mesocentrotus franciscanus) como par comparativo nuevo desde la misma fuente primaria, completando las 60.</w:t>
      </w:r>
    </w:p>
    <w:p>
      <w:pPr>
        <w:spacing w:after="160" w:before="0"/>
      </w:pP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Nota sobre régimen B: tres especies cuantitativamente cerradas — Myotis brandtii (error 1.0%), S. purpuratus (error 3.0%), S. franciscanus (error 4.3%) — todas con el mismo motor corregido (producción y reparación escalan igual con dt_sem). El par de erizos de mar, calibrado desde la misma fuente primaria (Bodnar y Coffman 2016), muestra que el Margen de Seguridad escala con la longevidad: franciscanus (&gt;100a, MS=360) tiene el doble de margen que purpuratus (~50a, MS=180) — coherente con la propiedad P11 del Cap. 6 §6.12. H. glaber sigue con evidencia cualitativa, η_basal y ρ_rep en calibración (Protocolo 13.4). Hydra vulgaris se suma como cuarto caso de régimen B, recalibrada desde régimen A (t_lat extremo): Γ_ext=0.00497/año es NIVEL 1 (Schaible et al. 2015), MS=730 — el margen más alto del conjunto, coherente con P11 dado que es la especie de mayor longevidad relativa del grupo — pero η_basal y ρ_rep permanecen NIVEL 3/2 (candidato y derivado de turnover celular, no medidos directamente), por lo que se clasifica como cualitativa, igual que H. glaber, no cuantitativamente cerrada.</w:t>
      </w:r>
    </w:p>
    <w:p>
      <w:pPr>
        <w:spacing w:after="160" w:before="0"/>
      </w:pPr>
    </w:p>
    <w:p>
      <w:pPr>
        <w:pStyle w:val="Heading1"/>
        <w:pageBreakBefore/>
        <w:spacing w:after="120" w:before="320"/>
      </w:pPr>
      <w:r>
        <w:rPr>
          <w:rFonts w:ascii="Arial" w:cs="Arial" w:eastAsia="Arial" w:hAnsi="Arial"/>
          <w:b/>
          <w:bCs/>
          <w:color w:val="1F4E79"/>
          <w:sz w:val="40"/>
          <w:szCs w:val="40"/>
        </w:rPr>
        <w:t xml:space="preserve">2 — Grupo 10A: especies fundacionales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A.EM1-1  ·  </w:t>
            </w:r>
            <w:r>
              <w:rPr>
                <w:rFonts w:ascii="Arial" w:cs="Arial" w:eastAsia="Arial" w:hAnsi="Arial"/>
                <w:b/>
                <w:bCs/>
                <w:i/>
                <w:iCs/>
                <w:color w:val="1F3864"/>
                <w:sz w:val="22"/>
                <w:szCs w:val="22"/>
              </w:rPr>
              <w:t xml:space="preserve">Homo sapiens</w:t>
            </w:r>
            <w:r>
              <w:rPr>
                <w:rFonts w:ascii="Arial" w:cs="Arial" w:eastAsia="Arial" w:hAnsi="Arial"/>
                <w:color w:val="595959"/>
                <w:sz w:val="18"/>
                <w:szCs w:val="18"/>
              </w:rPr>
              <w:t xml:space="preserve">  (humano)</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1.3%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(D cruza Dc)  ·  Fuente: Tablas CDC/SSA, curva Gompertziana confirmada</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η=1.4×10⁻³/año · t_lat=40a · Xc=4.00% · β=54.75 (coincidencia Karin) · κ=0.125 · ε=0.180 (verificado) · a=0.0988 · b=0.0960 · μ=3.0 · n=2.0 · W_met=1.0 · CV_η=0.65 (Idda 2020) · δη_H=0.0950 (canal funcional dimorfismo)</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122.0 años (Jeanne Calment, NIVEL 1)  ·  Script: TMCSA_EM1_canonico_10A_v4_auditado.R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δβ_F=0.20 histórico desde [EF-R6] queda como referencia; el canal funcional verificado en [EM-2] es δη_H.</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A.EM1-2  ·  </w:t>
            </w:r>
            <w:r>
              <w:rPr>
                <w:rFonts w:ascii="Arial" w:cs="Arial" w:eastAsia="Arial" w:hAnsi="Arial"/>
                <w:b/>
                <w:bCs/>
                <w:i/>
                <w:iCs/>
                <w:color w:val="1F3864"/>
                <w:sz w:val="22"/>
                <w:szCs w:val="22"/>
              </w:rPr>
              <w:t xml:space="preserve">Mus musculus</w:t>
            </w:r>
            <w:r>
              <w:rPr>
                <w:rFonts w:ascii="Arial" w:cs="Arial" w:eastAsia="Arial" w:hAnsi="Arial"/>
                <w:color w:val="595959"/>
                <w:sz w:val="18"/>
                <w:szCs w:val="18"/>
              </w:rPr>
              <w:t xml:space="preserve">  (ratón doméstico (cepa C57BL/6J))</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0.1%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(D cruza Dc)  ·  Fuente: Schultz et al. 2020, cohorte controlada N=97</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η=0.084/año · t_lat=1.31a · Xc=17.0% (Karin 2019, directo) · β=54.75 (Karin, directo) · κ=0.029 · ε=0.180 (Karin, directo) · a=0.0988 · b=0.0960 · μ=3.0 · n=2.0 · W_met=1.0 · CV_η=0.20 (Schultz 2020, IQR real)</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4.0 años (Schultz 2020, NIVEL 1)  ·  Script: TMCSA_EM1_canonico_10A_v4_auditado.R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Hallazgo clave: CV_η específico bajó el error de 10.0% a 0.1%.</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A.EM1-3  ·  </w:t>
            </w:r>
            <w:r>
              <w:rPr>
                <w:rFonts w:ascii="Arial" w:cs="Arial" w:eastAsia="Arial" w:hAnsi="Arial"/>
                <w:b/>
                <w:bCs/>
                <w:i/>
                <w:iCs/>
                <w:color w:val="1F3864"/>
                <w:sz w:val="22"/>
                <w:szCs w:val="22"/>
              </w:rPr>
              <w:t xml:space="preserve">Somniosus microcephalus</w:t>
            </w:r>
            <w:r>
              <w:rPr>
                <w:rFonts w:ascii="Arial" w:cs="Arial" w:eastAsia="Arial" w:hAnsi="Arial"/>
                <w:color w:val="595959"/>
                <w:sz w:val="18"/>
                <w:szCs w:val="18"/>
              </w:rPr>
              <w:t xml:space="preserve">  (tiburón de Groenlandia)</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4.0%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(D cruza Dc), K extremo  ·  Fuente: Nielsen et al. 2016, Science — racemización aspartato</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η=2.78×10⁻⁵/año · t_lat=156a · Xc=2.03% · β=54.75 (referencia) · κ=0.246 · ε=0.180 (referencia, sin dato propio) · a=0.0988 · b=0.0960 · μ=3.0 · n=2.0 · W_met=1.0 · CV_η=0.65 (referencia humana, sin dato propio)</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~392 años (Nielsen 2016, NIVEL 1)  ·  Script: TMCSA_EM1_canonico_10A_v4_auditado.R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ε rompió con escala universal propuesta (0.180·Xc/17) — verificado con ε=0.180 fijo.</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A.EM1-4  ·  </w:t>
            </w:r>
            <w:r>
              <w:rPr>
                <w:rFonts w:ascii="Arial" w:cs="Arial" w:eastAsia="Arial" w:hAnsi="Arial"/>
                <w:b/>
                <w:bCs/>
                <w:i/>
                <w:iCs/>
                <w:color w:val="1F3864"/>
                <w:sz w:val="22"/>
                <w:szCs w:val="22"/>
              </w:rPr>
              <w:t xml:space="preserve">Hydra vulgaris</w:t>
            </w:r>
            <w:r>
              <w:rPr>
                <w:rFonts w:ascii="Arial" w:cs="Arial" w:eastAsia="Arial" w:hAnsi="Arial"/>
                <w:color w:val="595959"/>
                <w:sz w:val="18"/>
                <w:szCs w:val="18"/>
              </w:rPr>
              <w:t xml:space="preserve">  (hidra de agua dulce)</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B — proporcional (cualitativo)</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4.7% (motor Monte Carlo vs. predicción analítica ln2/Γ_ext; ver nota)  ·  Nivel: 1 (Γ_ext) / 3 (η_basal, ρ_rep)</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Tasa constante (Γ_ext=0.00497), régimen B no senescente  ·  Fuente: Schaible et al. 2015 (PNAS) — mortalidad natural pooled, 53/3.891.682 días-Hydra, 12 cohortes 0-41a; LRT confirma riesgo constante (no Gompertz) en las 12 cohortes (p=0.07-0.99)</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η_basal=0.05 (N3, candidato, pendiente — requiere tasa directa de daño oxidativo o error de replicación) · ρ_rep=72.29/año (N1/2, ACTUALIZADO jul 2026 — ln(2)/T_ciclo, T_ciclo epitelial=3.5d, David &amp; Campbell 1972; antes 15.21 N2 por analogía de turnover corporal) · X_eq=η_basal/ρ_rep=0.000692 &lt;&lt; Dc·Xc=2.40 (MS=3470) · Xc=4.00% · μ=1.0 · n=1.5 · ε=0.01 · Γ_ext=0.00497/año (N1) · CV_η=0.10</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139.5 años, ln(2)/Γ_ext (NIVEL 1 para Γ_ext, extrapolado — cohortes reales solo llegan a ~41a)  ·  Script: TMCSA_EM2_Hydra_canonico_v1.R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RECALIBRADA de régimen A a régimen B (jul 2026) — evidencia biológica: renovación celular continua vía tres poblaciones de células madre autorrenovables, recambio tisular completo cada ~20-28d (Bradshaw, Cazet y Primack 2022, PMC9770530), no un interruptor de producción diferido. Verificado en Python (fracción viva simulada a 139a = 50.9% vs. 50.0% teórico; 0% cese por daño en 1.500 simulaciones) y en R real (TMCSA_EM2_Hydra_canonico_v1.R, 5 semillas: medianas 135.8, 118.8, 144.2, 122.2, 143.9a → promedio 133.0a, error 4.7%, cese externo 100% en las 5 semillas). El 4.7% de error es ruido de muestreo esperado, no sesgo: con Γ_ext tan bajo, el error estándar teórico de la mediana muestral (1/(Γ_ext·√N)) predice sd=11.6a para N=300, contra 11.9a observado — coincidencia casi exacta. Se decidió NO aumentar N_sto para forzar un error menor, dado que η_basal y ρ_rep siguen siendo estimados (η_basal NIVEL 3 candidato sin dato directo de producción de daño; ρ_rep NIVEL 2, derivado de tiempo de recambio celular, no medido directamente) — mismo estatus que H. glaber. Corrección de cita: la ficha previa atribuía el criterio "sin colapso" a Martínez 1998 (~4a de seguimiento); el dato real de 12 cohortes hasta &gt;41a proviene de Schaible et al. 2015 (que incluye a Martínez como coautor). ACTUALIZACIÓN v2 (jul 2026): ρ_rep mejorado de NIVEL 2 a NIVEL 1/2 con dato cinético directo — David &amp; Campbell 1972 midieron el ciclo celular epitelial de Hydra en 3-4 días (marcaje [3H]-timidina); aplicando el Método de Seis Pasos (Paso 5: el tejido epitelial es la masa estructural dominante, no una población nicho), ρ_rep=ln(2)/3.5d×365=72.29/año, reemplazando la estimación anterior de 15.21/año basada en tiempo de recambio corporal completo por analogía. Los ciclos intersticial (16-30h, Campbell &amp; David 1974) y glandular (64-83h, Schmidt &amp; David 1986) quedan documentados como nota metodológica, no como alternativa de calibración — son linajes minoritarios, no la masa estructural. Corrección de cita adicional: Martínez 1998 es Experimental Gerontology, no Science, y no contiene datos de proliferación celular (solo mortalidad) — el dato de ciclo celular viene de una línea de literatura distinta (Bosch/David/Campbell). Verificado en R real (TMCSA_EM2_Hydra_canonico_v2.R, 5 semillas): medianas IDÉNTICAS a v1 (135.8, 118.8, 144.2, 122.2, 143.9a → 133.0a, error 4.7%) — confirma que Γ_ext domina el 100% del cese y ρ_rep no afecta t_cese en este régimen. Lo que sí cambió proporcionalmente a ρ_rep: D_max interno bajó de 0.0008 a 0.000173 (factor 4.6×, coincide con la razón 72.29/15.21=4.75×) y MS subió de 730 a 3470. El error de ajuste no es el indicador correcto de mejora aquí — el indicador correcto es el nivel de evidencia de ρ_rep (N2→N1/2) y el margen de seguridad, no el error de mediana, que está dominado por ruido de muestreo de Γ_ext independientemente del valor de ρ_rep.</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A.EM1-5  ·  </w:t>
            </w:r>
            <w:r>
              <w:rPr>
                <w:rFonts w:ascii="Arial" w:cs="Arial" w:eastAsia="Arial" w:hAnsi="Arial"/>
                <w:b/>
                <w:bCs/>
                <w:i/>
                <w:iCs/>
                <w:color w:val="1F3864"/>
                <w:sz w:val="22"/>
                <w:szCs w:val="22"/>
              </w:rPr>
              <w:t xml:space="preserve">Olea europaea</w:t>
            </w:r>
            <w:r>
              <w:rPr>
                <w:rFonts w:ascii="Arial" w:cs="Arial" w:eastAsia="Arial" w:hAnsi="Arial"/>
                <w:color w:val="595959"/>
                <w:sz w:val="18"/>
                <w:szCs w:val="18"/>
              </w:rPr>
              <w:t xml:space="preserve">  (olivo)</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 + Γ_ext</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~3-4%  ·  Nivel: 2</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Tasa constante (Γ_ext=0.00198)  ·  Fuente: Longevidad de ejemplares milenarios documentados</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η=7.70×10⁻⁵/año · t_lat=150a · Xc=1.37% · Γ_ext=ln(2)/350=0.00198</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~350 años (NIVEL 2)  ·  Script: Incluido en TMCSA_EM1_canonico_10A_v4_auditado.R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Caso de varianza de muestreo documentado: error 10.4% con seed=42, 2.3% con seed=100. Distribución de cola larga.</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A.EM1-6  ·  </w:t>
            </w:r>
            <w:r>
              <w:rPr>
                <w:rFonts w:ascii="Arial" w:cs="Arial" w:eastAsia="Arial" w:hAnsi="Arial"/>
                <w:b/>
                <w:bCs/>
                <w:i/>
                <w:iCs/>
                <w:color w:val="1F3864"/>
                <w:sz w:val="22"/>
                <w:szCs w:val="22"/>
              </w:rPr>
              <w:t xml:space="preserve">Heterocephalus glaber</w:t>
            </w:r>
            <w:r>
              <w:rPr>
                <w:rFonts w:ascii="Arial" w:cs="Arial" w:eastAsia="Arial" w:hAnsi="Arial"/>
                <w:color w:val="595959"/>
                <w:sz w:val="18"/>
                <w:szCs w:val="18"/>
              </w:rPr>
              <w:t xml:space="preserve">  (rata topo desnuda)</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B — proporcional (cualitativo)</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0.5-0.9%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Tasa constante (Γ_ext=0.0365), régimen B  ·  Fuente: mortalidad — Ruby et al. 2018 eLife + GeroScience 2024 (dato demográfico, ~1/10.000/día constante); mecanismo molecular — Kawamura et al. 2023, EMBO J (SCD vía serotonina→MAO→H₂O₂, confirmado genética y farmacológicamente in vitro e in vivo). Corrección de cita: el mecanismo SCD estaba previamente fusionado bajo "Ruby 2023 eLife" — son dos papers y dos grupos distintos.</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[Bajo régimen A, histórico]: η=0.050 · t_lat=13.0a · Xc=6.46% · β=400 (SCD alta) · Γ_ext=0.0365/año
[Bajo régimen B]: mecanismo molecular confirmado (Kawamura et al. 2023) — MAO-A/MAO-B suben 2.45-3.18×/3.81-5.30× (transducción INK4a / DXR) solo en NMR, no en ratón. Traducción a η_basal/ρ_rep NO realizable con este dato: fold-change de proteína no es tasa poblacional (año⁻¹), y el mecanismo es un interruptor condicionado a senescencia individual, no una tasa continua de fondo. D_max=0.209 &lt;&lt; Dc confirmado (motor η≈0 + Γ_ext sigue siendo el correcto). BÚSQUEDA (jul 2026, Aporte 29): revisado Kawamura et al. 2023 (EMBO J) completo — sin tasa de aclaramiento SA-β-Gal+ en función de la edad real (solo series de senescencia inducida en días). Localizado el preprint bioRxiv 2020 del mismo grupo (precursor directo del paper de 2023) con comparación de envejecimiento natural real (piel NMR 1a vs. 13-15a, % área SA-β-Gal+, Fig. 1c) — más cercano pero insuficiente: solo dos puntos de edad (no serie), valores numéricos no extraíbles del texto (solo "casi ninguna célula" + significancia estadística), y sin brazo con inhibidor de MAO que permita separar tasa de producción de tasa de aclaramiento. η_basal y ρ_rep permanecen NIVEL 3, EXPLÍCITAMENTE pendientes del experimento: cohorte NMR con medición periódica de células SA-β-Gal+ en tejido real (múltiples edades) con y sin inhibidor de MAO (clorgilina para MAO-A, selegilina/rasagilina para MAO-B) — ese diseño es el único que separaría η_basal de ρ_rep. No existe todavía en la literatura revisada.</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&gt;32 años (NIVEL 1)  ·  Script: TMCSA_EM1_Hglaber_individual_v2.R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Caso más importante del proyecto: motivó la extensión de régimen A a régimen B. Bajo régimen A puro, [EM-1] no podía representar daño oxidativo alto + negligible senescence sin contradecir el dato. Mecanismo molecular (SCD serotonina/MAO/H₂O₂) confirmado en Kawamura et al. 2023 — genética (knockdown/transducción INK4a) y farmacológicamente (inhibidores de MAO: clorgilina, rasagilina, fenelzina), in vitro e in vivo (pulmón, bleomicina). Ya no es "candidato" — es mecanismo verificado. Calibración cuantitativa de η_basal/ρ_rep sigue pendiente: no hay puente válido entre el fold-change de MAO reportado y una tasa poblacional sin inventar un supuesto de proporcionalidad no medido. El dato que realmente falta es la tasa de aclaramiento de células SA-β-Gal+ en tejido de H. glaber a lo largo del tiempo — no reportada en Kawamura 2023 para NMR en función de la edad real (solo para el modelo experimental de senescencia inducida). Protocolo 13.4 sigue abierto.</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A.EM1-7  ·  </w:t>
            </w:r>
            <w:r>
              <w:rPr>
                <w:rFonts w:ascii="Arial" w:cs="Arial" w:eastAsia="Arial" w:hAnsi="Arial"/>
                <w:b/>
                <w:bCs/>
                <w:i/>
                <w:iCs/>
                <w:color w:val="1F3864"/>
                <w:sz w:val="22"/>
                <w:szCs w:val="22"/>
              </w:rPr>
              <w:t xml:space="preserve">Fitzroya cupressoides</w:t>
            </w:r>
            <w:r>
              <w:rPr>
                <w:rFonts w:ascii="Arial" w:cs="Arial" w:eastAsia="Arial" w:hAnsi="Arial"/>
                <w:color w:val="595959"/>
                <w:sz w:val="18"/>
                <w:szCs w:val="18"/>
              </w:rPr>
              <w:t xml:space="preserve">  (alerce)</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 + Γ_ext</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3.2-6.0%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Tasa constante (Γ_ext=0.00170)  ·  Fuente: Lara &amp; Villalba 1993, Science — dendrocronología</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η=7.70×10⁻⁵/año · t_lat=175a · Xc=0.796% · Γ_ext=ln(2)/408=0.00170</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~408 años (NIVEL 1)  ·  Script: TMCSA_EM1_canonico_10A_v4_auditado.R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EEAF1" w:val="clear"/>
            <w:tcMar>
              <w:top w:type="dxa" w:w="70"/>
              <w:left w:type="dxa" w:w="120"/>
              <w:bottom w:type="dxa" w:w="70"/>
              <w:right w:type="dxa" w:w="80"/>
            </w:tcMar>
          </w:tcPr>
          <w:p>
            <w:pPr>
              <w:spacing w:after="30"/>
            </w:pPr>
            <w:r>
              <w:rPr>
                <w:rFonts w:ascii="Arial" w:cs="Arial" w:eastAsia="Arial" w:hAnsi="Arial"/>
                <w:b/>
                <w:bCs/>
                <w:color w:val="2E75B6"/>
                <w:sz w:val="22"/>
                <w:szCs w:val="22"/>
              </w:rPr>
              <w:t xml:space="preserve">A.EM1-8  ·  </w:t>
            </w:r>
            <w:r>
              <w:rPr>
                <w:rFonts w:ascii="Arial" w:cs="Arial" w:eastAsia="Arial" w:hAnsi="Arial"/>
                <w:b/>
                <w:bCs/>
                <w:i/>
                <w:iCs/>
                <w:color w:val="1F3864"/>
                <w:sz w:val="22"/>
                <w:szCs w:val="22"/>
              </w:rPr>
              <w:t xml:space="preserve">Turritopsis dohrnii</w:t>
            </w:r>
            <w:r>
              <w:rPr>
                <w:rFonts w:ascii="Arial" w:cs="Arial" w:eastAsia="Arial" w:hAnsi="Arial"/>
                <w:color w:val="595959"/>
                <w:sz w:val="18"/>
                <w:szCs w:val="18"/>
              </w:rPr>
              <w:t xml:space="preserve">  (medusa inmortal)</w:t>
            </w:r>
          </w:p>
          <w:p>
            <w:pPr>
              <w:spacing w:after="0"/>
            </w:pPr>
            <w:r>
              <w:rPr>
                <w:rFonts w:ascii="Arial" w:cs="Arial" w:eastAsia="Arial" w:hAnsi="Arial"/>
                <w:color w:val="595959"/>
                <w:sz w:val="18"/>
                <w:szCs w:val="18"/>
              </w:rPr>
              <w:t xml:space="preserve">Régimen [EM-2]: </w:t>
            </w:r>
            <w:r>
              <w:rPr>
                <w:rFonts w:ascii="Arial" w:cs="Arial" w:eastAsia="Arial" w:hAnsi="Arial"/>
                <w:b/>
                <w:bCs/>
                <w:color w:val="2E75B6"/>
                <w:sz w:val="18"/>
                <w:szCs w:val="18"/>
              </w:rPr>
              <w:t xml:space="preserve">C — reversión</w:t>
            </w:r>
            <w:r>
              <w:rPr>
                <w:rFonts w:ascii="Arial" w:cs="Arial" w:eastAsia="Arial" w:hAnsi="Arial"/>
                <w:color w:val="595959"/>
                <w:sz w:val="18"/>
                <w:szCs w:val="18"/>
              </w:rPr>
              <w:t xml:space="preserve">  ·  Estado: </w:t>
            </w:r>
            <w:r>
              <w:rPr>
                <w:rFonts w:ascii="Arial" w:cs="Arial" w:eastAsia="Arial" w:hAnsi="Arial"/>
                <w:b/>
                <w:bCs/>
                <w:color w:val="2E75B6"/>
                <w:sz w:val="18"/>
                <w:szCs w:val="18"/>
              </w:rPr>
              <w:t xml:space="preserve">✓ VERIFICADA (cualitativo)</w:t>
            </w:r>
            <w:r>
              <w:rPr>
                <w:rFonts w:ascii="Arial" w:cs="Arial" w:eastAsia="Arial" w:hAnsi="Arial"/>
                <w:color w:val="595959"/>
                <w:sz w:val="18"/>
                <w:szCs w:val="18"/>
              </w:rPr>
              <w:t xml:space="preserve">  ·  Error: —  ·  Nivel: 2</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Modo de cese</w:t>
            </w:r>
          </w:p>
          <w:p>
            <w:pPr>
              <w:spacing w:after="0"/>
            </w:pPr>
            <w:r>
              <w:rPr>
                <w:rFonts w:ascii="Arial" w:cs="Arial" w:eastAsia="Arial" w:hAnsi="Arial"/>
                <w:sz w:val="18"/>
                <w:szCs w:val="18"/>
              </w:rPr>
              <w:t xml:space="preserve">Reversión (ρ=1.0), Γ_ext=2.0 entre ciclos  ·  Fuente: Piraino et al. 1996/2004; Miglietta 2025 — 102 medusas, 4 condiciones, 22% fallo</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Parámetros de R(especie)</w:t>
            </w:r>
          </w:p>
          <w:p>
            <w:pPr>
              <w:spacing w:after="0"/>
            </w:pPr>
            <w:r>
              <w:rPr>
                <w:rFonts w:ascii="Arial" w:cs="Arial" w:eastAsia="Arial" w:hAnsi="Arial"/>
                <w:sz w:val="18"/>
                <w:szCs w:val="18"/>
              </w:rPr>
              <w:t xml:space="preserve">η=1.0×10⁻²/año (alto, ciclo corto) · t_lat=0.1a · Xc=24.99% · μ=1.0 · n=1.5 (valores reducidos) · ρ=1.0</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Target / Script</w:t>
            </w:r>
          </w:p>
          <w:p>
            <w:pPr>
              <w:spacing w:after="0"/>
            </w:pPr>
            <w:r>
              <w:rPr>
                <w:rFonts w:ascii="Arial" w:cs="Arial" w:eastAsia="Arial" w:hAnsi="Arial"/>
                <w:sz w:val="18"/>
                <w:szCs w:val="18"/>
              </w:rPr>
              <w:t xml:space="preserve">t_cese_target = No aplica — proceso cíclico  ·  Script: TMCSA_EM1_canonico_10A_v4_auditado.R</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Pendientes / nota</w:t>
            </w:r>
          </w:p>
          <w:p>
            <w:pPr>
              <w:spacing w:after="0"/>
            </w:pPr>
            <w:r>
              <w:rPr>
                <w:rFonts w:ascii="Arial" w:cs="Arial" w:eastAsia="Arial" w:hAnsi="Arial"/>
                <w:sz w:val="18"/>
                <w:szCs w:val="18"/>
              </w:rPr>
              <w:t xml:space="preserve">Único caso verificado de régimen C. Formalización algebraica completa de ρ pendiente — el 22% de fallo exige componente estocástico.</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A.EM1-9  ·  </w:t>
            </w:r>
            <w:r>
              <w:rPr>
                <w:rFonts w:ascii="Arial" w:cs="Arial" w:eastAsia="Arial" w:hAnsi="Arial"/>
                <w:b/>
                <w:bCs/>
                <w:i/>
                <w:iCs/>
                <w:color w:val="1F3864"/>
                <w:sz w:val="22"/>
                <w:szCs w:val="22"/>
              </w:rPr>
              <w:t xml:space="preserve">Escherichia coli (polo viejo)</w:t>
            </w:r>
            <w:r>
              <w:rPr>
                <w:rFonts w:ascii="Arial" w:cs="Arial" w:eastAsia="Arial" w:hAnsi="Arial"/>
                <w:color w:val="595959"/>
                <w:sz w:val="18"/>
                <w:szCs w:val="18"/>
              </w:rPr>
              <w:t xml:space="preserve">  (bacteria, linaje del polo antiguo)</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 (tiempo generacional)</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3.5%  ·  Nivel: 2</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tiempo discreto (generaciones)  ·  Fuente: Asimetría de división documentada en literatura microbiológica</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η=0.04641/generación · t_lat=33 generaciones · Xc=3.60% · α=0.70 (tasa de división) · TIEMPO DISCRETO: paso=1 generación</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~100 generaciones (NIVEL 2)  ·  Script: TMCSA_EM1_canonico_10A_v4_auditado.R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Primer caso de tiempo discreto verificado bajo [EM-2].</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A.EM1-10  ·  </w:t>
            </w:r>
            <w:r>
              <w:rPr>
                <w:rFonts w:ascii="Arial" w:cs="Arial" w:eastAsia="Arial" w:hAnsi="Arial"/>
                <w:b/>
                <w:bCs/>
                <w:i/>
                <w:iCs/>
                <w:color w:val="1F3864"/>
                <w:sz w:val="22"/>
                <w:szCs w:val="22"/>
              </w:rPr>
              <w:t xml:space="preserve">Pan troglodytes</w:t>
            </w:r>
            <w:r>
              <w:rPr>
                <w:rFonts w:ascii="Arial" w:cs="Arial" w:eastAsia="Arial" w:hAnsi="Arial"/>
                <w:color w:val="595959"/>
                <w:sz w:val="18"/>
                <w:szCs w:val="18"/>
              </w:rPr>
              <w:t xml:space="preserve">  (chimpancé)</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0.1-3.2%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(D cruza Dc)  ·  Fuente: Estudios de poblaciones de chimpancés en cautiverio y libertad</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η=8.125×10⁻³/año · t_lat=21.74a · Xc=5.17% · μ=3.0 · n=2.0 · W_met=1.0</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~42 años (NIVEL 2)  ·  Script: TMCSA_EM1_canonico_10A_v4_auditado.R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Anomalía documentada respecto a Gorilla beringei: longevidad similar, η 1.6× distinto. Hipótesis masa corporal pendiente.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A.EM1-11  ·  </w:t>
            </w:r>
            <w:r>
              <w:rPr>
                <w:rFonts w:ascii="Arial" w:cs="Arial" w:eastAsia="Arial" w:hAnsi="Arial"/>
                <w:b/>
                <w:bCs/>
                <w:i/>
                <w:iCs/>
                <w:color w:val="1F3864"/>
                <w:sz w:val="22"/>
                <w:szCs w:val="22"/>
              </w:rPr>
              <w:t xml:space="preserve">Chelonoidis sp.</w:t>
            </w:r>
            <w:r>
              <w:rPr>
                <w:rFonts w:ascii="Arial" w:cs="Arial" w:eastAsia="Arial" w:hAnsi="Arial"/>
                <w:color w:val="595959"/>
                <w:sz w:val="18"/>
                <w:szCs w:val="18"/>
              </w:rPr>
              <w:t xml:space="preserve">  (tortuga gigante)</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 + Γ_ext</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2.0%  ·  Nivel: 2</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Tasa constante (Γ_ext=0.0202)  ·  Fuente: da Silva 2022, ZIMS — tabla de vida en cautiverio</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η=5×10⁻⁴/año · t_lat=20.0a · Xc=4.21% · Γ_ext=ln(2)/100=0.0202</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~100 años (NIVEL 2)  ·  Script: TMCSA_EM1_canonico_10A_v4_auditado.R</w:t>
            </w:r>
          </w:p>
        </w:tc>
      </w:tr>
    </w:tbl>
    <w:p>
      <w:pPr>
        <w:spacing w:after="160" w:before="0"/>
      </w:pPr>
    </w:p>
    <w:p>
      <w:pPr>
        <w:pStyle w:val="Heading1"/>
        <w:pageBreakBefore/>
        <w:spacing w:after="120" w:before="320"/>
      </w:pPr>
      <w:r>
        <w:rPr>
          <w:rFonts w:ascii="Arial" w:cs="Arial" w:eastAsia="Arial" w:hAnsi="Arial"/>
          <w:b/>
          <w:bCs/>
          <w:color w:val="1F4E79"/>
          <w:sz w:val="40"/>
          <w:szCs w:val="40"/>
        </w:rPr>
        <w:t xml:space="preserve">3 — Grupo 10B: vertebrados K y modos especiales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B.EM1-1  ·  </w:t>
            </w:r>
            <w:r>
              <w:rPr>
                <w:rFonts w:ascii="Arial" w:cs="Arial" w:eastAsia="Arial" w:hAnsi="Arial"/>
                <w:b/>
                <w:bCs/>
                <w:i/>
                <w:iCs/>
                <w:color w:val="1F3864"/>
                <w:sz w:val="22"/>
                <w:szCs w:val="22"/>
              </w:rPr>
              <w:t xml:space="preserve">Tursiops truncatus (♀)</w:t>
            </w:r>
            <w:r>
              <w:rPr>
                <w:rFonts w:ascii="Arial" w:cs="Arial" w:eastAsia="Arial" w:hAnsi="Arial"/>
                <w:color w:val="595959"/>
                <w:sz w:val="18"/>
                <w:szCs w:val="18"/>
              </w:rPr>
              <w:t xml:space="preserve">  (delfín nariz de botella)</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1.2%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K básico marino  ·  Fuente: Estudios demográficos en poblaciones costeras monitoreadas</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η=2.752×10⁻³/año · t_lat=8.5a · Xc=4.26% · μ=3.0 · n=2.0 · W_met=1.0</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~67 años (NIVEL 1)  ·  Script: TMCSA_EM1_canonico_10B_v5.R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B.EM1-2  ·  </w:t>
            </w:r>
            <w:r>
              <w:rPr>
                <w:rFonts w:ascii="Arial" w:cs="Arial" w:eastAsia="Arial" w:hAnsi="Arial"/>
                <w:b/>
                <w:bCs/>
                <w:i/>
                <w:iCs/>
                <w:color w:val="1F3864"/>
                <w:sz w:val="22"/>
                <w:szCs w:val="22"/>
              </w:rPr>
              <w:t xml:space="preserve">Diomedea exulans (♀)</w:t>
            </w:r>
            <w:r>
              <w:rPr>
                <w:rFonts w:ascii="Arial" w:cs="Arial" w:eastAsia="Arial" w:hAnsi="Arial"/>
                <w:color w:val="595959"/>
                <w:sz w:val="18"/>
                <w:szCs w:val="18"/>
              </w:rPr>
              <w:t xml:space="preserve">  (albatros viajero)</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0.4%  ·  Nivel: 2</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K básico ave  ·  Fuente: Pardo 2013 (dirección del efecto), estudios de colonia</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η=2.752×10⁻³/año · t_lat=10.0a · Xc=4.26% · δβ_M=0.2750 (machos aclaran 27.5% menos)</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~50 años (NIVEL 2)  ·  Script: TMCSA_EM1_canonico_10B_v5.R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B.EM1-3  ·  </w:t>
            </w:r>
            <w:r>
              <w:rPr>
                <w:rFonts w:ascii="Arial" w:cs="Arial" w:eastAsia="Arial" w:hAnsi="Arial"/>
                <w:b/>
                <w:bCs/>
                <w:i/>
                <w:iCs/>
                <w:color w:val="1F3864"/>
                <w:sz w:val="22"/>
                <w:szCs w:val="22"/>
              </w:rPr>
              <w:t xml:space="preserve">Gorilla beringei (♀)</w:t>
            </w:r>
            <w:r>
              <w:rPr>
                <w:rFonts w:ascii="Arial" w:cs="Arial" w:eastAsia="Arial" w:hAnsi="Arial"/>
                <w:color w:val="595959"/>
                <w:sz w:val="18"/>
                <w:szCs w:val="18"/>
              </w:rPr>
              <w:t xml:space="preserve">  (gorila de montaña)</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3.9%  ·  Nivel: 2</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K básico  ·  Fuente: Estudios demográficos de poblaciones monitoreadas</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η=5.156×10⁻³/año · t_lat=8.0a · Xc=5.30% · μ=3.0 · n=2.0</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~40 años (NIVEL 2)  ·  Script: TMCSA_EM1_canonico_10B_v5.R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Anomalía vs Pan troglodytes: misma longevidad, η 1.6× diferente. Ficha completa de trazabilidad pendiente.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B.EM1-4  ·  </w:t>
            </w:r>
            <w:r>
              <w:rPr>
                <w:rFonts w:ascii="Arial" w:cs="Arial" w:eastAsia="Arial" w:hAnsi="Arial"/>
                <w:b/>
                <w:bCs/>
                <w:i/>
                <w:iCs/>
                <w:color w:val="1F3864"/>
                <w:sz w:val="22"/>
                <w:szCs w:val="22"/>
              </w:rPr>
              <w:t xml:space="preserve">Bos taurus</w:t>
            </w:r>
            <w:r>
              <w:rPr>
                <w:rFonts w:ascii="Arial" w:cs="Arial" w:eastAsia="Arial" w:hAnsi="Arial"/>
                <w:color w:val="595959"/>
                <w:sz w:val="18"/>
                <w:szCs w:val="18"/>
              </w:rPr>
              <w:t xml:space="preserve">  (bovino doméstico)</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0.9%  ·  Nivel: 2</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  Fuente: BaSTA — análisis bayesiano de supervivencia</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η=1.899×10⁻²/año · t_lat=10.26a · Xc=7.09%</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~20 años (NIVEL 2)  ·  Script: TMCSA_EM1_canonico_10B_v5.R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B.EM1-5  ·  </w:t>
            </w:r>
            <w:r>
              <w:rPr>
                <w:rFonts w:ascii="Arial" w:cs="Arial" w:eastAsia="Arial" w:hAnsi="Arial"/>
                <w:b/>
                <w:bCs/>
                <w:i/>
                <w:iCs/>
                <w:color w:val="1F3864"/>
                <w:sz w:val="22"/>
                <w:szCs w:val="22"/>
              </w:rPr>
              <w:t xml:space="preserve">Elephas maximus (♀)</w:t>
            </w:r>
            <w:r>
              <w:rPr>
                <w:rFonts w:ascii="Arial" w:cs="Arial" w:eastAsia="Arial" w:hAnsi="Arial"/>
                <w:color w:val="595959"/>
                <w:sz w:val="18"/>
                <w:szCs w:val="18"/>
              </w:rPr>
              <w:t xml:space="preserve">  (elefante asiático)</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2.2%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K básico  ·  Fuente: Estudios demográficos de poblaciones en cautiverio (zoológicos)</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η=3.245×10⁻³/año · t_lat=14.0a · Xc=4.32% · β=29.23 (reducido respecto a referencia)</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~65 años (NIVEL 1)  ·  Script: TMCSA_EM1_canonico_10B_v5.R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Caso del test leave-one-out de la prueba de predicción: error 42% al predecir solo desde metabolismo — reparación atípica.</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B.EM1-6  ·  </w:t>
            </w:r>
            <w:r>
              <w:rPr>
                <w:rFonts w:ascii="Arial" w:cs="Arial" w:eastAsia="Arial" w:hAnsi="Arial"/>
                <w:b/>
                <w:bCs/>
                <w:i/>
                <w:iCs/>
                <w:color w:val="1F3864"/>
                <w:sz w:val="22"/>
                <w:szCs w:val="22"/>
              </w:rPr>
              <w:t xml:space="preserve">Cervus elaphus (♀/♂)</w:t>
            </w:r>
            <w:r>
              <w:rPr>
                <w:rFonts w:ascii="Arial" w:cs="Arial" w:eastAsia="Arial" w:hAnsi="Arial"/>
                <w:color w:val="595959"/>
                <w:sz w:val="18"/>
                <w:szCs w:val="18"/>
              </w:rPr>
              <w:t xml:space="preserve">  (ciervo rojo)</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 dimorfismo</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1.2-1.6%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dimorfismo sexual fuerte  ·  Fuente: Nussey et al. 2011 — dirección del efecto verificada</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η_hembra=2.875×10⁻²/año · η_macho=5.25×10⁻²/año (δη_M=0.8261) · t_lat_h=3.0a · t_lat_m=5.0a · Xc=8.00%</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Hembra: ~18 años. Macho: ~12 años (NIVEL 1)  ·  Script: TMCSA_EM1_canonico_10B_v5.R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B.EM2-13 (complementa B.EM1-7)  ·  </w:t>
            </w:r>
            <w:r>
              <w:rPr>
                <w:rFonts w:ascii="Arial" w:cs="Arial" w:eastAsia="Arial" w:hAnsi="Arial"/>
                <w:b/>
                <w:bCs/>
                <w:i/>
                <w:iCs/>
                <w:color w:val="1F3864"/>
                <w:sz w:val="22"/>
                <w:szCs w:val="22"/>
              </w:rPr>
              <w:t xml:space="preserve">Strongylocentrotus purpuratus</w:t>
            </w:r>
            <w:r>
              <w:rPr>
                <w:rFonts w:ascii="Arial" w:cs="Arial" w:eastAsia="Arial" w:hAnsi="Arial"/>
                <w:color w:val="595959"/>
                <w:sz w:val="18"/>
                <w:szCs w:val="18"/>
              </w:rPr>
              <w:t xml:space="preserve">  (erizo de mar púrpura — capacidad biológica de no-senescencia)</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B — proporcional (cuantitativo)</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1.6%  ·  Nivel: 2</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Negligible senescence (régimen B) + Γ_ext=0.01386, half-life=50a  ·  Fuente: Du et al. 2013 (Mech. Ageing Dev.); Bodnar y Coffman 2016 — carbonilos de proteína, 4-HNE, 8-OHdG sin incremento general con la edad en 6 tejidos; capacidad antioxidante y proteasoma mantenidas</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η_basal=0.04 (N3, censo) · ρ_rep=4.0 (N3, censo) · X_eq=η_basal/ρ_rep=0.0100 &lt;&lt; Dc·Xc=1.80 (MS=180x) · Xc=3.0 (estructural) · CV_η=0.30 · Γ_ext=ln(2)/50 · vida_max=300a (ampliado para eliminar censura artificial)</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~50 años, longevidad intermedia (NIVEL 2, Bodnar 2011-2016)  ·  Script: TMCSA_RegB_Spurpuratus_v3.R · integrado en TMCSA_canonico_10B_EM2_v7.R (B.EM2-13)</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Corrección de clasificación, no de dato previo: la ficha original B.EM1-7 (target t_cese=6.93a, Γ_ext=0.10) sigue siendo válida y vigente — mide la MEDIANA POBLACIONAL bajo presión de depredación marina real (mismo patrón que Euphausia: "presa base", la mayoría muere joven por depredación antes de expresar su longevidad biológica máxima). Esta ficha nueva mide algo distinto: la CAPACIDAD BIOLÓGICA de no-senescencia interna (régimen B), medida en condiciones de laboratorio/cautiverio sin presión de depredación (Bodnar y Coffman 2016, organismos de edad conocida en acuario). Ambas son correctas y complementarias. VERIFICACIÓN FINAL en R real (v3, tras corrección de orden de Γ_ext y ampliación de vida_max): medianas 46,53,48,53,46a (5 semillas), promedio 49.2a, error 1.6%, cese externo 99%. Gráficas generadas (V(t), D(t), distribución t_cese, paridad) sin artefacto de censura — histograma exponencial decreciente limpio.</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B.EM2-14  ·  </w:t>
            </w:r>
            <w:r>
              <w:rPr>
                <w:rFonts w:ascii="Arial" w:cs="Arial" w:eastAsia="Arial" w:hAnsi="Arial"/>
                <w:b/>
                <w:bCs/>
                <w:i/>
                <w:iCs/>
                <w:color w:val="1F3864"/>
                <w:sz w:val="22"/>
                <w:szCs w:val="22"/>
              </w:rPr>
              <w:t xml:space="preserve">Strongylocentrotus franciscanus (= Mesocentrotus franciscanus)</w:t>
            </w:r>
            <w:r>
              <w:rPr>
                <w:rFonts w:ascii="Arial" w:cs="Arial" w:eastAsia="Arial" w:hAnsi="Arial"/>
                <w:color w:val="595959"/>
                <w:sz w:val="18"/>
                <w:szCs w:val="18"/>
              </w:rPr>
              <w:t xml:space="preserve">  (erizo de mar rojo)</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B — proporcional (cuantitativo)</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0.5%  ·  Nivel: 2</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Negligible senescence robusta (régimen B) + Γ_ext=0.006931, half-life=100a  ·  Fuente: "Uno de los animales más longevos de la Tierra... sin incremento de mortalidad relacionado con la edad ni declive de capacidad reproductiva" (Ebert; Bodnar 2015). Evidencia más fuerte que S. purpuratus: menor daño oxidativo relativo y mayor estabilidad transcripcional (Bodnar y Coffman 2016)</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η_basal=0.03 (N3, censo) · ρ_rep=6.0 (N3, censo) · X_eq=η_basal/ρ_rep=0.0050 &lt;&lt; Dc·Xc=1.80 (MS=360x, doble margen que S. purpuratus) · Xc=3.0 (estructural) · CV_η=0.25 · Γ_ext=ln(2)/100 · vida_max=400a (ampliado para eliminar censura artificial)</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&gt;100 años (NIVEL 2, Ebert; múltiples fuentes consistentes)  ·  Script: TMCSA_RegB_Sfranciscanus_v3.R · integrado en TMCSA_canonico_10B_EM2_v7.R (B.EM2-14)</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Especie nueva — completa el par comparativo de régimen B con S. purpuratus desde la misma fuente primaria (Bodnar &amp; Coffman 2016). El Margen de Seguridad 2x mayor es coherente con su mayor longevidad y la evidencia molecular más robusta de estabilidad. VERIFICACIÓN FINAL en R real (v3, tras corrección de orden de Γ_ext y ampliación de vida_max): medianas 101,103,107,88,98a (5 semillas), promedio 99.5a, error 0.5%, cese externo 94%. Gráficas generadas sin artefacto de censura — par completo con S. purpuratus confirma que el Margen de Seguridad escala con la longevidad observada (P11, Cap. 6 §6.12).</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B.EM1-8  ·  </w:t>
            </w:r>
            <w:r>
              <w:rPr>
                <w:rFonts w:ascii="Arial" w:cs="Arial" w:eastAsia="Arial" w:hAnsi="Arial"/>
                <w:b/>
                <w:bCs/>
                <w:i/>
                <w:iCs/>
                <w:color w:val="1F3864"/>
                <w:sz w:val="22"/>
                <w:szCs w:val="22"/>
              </w:rPr>
              <w:t xml:space="preserve">Euphausia superba</w:t>
            </w:r>
            <w:r>
              <w:rPr>
                <w:rFonts w:ascii="Arial" w:cs="Arial" w:eastAsia="Arial" w:hAnsi="Arial"/>
                <w:color w:val="595959"/>
                <w:sz w:val="18"/>
                <w:szCs w:val="18"/>
              </w:rPr>
              <w:t xml:space="preserve">  (krill antártico)</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 + W_met</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0.1-0.2%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Tasa constante (Γ_ext=0.45) + latencia estacional  ·  Fuente: Ikeda &amp; Dixon 1982 — encogimiento corporal invernal</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η=5×10⁻⁴/año · t_lat=0.493a (en tiempo biológico) · Xc=11.78% · W_met=0.4932 · Γ_ext=0.45</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~6 años (NIVEL 1)  ·  Script: TMCSA_EM1_Euphausia_v2.R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Hallazgo clave: t_lat_bio = t_lat_cal × W_met. Sin esta corrección, error 73.8%. Con ella, 0.1-0.2%.</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B.EM1-9  ·  </w:t>
            </w:r>
            <w:r>
              <w:rPr>
                <w:rFonts w:ascii="Arial" w:cs="Arial" w:eastAsia="Arial" w:hAnsi="Arial"/>
                <w:b/>
                <w:bCs/>
                <w:i/>
                <w:iCs/>
                <w:color w:val="1F3864"/>
                <w:sz w:val="22"/>
                <w:szCs w:val="22"/>
              </w:rPr>
              <w:t xml:space="preserve">Saccharomyces cerevisiae (WT)</w:t>
            </w:r>
            <w:r>
              <w:rPr>
                <w:rFonts w:ascii="Arial" w:cs="Arial" w:eastAsia="Arial" w:hAnsi="Arial"/>
                <w:color w:val="595959"/>
                <w:sz w:val="18"/>
                <w:szCs w:val="18"/>
              </w:rPr>
              <w:t xml:space="preserve">  (levadura de panadería)</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 tiempo discreto</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0.4-4.6%  ·  Nivel: 2</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Senescencia, RLS (replicative lifespan)  ·  Fuente: Múltiples estudios de RLS en cepas silvestre tipo</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η=0.15-0.3469/generación · t_lat=5 generaciones · Xc=5.30% · TIEMPO DISCRETO: paso=1 generación</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~23.9 generaciones (NIVEL 1)  ·  Script: TMCSA_EM1_Saccharomyces_v2.R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B.EM1-10  ·  </w:t>
            </w:r>
            <w:r>
              <w:rPr>
                <w:rFonts w:ascii="Arial" w:cs="Arial" w:eastAsia="Arial" w:hAnsi="Arial"/>
                <w:b/>
                <w:bCs/>
                <w:i/>
                <w:iCs/>
                <w:color w:val="1F3864"/>
                <w:sz w:val="22"/>
                <w:szCs w:val="22"/>
              </w:rPr>
              <w:t xml:space="preserve">Oncorhynchus nerka</w:t>
            </w:r>
            <w:r>
              <w:rPr>
                <w:rFonts w:ascii="Arial" w:cs="Arial" w:eastAsia="Arial" w:hAnsi="Arial"/>
                <w:color w:val="595959"/>
                <w:sz w:val="18"/>
                <w:szCs w:val="18"/>
              </w:rPr>
              <w:t xml:space="preserve">  (salmón sockeye)</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A — saturante + E₀(T) + Γ_cortisol</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1.6%  ·  Nivel: 1</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Semelparia (colapso post-reproductivo)  ·  Fuente: Brett 1964; Farrell 2008; Dell 2011 — Ea universal 0.65eV</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η=3×10⁻³/año · t_lat=1.0a · Xc=13.89% · E₀(T): T_opt=15°C, T_max=24°C, Ea=0.65eV · Γ_cortisol: λ=34.07/año, Γ₀=6.32/año</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~4-5 años (NIVEL 1)  ·  Script: TMCSA_EM1_Oncorhynchus_v2.R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Primer caso verificado de E₀(T) en especie ectotérmica de la TMCSA.</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70"/>
              <w:left w:type="dxa" w:w="120"/>
              <w:bottom w:type="dxa" w:w="70"/>
              <w:right w:type="dxa" w:w="80"/>
            </w:tcMar>
          </w:tcPr>
          <w:p>
            <w:pPr>
              <w:spacing w:after="30"/>
            </w:pPr>
            <w:r>
              <w:rPr>
                <w:rFonts w:ascii="Arial" w:cs="Arial" w:eastAsia="Arial" w:hAnsi="Arial"/>
                <w:b/>
                <w:bCs/>
                <w:color w:val="7A6000"/>
                <w:sz w:val="22"/>
                <w:szCs w:val="22"/>
              </w:rPr>
              <w:t xml:space="preserve">B.EM1-11  ·  </w:t>
            </w:r>
            <w:r>
              <w:rPr>
                <w:rFonts w:ascii="Arial" w:cs="Arial" w:eastAsia="Arial" w:hAnsi="Arial"/>
                <w:b/>
                <w:bCs/>
                <w:i/>
                <w:iCs/>
                <w:color w:val="1F3864"/>
                <w:sz w:val="22"/>
                <w:szCs w:val="22"/>
              </w:rPr>
              <w:t xml:space="preserve">Ambystoma mexicanum</w:t>
            </w:r>
            <w:r>
              <w:rPr>
                <w:rFonts w:ascii="Arial" w:cs="Arial" w:eastAsia="Arial" w:hAnsi="Arial"/>
                <w:color w:val="595959"/>
                <w:sz w:val="18"/>
                <w:szCs w:val="18"/>
              </w:rPr>
              <w:t xml:space="preserve">  (axolote)</w:t>
            </w:r>
          </w:p>
          <w:p>
            <w:pPr>
              <w:spacing w:after="0"/>
            </w:pPr>
            <w:r>
              <w:rPr>
                <w:rFonts w:ascii="Arial" w:cs="Arial" w:eastAsia="Arial" w:hAnsi="Arial"/>
                <w:color w:val="595959"/>
                <w:sz w:val="18"/>
                <w:szCs w:val="18"/>
              </w:rPr>
              <w:t xml:space="preserve">Régimen [EM-2]: </w:t>
            </w:r>
            <w:r>
              <w:rPr>
                <w:rFonts w:ascii="Arial" w:cs="Arial" w:eastAsia="Arial" w:hAnsi="Arial"/>
                <w:b/>
                <w:bCs/>
                <w:color w:val="7A6000"/>
                <w:sz w:val="18"/>
                <w:szCs w:val="18"/>
              </w:rPr>
              <w:t xml:space="preserve">INDETERMINADO</w:t>
            </w:r>
            <w:r>
              <w:rPr>
                <w:rFonts w:ascii="Arial" w:cs="Arial" w:eastAsia="Arial" w:hAnsi="Arial"/>
                <w:color w:val="595959"/>
                <w:sz w:val="18"/>
                <w:szCs w:val="18"/>
              </w:rPr>
              <w:t xml:space="preserve">  ·  Estado: </w:t>
            </w:r>
            <w:r>
              <w:rPr>
                <w:rFonts w:ascii="Arial" w:cs="Arial" w:eastAsia="Arial" w:hAnsi="Arial"/>
                <w:b/>
                <w:bCs/>
                <w:color w:val="7A6000"/>
                <w:sz w:val="18"/>
                <w:szCs w:val="18"/>
              </w:rPr>
              <w:t xml:space="preserve">◐ CASO ABIERTO</w:t>
            </w:r>
            <w:r>
              <w:rPr>
                <w:rFonts w:ascii="Arial" w:cs="Arial" w:eastAsia="Arial" w:hAnsi="Arial"/>
                <w:color w:val="595959"/>
                <w:sz w:val="18"/>
                <w:szCs w:val="18"/>
              </w:rPr>
              <w:t xml:space="preserve">  ·  Error: 11.5%  ·  Nivel: 2-3 (disputa)</w:t>
            </w:r>
          </w:p>
        </w:tc>
      </w:tr>
      <w:tr>
        <w:tc>
          <w:tcPr>
            <w:tcW w:type="dxa" w:w="9360"/>
            <w:tcBorders>
              <w:top w:val="single" w:color="7A6000" w:sz="4"/>
              <w:left w:val="single" w:color="7A6000" w:sz="16"/>
              <w:bottom w:val="single" w:color="7A6000" w:sz="4"/>
              <w:right w:val="single" w:color="7A6000" w:sz="4"/>
            </w:tcBorders>
            <w:shd w:fill="FFFFFF" w:val="clear"/>
            <w:tcMar>
              <w:top w:type="dxa" w:w="50"/>
              <w:left w:type="dxa" w:w="120"/>
              <w:bottom w:type="dxa" w:w="50"/>
              <w:right w:type="dxa" w:w="80"/>
            </w:tcMar>
          </w:tcPr>
          <w:p>
            <w:pPr>
              <w:spacing w:after="20"/>
            </w:pPr>
            <w:r>
              <w:rPr>
                <w:rFonts w:ascii="Arial" w:cs="Arial" w:eastAsia="Arial" w:hAnsi="Arial"/>
                <w:b/>
                <w:bCs/>
                <w:color w:val="7A6000"/>
                <w:sz w:val="18"/>
                <w:szCs w:val="18"/>
              </w:rPr>
              <w:t xml:space="preserve">Modo de cese</w:t>
            </w:r>
          </w:p>
          <w:p>
            <w:pPr>
              <w:spacing w:after="0"/>
            </w:pPr>
            <w:r>
              <w:rPr>
                <w:rFonts w:ascii="Arial" w:cs="Arial" w:eastAsia="Arial" w:hAnsi="Arial"/>
                <w:sz w:val="18"/>
                <w:szCs w:val="18"/>
              </w:rPr>
              <w:t xml:space="preserve">En disputa científica real  ·  Fuente: de Magalhães: insuficiente para clasificar. Evidencia mixta: mortalidad sube con edad (senescencia) vs marcadores epigenéticos 2024 (menos SC, sugiere negligible)</w:t>
            </w:r>
          </w:p>
        </w:tc>
      </w:tr>
      <w:tr>
        <w:tc>
          <w:tcPr>
            <w:tcW w:type="dxa" w:w="9360"/>
            <w:tcBorders>
              <w:top w:val="single" w:color="7A6000" w:sz="4"/>
              <w:left w:val="single" w:color="7A6000" w:sz="16"/>
              <w:bottom w:val="single" w:color="7A6000" w:sz="4"/>
              <w:right w:val="single" w:color="7A6000" w:sz="4"/>
            </w:tcBorders>
            <w:shd w:fill="FFFFFF" w:val="clear"/>
            <w:tcMar>
              <w:top w:type="dxa" w:w="50"/>
              <w:left w:type="dxa" w:w="120"/>
              <w:bottom w:type="dxa" w:w="50"/>
              <w:right w:type="dxa" w:w="80"/>
            </w:tcMar>
          </w:tcPr>
          <w:p>
            <w:pPr>
              <w:spacing w:after="20"/>
            </w:pPr>
            <w:r>
              <w:rPr>
                <w:rFonts w:ascii="Arial" w:cs="Arial" w:eastAsia="Arial" w:hAnsi="Arial"/>
                <w:b/>
                <w:bCs/>
                <w:color w:val="7A6000"/>
                <w:sz w:val="18"/>
                <w:szCs w:val="18"/>
              </w:rPr>
              <w:t xml:space="preserve">Parámetros de R(especie)</w:t>
            </w:r>
          </w:p>
          <w:p>
            <w:pPr>
              <w:spacing w:after="0"/>
            </w:pPr>
            <w:r>
              <w:rPr>
                <w:rFonts w:ascii="Arial" w:cs="Arial" w:eastAsia="Arial" w:hAnsi="Arial"/>
                <w:sz w:val="18"/>
                <w:szCs w:val="18"/>
              </w:rPr>
              <w:t xml:space="preserve">η=0.025/año (calibración exploratoria) · t_lat=4.0a · Xc=8.00%</w:t>
            </w:r>
          </w:p>
        </w:tc>
      </w:tr>
      <w:tr>
        <w:tc>
          <w:tcPr>
            <w:tcW w:type="dxa" w:w="9360"/>
            <w:tcBorders>
              <w:top w:val="single" w:color="7A6000" w:sz="4"/>
              <w:left w:val="single" w:color="7A6000" w:sz="16"/>
              <w:bottom w:val="single" w:color="7A6000" w:sz="4"/>
              <w:right w:val="single" w:color="7A6000" w:sz="4"/>
            </w:tcBorders>
            <w:shd w:fill="FFFFFF" w:val="clear"/>
            <w:tcMar>
              <w:top w:type="dxa" w:w="50"/>
              <w:left w:type="dxa" w:w="120"/>
              <w:bottom w:type="dxa" w:w="50"/>
              <w:right w:type="dxa" w:w="80"/>
            </w:tcMar>
          </w:tcPr>
          <w:p>
            <w:pPr>
              <w:spacing w:after="20"/>
            </w:pPr>
            <w:r>
              <w:rPr>
                <w:rFonts w:ascii="Arial" w:cs="Arial" w:eastAsia="Arial" w:hAnsi="Arial"/>
                <w:b/>
                <w:bCs/>
                <w:color w:val="7A6000"/>
                <w:sz w:val="18"/>
                <w:szCs w:val="18"/>
              </w:rPr>
              <w:t xml:space="preserve">Target / Script</w:t>
            </w:r>
          </w:p>
          <w:p>
            <w:pPr>
              <w:spacing w:after="0"/>
            </w:pPr>
            <w:r>
              <w:rPr>
                <w:rFonts w:ascii="Arial" w:cs="Arial" w:eastAsia="Arial" w:hAnsi="Arial"/>
                <w:sz w:val="18"/>
                <w:szCs w:val="18"/>
              </w:rPr>
              <w:t xml:space="preserve">t_cese_target = ~12 años (target, NIVEL 2)  ·  Script: Incluido en TMCSA_EM1_canonico_10B_v5.R</w:t>
            </w:r>
          </w:p>
        </w:tc>
      </w:tr>
      <w:tr>
        <w:tc>
          <w:tcPr>
            <w:tcW w:type="dxa" w:w="9360"/>
            <w:tcBorders>
              <w:top w:val="single" w:color="7A6000" w:sz="4"/>
              <w:left w:val="single" w:color="7A6000" w:sz="16"/>
              <w:bottom w:val="single" w:color="7A6000" w:sz="4"/>
              <w:right w:val="single" w:color="7A6000" w:sz="4"/>
            </w:tcBorders>
            <w:shd w:fill="FFFFFF" w:val="clear"/>
            <w:tcMar>
              <w:top w:type="dxa" w:w="50"/>
              <w:left w:type="dxa" w:w="120"/>
              <w:bottom w:type="dxa" w:w="50"/>
              <w:right w:type="dxa" w:w="80"/>
            </w:tcMar>
          </w:tcPr>
          <w:p>
            <w:pPr>
              <w:spacing w:after="20"/>
            </w:pPr>
            <w:r>
              <w:rPr>
                <w:rFonts w:ascii="Arial" w:cs="Arial" w:eastAsia="Arial" w:hAnsi="Arial"/>
                <w:b/>
                <w:bCs/>
                <w:color w:val="7A6000"/>
                <w:sz w:val="18"/>
                <w:szCs w:val="18"/>
              </w:rPr>
              <w:t xml:space="preserve">Pendientes / nota</w:t>
            </w:r>
          </w:p>
          <w:p>
            <w:pPr>
              <w:spacing w:after="0"/>
            </w:pPr>
            <w:r>
              <w:rPr>
                <w:rFonts w:ascii="Arial" w:cs="Arial" w:eastAsia="Arial" w:hAnsi="Arial"/>
                <w:sz w:val="18"/>
                <w:szCs w:val="18"/>
              </w:rPr>
              <w:t xml:space="preserve">Error 11.5% es honesto, no forzado. Condición para resolver: que la ciencia defina el modo, o incorporar componente neoténico a R si se establece esa condición nueva.</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2EFDA" w:val="clear"/>
            <w:tcMar>
              <w:top w:type="dxa" w:w="70"/>
              <w:left w:type="dxa" w:w="120"/>
              <w:bottom w:type="dxa" w:w="70"/>
              <w:right w:type="dxa" w:w="80"/>
            </w:tcMar>
          </w:tcPr>
          <w:p>
            <w:pPr>
              <w:spacing w:after="30"/>
            </w:pPr>
            <w:r>
              <w:rPr>
                <w:rFonts w:ascii="Arial" w:cs="Arial" w:eastAsia="Arial" w:hAnsi="Arial"/>
                <w:b/>
                <w:bCs/>
                <w:color w:val="1A7C4F"/>
                <w:sz w:val="22"/>
                <w:szCs w:val="22"/>
              </w:rPr>
              <w:t xml:space="preserve">B.EM2-12  ·  </w:t>
            </w:r>
            <w:r>
              <w:rPr>
                <w:rFonts w:ascii="Arial" w:cs="Arial" w:eastAsia="Arial" w:hAnsi="Arial"/>
                <w:b/>
                <w:bCs/>
                <w:i/>
                <w:iCs/>
                <w:color w:val="1F3864"/>
                <w:sz w:val="22"/>
                <w:szCs w:val="22"/>
              </w:rPr>
              <w:t xml:space="preserve">Myotis brandtii</w:t>
            </w:r>
            <w:r>
              <w:rPr>
                <w:rFonts w:ascii="Arial" w:cs="Arial" w:eastAsia="Arial" w:hAnsi="Arial"/>
                <w:color w:val="595959"/>
                <w:sz w:val="18"/>
                <w:szCs w:val="18"/>
              </w:rPr>
              <w:t xml:space="preserve">  (murciélago de Brandt)</w:t>
            </w:r>
          </w:p>
          <w:p>
            <w:pPr>
              <w:spacing w:after="0"/>
            </w:pPr>
            <w:r>
              <w:rPr>
                <w:rFonts w:ascii="Arial" w:cs="Arial" w:eastAsia="Arial" w:hAnsi="Arial"/>
                <w:color w:val="595959"/>
                <w:sz w:val="18"/>
                <w:szCs w:val="18"/>
              </w:rPr>
              <w:t xml:space="preserve">Régimen [EM-2]: </w:t>
            </w:r>
            <w:r>
              <w:rPr>
                <w:rFonts w:ascii="Arial" w:cs="Arial" w:eastAsia="Arial" w:hAnsi="Arial"/>
                <w:b/>
                <w:bCs/>
                <w:color w:val="1A7C4F"/>
                <w:sz w:val="18"/>
                <w:szCs w:val="18"/>
              </w:rPr>
              <w:t xml:space="preserve">B — proporcional (cuantitativo)</w:t>
            </w:r>
            <w:r>
              <w:rPr>
                <w:rFonts w:ascii="Arial" w:cs="Arial" w:eastAsia="Arial" w:hAnsi="Arial"/>
                <w:color w:val="595959"/>
                <w:sz w:val="18"/>
                <w:szCs w:val="18"/>
              </w:rPr>
              <w:t xml:space="preserve">  ·  Estado: </w:t>
            </w:r>
            <w:r>
              <w:rPr>
                <w:rFonts w:ascii="Arial" w:cs="Arial" w:eastAsia="Arial" w:hAnsi="Arial"/>
                <w:b/>
                <w:bCs/>
                <w:color w:val="1A7C4F"/>
                <w:sz w:val="18"/>
                <w:szCs w:val="18"/>
              </w:rPr>
              <w:t xml:space="preserve">✓ VERIFICADA</w:t>
            </w:r>
            <w:r>
              <w:rPr>
                <w:rFonts w:ascii="Arial" w:cs="Arial" w:eastAsia="Arial" w:hAnsi="Arial"/>
                <w:color w:val="595959"/>
                <w:sz w:val="18"/>
                <w:szCs w:val="18"/>
              </w:rPr>
              <w:t xml:space="preserve">  ·  Error: 1.0%  ·  Nivel: 1-2 (estimado de censo)</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Modo de cese</w:t>
            </w:r>
          </w:p>
          <w:p>
            <w:pPr>
              <w:spacing w:after="0"/>
            </w:pPr>
            <w:r>
              <w:rPr>
                <w:rFonts w:ascii="Arial" w:cs="Arial" w:eastAsia="Arial" w:hAnsi="Arial"/>
                <w:sz w:val="18"/>
                <w:szCs w:val="18"/>
              </w:rPr>
              <w:t xml:space="preserve">Tasa constante (Γ_ext=0.017), régimen B no senescente  ·  Fuente: Podlutsky 2005 — relación longevidad/masa más extrema de mamíferos (~7g, 41a)</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Parámetros de R(especie)</w:t>
            </w:r>
          </w:p>
          <w:p>
            <w:pPr>
              <w:spacing w:after="0"/>
            </w:pPr>
            <w:r>
              <w:rPr>
                <w:rFonts w:ascii="Arial" w:cs="Arial" w:eastAsia="Arial" w:hAnsi="Arial"/>
                <w:sz w:val="18"/>
                <w:szCs w:val="18"/>
              </w:rPr>
              <w:t xml:space="preserve">η_basal=0.06 (N3, estimado de censo) · ρ_rep=10.0 (N3, estimado de censo) · X_eq=η_basal/ρ_rep=0.0060 &lt;&lt; Dc·Xc=1.80 (no colapsa por daño) · Xc=3.0 (estructural) · W_met=0.6 (hibernación hasta 7 meses/año) · Γ_ext=0.017/año · CV_η=0.20</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Target / Script</w:t>
            </w:r>
          </w:p>
          <w:p>
            <w:pPr>
              <w:spacing w:after="0"/>
            </w:pPr>
            <w:r>
              <w:rPr>
                <w:rFonts w:ascii="Arial" w:cs="Arial" w:eastAsia="Arial" w:hAnsi="Arial"/>
                <w:sz w:val="18"/>
                <w:szCs w:val="18"/>
              </w:rPr>
              <w:t xml:space="preserve">t_cese_target = ~41 años, half-life=ln(2)/0.017 (NIVEL 1, Podlutsky 2005)  ·  Script: TMCSA_EM2_Myotis_canonico_v1.R</w:t>
            </w:r>
          </w:p>
        </w:tc>
      </w:tr>
      <w:tr>
        <w:tc>
          <w:tcPr>
            <w:tcW w:type="dxa" w:w="9360"/>
            <w:tcBorders>
              <w:top w:val="single" w:color="1A7C4F" w:sz="4"/>
              <w:left w:val="single" w:color="1A7C4F" w:sz="16"/>
              <w:bottom w:val="single" w:color="1A7C4F" w:sz="4"/>
              <w:right w:val="single" w:color="1A7C4F" w:sz="4"/>
            </w:tcBorders>
            <w:shd w:fill="FFFFFF" w:val="clear"/>
            <w:tcMar>
              <w:top w:type="dxa" w:w="50"/>
              <w:left w:type="dxa" w:w="120"/>
              <w:bottom w:type="dxa" w:w="50"/>
              <w:right w:type="dxa" w:w="80"/>
            </w:tcMar>
          </w:tcPr>
          <w:p>
            <w:pPr>
              <w:spacing w:after="20"/>
            </w:pPr>
            <w:r>
              <w:rPr>
                <w:rFonts w:ascii="Arial" w:cs="Arial" w:eastAsia="Arial" w:hAnsi="Arial"/>
                <w:b/>
                <w:bCs/>
                <w:color w:val="1A7C4F"/>
                <w:sz w:val="18"/>
                <w:szCs w:val="18"/>
              </w:rPr>
              <w:t xml:space="preserve">Pendientes / nota</w:t>
            </w:r>
          </w:p>
          <w:p>
            <w:pPr>
              <w:spacing w:after="0"/>
            </w:pPr>
            <w:r>
              <w:rPr>
                <w:rFonts w:ascii="Arial" w:cs="Arial" w:eastAsia="Arial" w:hAnsi="Arial"/>
                <w:sz w:val="18"/>
                <w:szCs w:val="18"/>
              </w:rPr>
              <w:t xml:space="preserve">Primer script cuantitativo de régimen B. Verificado con 5 semillas: medianas 40,41,38,47,40 → promedio 41a, error 1.0%. Cese externo 87% confirma negligible senescence real (no por η≈0 sino por reparación proporcional). Corrección de motor documentada: en régimen B, producción y reparación son ambas tasas anuales y deben escalar igual con dt_sem — a diferencia del régimen A donde la producción requiere el factor ×7. η_basal y ρ_rep pendientes de confirmación con dato directo de daño/reparación (actualmente estimados de censo).</w:t>
            </w:r>
          </w:p>
        </w:tc>
      </w:tr>
    </w:tbl>
    <w:p>
      <w:pPr>
        <w:spacing w:after="160" w:before="0"/>
      </w:pPr>
    </w:p>
    <w:p>
      <w:pPr>
        <w:pStyle w:val="Heading1"/>
        <w:pageBreakBefore/>
        <w:spacing w:after="120" w:before="320"/>
      </w:pPr>
      <w:r>
        <w:rPr>
          <w:rFonts w:ascii="Arial" w:cs="Arial" w:eastAsia="Arial" w:hAnsi="Arial"/>
          <w:b/>
          <w:bCs/>
          <w:color w:val="1F4E79"/>
          <w:sz w:val="40"/>
          <w:szCs w:val="40"/>
        </w:rPr>
        <w:t xml:space="preserve">4 — Grupo 10C: vegetales (anuales y perennes)</w:t>
      </w:r>
    </w:p>
    <w:p>
      <w:pPr>
        <w:spacing w:after="120" w:before="0" w:line="360" w:lineRule="auto"/>
        <w:jc w:val="both"/>
      </w:pPr>
      <w:r>
        <w:rPr>
          <w:rFonts w:ascii="Arial" w:cs="Arial" w:eastAsia="Arial" w:hAnsi="Arial"/>
          <w:b w:val="false"/>
          <w:bCs w:val="false"/>
          <w:i w:val="false"/>
          <w:iCs w:val="false"/>
          <w:color w:val="000000"/>
          <w:sz w:val="22"/>
          <w:szCs w:val="22"/>
        </w:rPr>
        <w:t xml:space="preserve">13 especies. Hallazgo emergente: el modo de cese se determina por historia de vida (anual monocárpica vs perenne), no por taxón — confirmado en el par sandía/Citrullus colocynthis y en la convergencia bambú/Arabidopsis (mismo modo, escalas de tiempo radicalmente distintas).</w:t>
      </w:r>
    </w:p>
    <w:p>
      <w:pPr>
        <w:spacing w:after="160" w:before="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80"/>
        <w:gridCol w:w="2000"/>
        <w:gridCol w:w="880"/>
        <w:gridCol w:w="760"/>
        <w:gridCol w:w="760"/>
        <w:gridCol w:w="760"/>
        <w:gridCol w:w="2920"/>
      </w:tblGrid>
      <w:tr>
        <w:tc>
          <w:tcPr>
            <w:tcW w:type="dxa" w:w="88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Código</w:t>
            </w:r>
          </w:p>
        </w:tc>
        <w:tc>
          <w:tcPr>
            <w:tcW w:type="dxa" w:w="20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Especie</w:t>
            </w:r>
          </w:p>
        </w:tc>
        <w:tc>
          <w:tcPr>
            <w:tcW w:type="dxa" w:w="88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η</w:t>
            </w:r>
          </w:p>
        </w:tc>
        <w:tc>
          <w:tcPr>
            <w:tcW w:type="dxa" w:w="7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t_lat</w:t>
            </w:r>
          </w:p>
        </w:tc>
        <w:tc>
          <w:tcPr>
            <w:tcW w:type="dxa" w:w="7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t_cese</w:t>
            </w:r>
          </w:p>
        </w:tc>
        <w:tc>
          <w:tcPr>
            <w:tcW w:type="dxa" w:w="7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Error</w:t>
            </w:r>
          </w:p>
        </w:tc>
        <w:tc>
          <w:tcPr>
            <w:tcW w:type="dxa" w:w="292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Modo</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C.EM1-1</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Arabidopsis thaliana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0.5</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48d</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70d</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2.5%</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Senescencia monocárpica</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C.EM1-2</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Triticum aestivum</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0.3</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10d</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45d</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0.8%</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Senescencia monocárpica</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C.EM1-3</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Avena sativa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2d</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6d</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4.2%</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Senescencia, γ_M medido</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C.EM1-4</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Citrullus lanatus</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0.4</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60d</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90d</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1.9%</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Senescencia monocárpica</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C.EM1-5</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Olea europaea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(ver A.EM1-5)</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C.EM1-6</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Fitzroya cupressoides</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(ver A.EM1-7)</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C.EM1-7</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Drimys winteri (canelo)</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5×10⁻⁴ (N3, a confirmar)</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12a (N2)</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87a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3.6%</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Γ_ext=0.008 (N1, Tapia 1982); W_met=0.75 (N2, latencia invernal); Xc=3.0 (estructural)</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C.EM1-8</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Ficus carica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1×10⁻⁴</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35a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~0.6%</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Γ_ext=0.01733</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C.EM1-9</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Nelumbo nucifera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1×10⁻⁴</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25a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~0.6%</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Γ_ext=0.01733; semilla 1300a es latencia</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C.EM1-10</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Magnolia grandiflora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1×10⁻⁴</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60a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~0.8%</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Γ_ext=0.006931</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C.EM1-11</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Magnolia macrophylla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1×10⁻⁴</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80a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~5.7%</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Γ_ext=0.008664, NIVEL 2</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C.EM1-12</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Amaryllis (Hippeastrum)</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1×10⁻⁴</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~0.1%</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Γ_ext=0.02310</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C.EM1-13</w:t>
            </w:r>
          </w:p>
        </w:tc>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Phalaenopsis</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1×10⁻⁴</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17a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~7%</w:t>
            </w:r>
          </w:p>
        </w:tc>
        <w:tc>
          <w:tcPr>
            <w:tcW w:type="dxa" w:w="292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Γ_ext=0.04077, regenera</w:t>
            </w:r>
          </w:p>
        </w:tc>
      </w:tr>
    </w:tbl>
    <w:p>
      <w:pPr>
        <w:pBdr>
          <w:left w:val="single" w:color="7A6000" w:sz="18" w:space="8"/>
        </w:pBdr>
        <w:shd w:fill="FFF3CD" w:val="clear"/>
        <w:spacing w:after="120" w:before="80"/>
        <w:ind w:left="480" w:right="480"/>
      </w:pPr>
      <w:r>
        <w:rPr>
          <w:rFonts w:ascii="Arial" w:cs="Arial" w:eastAsia="Arial" w:hAnsi="Arial"/>
          <w:i/>
          <w:iCs/>
          <w:color w:val="7A6000"/>
          <w:sz w:val="18"/>
          <w:szCs w:val="18"/>
        </w:rPr>
        <w:t xml:space="preserve">Pendiente: Vitis vinifera (vid) — NIVEL 3, sin dato real verificado. No se fuerza.</w:t>
      </w:r>
    </w:p>
    <w:p>
      <w:pPr>
        <w:spacing w:after="160" w:before="0"/>
      </w:pPr>
    </w:p>
    <w:p>
      <w:pPr>
        <w:pStyle w:val="Heading1"/>
        <w:pageBreakBefore/>
        <w:spacing w:after="120" w:before="320"/>
      </w:pPr>
      <w:r>
        <w:rPr>
          <w:rFonts w:ascii="Arial" w:cs="Arial" w:eastAsia="Arial" w:hAnsi="Arial"/>
          <w:b/>
          <w:bCs/>
          <w:color w:val="1F4E79"/>
          <w:sz w:val="40"/>
          <w:szCs w:val="40"/>
        </w:rPr>
        <w:t xml:space="preserve">5 — Grupo 10D: animales diversos</w:t>
      </w:r>
    </w:p>
    <w:p>
      <w:pPr>
        <w:spacing w:after="160" w:before="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80"/>
        <w:gridCol w:w="1880"/>
        <w:gridCol w:w="880"/>
        <w:gridCol w:w="760"/>
        <w:gridCol w:w="760"/>
        <w:gridCol w:w="760"/>
        <w:gridCol w:w="3040"/>
      </w:tblGrid>
      <w:tr>
        <w:tc>
          <w:tcPr>
            <w:tcW w:type="dxa" w:w="88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Código</w:t>
            </w:r>
          </w:p>
        </w:tc>
        <w:tc>
          <w:tcPr>
            <w:tcW w:type="dxa" w:w="188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Especie</w:t>
            </w:r>
          </w:p>
        </w:tc>
        <w:tc>
          <w:tcPr>
            <w:tcW w:type="dxa" w:w="88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η</w:t>
            </w:r>
          </w:p>
        </w:tc>
        <w:tc>
          <w:tcPr>
            <w:tcW w:type="dxa" w:w="7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t_lat</w:t>
            </w:r>
          </w:p>
        </w:tc>
        <w:tc>
          <w:tcPr>
            <w:tcW w:type="dxa" w:w="7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t_cese</w:t>
            </w:r>
          </w:p>
        </w:tc>
        <w:tc>
          <w:tcPr>
            <w:tcW w:type="dxa" w:w="7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Error</w:t>
            </w:r>
          </w:p>
        </w:tc>
        <w:tc>
          <w:tcPr>
            <w:tcW w:type="dxa" w:w="304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Modo / Nota</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D.EM1-1</w:t>
            </w:r>
          </w:p>
        </w:tc>
        <w:tc>
          <w:tcPr>
            <w:tcW w:type="dxa" w:w="1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Apis mellifera (reina)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0.12</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0.8a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5.5%</w:t>
            </w:r>
          </w:p>
        </w:tc>
        <w:tc>
          <w:tcPr>
            <w:tcW w:type="dxa" w:w="304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K básico; modela reina</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D.EM1-2</w:t>
            </w:r>
          </w:p>
        </w:tc>
        <w:tc>
          <w:tcPr>
            <w:tcW w:type="dxa" w:w="1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Eisenia fetida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0.065</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4.25a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0.3%</w:t>
            </w:r>
          </w:p>
        </w:tc>
        <w:tc>
          <w:tcPr>
            <w:tcW w:type="dxa" w:w="304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K básico invertebrado</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D.EM1-3</w:t>
            </w:r>
          </w:p>
        </w:tc>
        <w:tc>
          <w:tcPr>
            <w:tcW w:type="dxa" w:w="1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Homarus americanus</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0.05</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3.5a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6.5a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0.7%</w:t>
            </w:r>
          </w:p>
        </w:tc>
        <w:tc>
          <w:tcPr>
            <w:tcW w:type="dxa" w:w="304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K básico, primer crustáceo</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D.EM1-4</w:t>
            </w:r>
          </w:p>
        </w:tc>
        <w:tc>
          <w:tcPr>
            <w:tcW w:type="dxa" w:w="1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Magicicada septendecim</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5.0</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16.5a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17.0a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2.8%</w:t>
            </w:r>
          </w:p>
        </w:tc>
        <w:tc>
          <w:tcPr>
            <w:tcW w:type="dxa" w:w="304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Semélpara + W_met ninfal</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D.EM1-5</w:t>
            </w:r>
          </w:p>
        </w:tc>
        <w:tc>
          <w:tcPr>
            <w:tcW w:type="dxa" w:w="1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Xenopus laevis</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0.012</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15.0a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0.5%</w:t>
            </w:r>
          </w:p>
        </w:tc>
        <w:tc>
          <w:tcPr>
            <w:tcW w:type="dxa" w:w="304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K básico + W_met sequía</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D.EM1-6</w:t>
            </w:r>
          </w:p>
        </w:tc>
        <w:tc>
          <w:tcPr>
            <w:tcW w:type="dxa" w:w="1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Alligator mississippiensis</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0.0032</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50.0a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6.4%</w:t>
            </w:r>
          </w:p>
        </w:tc>
        <w:tc>
          <w:tcPr>
            <w:tcW w:type="dxa" w:w="304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K básico, NIVEL 2</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D.EM1-7</w:t>
            </w:r>
          </w:p>
        </w:tc>
        <w:tc>
          <w:tcPr>
            <w:tcW w:type="dxa" w:w="1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Aptenodytes forsteri</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0.009</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20.0a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0.4%</w:t>
            </w:r>
          </w:p>
        </w:tc>
        <w:tc>
          <w:tcPr>
            <w:tcW w:type="dxa" w:w="304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K básico vertebrado polar</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D.EM1-8</w:t>
            </w:r>
          </w:p>
        </w:tc>
        <w:tc>
          <w:tcPr>
            <w:tcW w:type="dxa" w:w="1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Ursus maritimus</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0.0065</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6.0a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25.0a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w:t>
            </w:r>
          </w:p>
        </w:tc>
        <w:tc>
          <w:tcPr>
            <w:tcW w:type="dxa" w:w="304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Varianza de muestreo</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D.EM1-9</w:t>
            </w:r>
          </w:p>
        </w:tc>
        <w:tc>
          <w:tcPr>
            <w:tcW w:type="dxa" w:w="1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Andrias japonicus</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0.0025</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60.0a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2.8%</w:t>
            </w:r>
          </w:p>
        </w:tc>
        <w:tc>
          <w:tcPr>
            <w:tcW w:type="dxa" w:w="304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K básico; contraste axolote</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D.EM1-10</w:t>
            </w:r>
          </w:p>
        </w:tc>
        <w:tc>
          <w:tcPr>
            <w:tcW w:type="dxa" w:w="1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Chelonoidis niger</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0.0016</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15.0a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100.0a</w:t>
            </w:r>
          </w:p>
        </w:tc>
        <w:tc>
          <w:tcPr>
            <w:tcW w:type="dxa" w:w="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3.5%</w:t>
            </w:r>
          </w:p>
        </w:tc>
        <w:tc>
          <w:tcPr>
            <w:tcW w:type="dxa" w:w="304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Más longevo de 10D</w:t>
            </w:r>
          </w:p>
        </w:tc>
      </w:tr>
    </w:tbl>
    <w:p>
      <w:pPr>
        <w:spacing w:after="160" w:before="0"/>
      </w:pPr>
    </w:p>
    <w:p>
      <w:pPr>
        <w:pStyle w:val="Heading1"/>
        <w:pageBreakBefore/>
        <w:spacing w:after="120" w:before="320"/>
      </w:pPr>
      <w:r>
        <w:rPr>
          <w:rFonts w:ascii="Arial" w:cs="Arial" w:eastAsia="Arial" w:hAnsi="Arial"/>
          <w:b/>
          <w:bCs/>
          <w:color w:val="1F4E79"/>
          <w:sz w:val="40"/>
          <w:szCs w:val="40"/>
        </w:rPr>
        <w:t xml:space="preserve">6 — Grupo 10E: plantas extremas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280"/>
        <w:gridCol w:w="880"/>
        <w:gridCol w:w="880"/>
        <w:gridCol w:w="880"/>
        <w:gridCol w:w="3560"/>
      </w:tblGrid>
      <w:tr>
        <w:tc>
          <w:tcPr>
            <w:tcW w:type="dxa" w:w="88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Código</w:t>
            </w:r>
          </w:p>
        </w:tc>
        <w:tc>
          <w:tcPr>
            <w:tcW w:type="dxa" w:w="228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Especie</w:t>
            </w:r>
          </w:p>
        </w:tc>
        <w:tc>
          <w:tcPr>
            <w:tcW w:type="dxa" w:w="88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η</w:t>
            </w:r>
          </w:p>
        </w:tc>
        <w:tc>
          <w:tcPr>
            <w:tcW w:type="dxa" w:w="88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t_cese</w:t>
            </w:r>
          </w:p>
        </w:tc>
        <w:tc>
          <w:tcPr>
            <w:tcW w:type="dxa" w:w="88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Error</w:t>
            </w:r>
          </w:p>
        </w:tc>
        <w:tc>
          <w:tcPr>
            <w:tcW w:type="dxa" w:w="35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Modo / Nota</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E.EM1-1</w:t>
            </w:r>
          </w:p>
        </w:tc>
        <w:tc>
          <w:tcPr>
            <w:tcW w:type="dxa" w:w="22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Phyllostachys nigra (bambú)</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3.0</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120a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1.6%</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Senescencia monocárpica a escala de siglos</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E.EM1-2</w:t>
            </w:r>
          </w:p>
        </w:tc>
        <w:tc>
          <w:tcPr>
            <w:tcW w:type="dxa" w:w="22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Agave americana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2.5</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25a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0.3%</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Senescencia monocárpica</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E.EM1-3</w:t>
            </w:r>
          </w:p>
        </w:tc>
        <w:tc>
          <w:tcPr>
            <w:tcW w:type="dxa" w:w="22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Lithops spp.</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1×10⁻⁴</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40a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0.6%</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E.EM1-4</w:t>
            </w:r>
          </w:p>
        </w:tc>
        <w:tc>
          <w:tcPr>
            <w:tcW w:type="dxa" w:w="22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Carnegiea gigantea (saguaro)</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1×10⁻⁴</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150a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5.1%</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 + candidato a Γ_ext(edad)</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E.EM1-5</w:t>
            </w:r>
          </w:p>
        </w:tc>
        <w:tc>
          <w:tcPr>
            <w:tcW w:type="dxa" w:w="22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Dracaena cinnabari</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1×10⁻⁵</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500a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 cola larga</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E.EM1-6</w:t>
            </w:r>
          </w:p>
        </w:tc>
        <w:tc>
          <w:tcPr>
            <w:tcW w:type="dxa" w:w="22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Welwitschia mirabilis</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1×10⁻⁴</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600a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4.3%</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E.EM1-7</w:t>
            </w:r>
          </w:p>
        </w:tc>
        <w:tc>
          <w:tcPr>
            <w:tcW w:type="dxa" w:w="22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Adansonia digitata (baobab)</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1×10⁻⁵</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2000a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1.5%</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E.EM1-8</w:t>
            </w:r>
          </w:p>
        </w:tc>
        <w:tc>
          <w:tcPr>
            <w:tcW w:type="dxa" w:w="22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Sequoiadendron giganteum</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1×10⁻⁵</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3000a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4.0%</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E.EM1-9</w:t>
            </w:r>
          </w:p>
        </w:tc>
        <w:tc>
          <w:tcPr>
            <w:tcW w:type="dxa" w:w="22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Pinus longaeva (Matusalén)</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1×10⁻⁵</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4850a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4.1%</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 récord individual no clonal</w:t>
            </w:r>
          </w:p>
        </w:tc>
      </w:tr>
      <w:tr>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E.EM1-10</w:t>
            </w:r>
          </w:p>
        </w:tc>
        <w:tc>
          <w:tcPr>
            <w:tcW w:type="dxa" w:w="22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Populus tremuloides (Pando)</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1×10⁻⁵</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10000a</w:t>
            </w:r>
          </w:p>
        </w:tc>
        <w:tc>
          <w:tcPr>
            <w:tcW w:type="dxa" w:w="88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9.0%</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 del genet clonal</w:t>
            </w:r>
          </w:p>
        </w:tc>
      </w:tr>
    </w:tbl>
    <w:p>
      <w:pPr>
        <w:spacing w:after="160" w:before="0"/>
      </w:pPr>
    </w:p>
    <w:p>
      <w:pPr>
        <w:pStyle w:val="Heading1"/>
        <w:pageBreakBefore/>
        <w:spacing w:after="120" w:before="320"/>
      </w:pPr>
      <w:r>
        <w:rPr>
          <w:rFonts w:ascii="Arial" w:cs="Arial" w:eastAsia="Arial" w:hAnsi="Arial"/>
          <w:b/>
          <w:bCs/>
          <w:color w:val="1F4E79"/>
          <w:sz w:val="40"/>
          <w:szCs w:val="40"/>
        </w:rPr>
        <w:t xml:space="preserve">7 — Casos abiertos e indeterminados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960"/>
        <w:gridCol w:w="3400"/>
      </w:tblGrid>
      <w:tr>
        <w:tc>
          <w:tcPr>
            <w:tcW w:type="dxa" w:w="1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Especie</w:t>
            </w:r>
          </w:p>
        </w:tc>
        <w:tc>
          <w:tcPr>
            <w:tcW w:type="dxa" w:w="14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Estado</w:t>
            </w:r>
          </w:p>
        </w:tc>
        <w:tc>
          <w:tcPr>
            <w:tcW w:type="dxa" w:w="29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Razón</w:t>
            </w:r>
          </w:p>
        </w:tc>
        <w:tc>
          <w:tcPr>
            <w:tcW w:type="dxa" w:w="34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Condición para resolver</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Ambystoma mexicanum</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Indeterminado</w:t>
            </w:r>
          </w:p>
        </w:tc>
        <w:tc>
          <w:tcPr>
            <w:tcW w:type="dxa" w:w="2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Evidencia contradictoria: senescencia vs negligible (epigenético 2024)</w:t>
            </w:r>
          </w:p>
        </w:tc>
        <w:tc>
          <w:tcPr>
            <w:tcW w:type="dxa" w:w="3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Que la ciencia defina el modo, o incorporar componente neoténico a R</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Balaena mysticetus</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Indeterminado</w:t>
            </w:r>
          </w:p>
        </w:tc>
        <w:tc>
          <w:tcPr>
            <w:tcW w:type="dxa" w:w="2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Sin curva de mortalidad por edad. Solo longevidad máxima.</w:t>
            </w:r>
          </w:p>
        </w:tc>
        <w:tc>
          <w:tcPr>
            <w:tcW w:type="dxa" w:w="3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Dato demográfico directo (seguimiento poblacional)</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Vitis vinifera</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3</w:t>
            </w:r>
          </w:p>
        </w:tc>
        <w:tc>
          <w:tcPr>
            <w:tcW w:type="dxa" w:w="2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Solo gráfico sintético, sin dato real</w:t>
            </w:r>
          </w:p>
        </w:tc>
        <w:tc>
          <w:tcPr>
            <w:tcW w:type="dxa" w:w="3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Dato demográfico real de longevidad mediana</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Gorilla vs Pan</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Anomalía sin resolver</w:t>
            </w:r>
          </w:p>
        </w:tc>
        <w:tc>
          <w:tcPr>
            <w:tcW w:type="dxa" w:w="2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Misma longevidad, η 1.6× diferente</w:t>
            </w:r>
          </w:p>
        </w:tc>
        <w:tc>
          <w:tcPr>
            <w:tcW w:type="dxa" w:w="3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Verificar hipótesis de masa corporal</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Heterocephalus glaber régimen B</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Cualitativo</w:t>
            </w:r>
          </w:p>
        </w:tc>
        <w:tc>
          <w:tcPr>
            <w:tcW w:type="dxa" w:w="2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η_basal y ρ_rep sin calibración cuantitativa</w:t>
            </w:r>
          </w:p>
        </w:tc>
        <w:tc>
          <w:tcPr>
            <w:tcW w:type="dxa" w:w="3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Protocolo 13.4 — datos directos de proteostasis</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Saguaro Γ_ext(edad)</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Candidato a refinamiento</w:t>
            </w:r>
          </w:p>
        </w:tc>
        <w:tc>
          <w:tcPr>
            <w:tcW w:type="dxa" w:w="29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Mortalidad edad-dependiente real documentada</w:t>
            </w:r>
          </w:p>
        </w:tc>
        <w:tc>
          <w:tcPr>
            <w:tcW w:type="dxa" w:w="3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Término Γ_ext(t) si se quiere refinar el modelo</w:t>
            </w:r>
          </w:p>
        </w:tc>
      </w:tr>
    </w:tbl>
    <w:p>
      <w:pPr>
        <w:spacing w:after="160" w:before="0"/>
      </w:pPr>
    </w:p>
    <w:p>
      <w:pPr>
        <w:pBdr>
          <w:bottom w:val="single" w:color="2E75B6" w:sz="6"/>
        </w:pBdr>
        <w:spacing w:after="200" w:before="200"/>
      </w:pPr>
    </w:p>
    <w:p>
      <w:pPr>
        <w:pStyle w:val="Heading1"/>
        <w:pageBreakBefore/>
        <w:spacing w:after="120" w:before="320"/>
      </w:pPr>
      <w:r>
        <w:rPr>
          <w:rFonts w:ascii="Arial" w:cs="Arial" w:eastAsia="Arial" w:hAnsi="Arial"/>
          <w:b/>
          <w:bCs/>
          <w:color w:val="1F4E79"/>
          <w:sz w:val="40"/>
          <w:szCs w:val="40"/>
        </w:rPr>
        <w:t xml:space="preserve">8 — Casos de validación parcial: componentes aislados</w:t>
      </w:r>
    </w:p>
    <w:p>
      <w:pPr>
        <w:spacing w:after="120" w:before="0" w:line="360" w:lineRule="auto"/>
        <w:jc w:val="both"/>
      </w:pPr>
      <w:r>
        <w:rPr>
          <w:rFonts w:ascii="Arial" w:cs="Arial" w:eastAsia="Arial" w:hAnsi="Arial"/>
          <w:b w:val="false"/>
          <w:bCs w:val="false"/>
          <w:i w:val="false"/>
          <w:iCs w:val="false"/>
          <w:color w:val="000000"/>
          <w:sz w:val="22"/>
          <w:szCs w:val="22"/>
        </w:rPr>
        <w:t xml:space="preserve">Estas seis fichas tienen un estatus distinto al de las especies de las secciones 2 a 6. No validan R(especie) completo: validan un componente aislado de la ecuación — un solo parámetro, un exponente, una tasa de tejido específico, o el comportamiento de γ_M en una población dada. No se cuentan dentro de las 58 especies verificadas. Se registran porque cada una aporta evidencia real, auditada contra fuente primaria, que puede convertirse en calibración completa si se profundiza.</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EEAF1" w:val="clear"/>
            <w:tcMar>
              <w:top w:type="dxa" w:w="70"/>
              <w:left w:type="dxa" w:w="120"/>
              <w:bottom w:type="dxa" w:w="70"/>
              <w:right w:type="dxa" w:w="80"/>
            </w:tcMar>
          </w:tcPr>
          <w:p>
            <w:pPr>
              <w:spacing w:after="30"/>
            </w:pPr>
            <w:r>
              <w:rPr>
                <w:rFonts w:ascii="Arial" w:cs="Arial" w:eastAsia="Arial" w:hAnsi="Arial"/>
                <w:b/>
                <w:bCs/>
                <w:color w:val="2E75B6"/>
                <w:sz w:val="22"/>
                <w:szCs w:val="22"/>
              </w:rPr>
              <w:t xml:space="preserve">P.1  ·  </w:t>
            </w:r>
            <w:r>
              <w:rPr>
                <w:rFonts w:ascii="Arial" w:cs="Arial" w:eastAsia="Arial" w:hAnsi="Arial"/>
                <w:b/>
                <w:bCs/>
                <w:i/>
                <w:iCs/>
                <w:color w:val="1F3864"/>
                <w:sz w:val="22"/>
                <w:szCs w:val="22"/>
              </w:rPr>
              <w:t xml:space="preserve">Tyrannosaurus rex (species complex)</w:t>
            </w:r>
            <w:r>
              <w:rPr>
                <w:rFonts w:ascii="Arial" w:cs="Arial" w:eastAsia="Arial" w:hAnsi="Arial"/>
                <w:color w:val="595959"/>
                <w:sz w:val="18"/>
                <w:szCs w:val="18"/>
              </w:rPr>
              <w:t xml:space="preserve">  (T. rex)</w:t>
            </w:r>
          </w:p>
          <w:p>
            <w:pPr>
              <w:spacing w:after="0"/>
            </w:pPr>
            <w:r>
              <w:rPr>
                <w:rFonts w:ascii="Arial" w:cs="Arial" w:eastAsia="Arial" w:hAnsi="Arial"/>
                <w:color w:val="595959"/>
                <w:sz w:val="18"/>
                <w:szCs w:val="18"/>
              </w:rPr>
              <w:t xml:space="preserve">Régimen [EM-2]: </w:t>
            </w:r>
            <w:r>
              <w:rPr>
                <w:rFonts w:ascii="Arial" w:cs="Arial" w:eastAsia="Arial" w:hAnsi="Arial"/>
                <w:b/>
                <w:bCs/>
                <w:color w:val="2E75B6"/>
                <w:sz w:val="18"/>
                <w:szCs w:val="18"/>
              </w:rPr>
              <w:t xml:space="preserve">No aplica — componente aislado</w:t>
            </w:r>
            <w:r>
              <w:rPr>
                <w:rFonts w:ascii="Arial" w:cs="Arial" w:eastAsia="Arial" w:hAnsi="Arial"/>
                <w:color w:val="595959"/>
                <w:sz w:val="18"/>
                <w:szCs w:val="18"/>
              </w:rPr>
              <w:t xml:space="preserve">  ·  Estado: </w:t>
            </w:r>
            <w:r>
              <w:rPr>
                <w:rFonts w:ascii="Arial" w:cs="Arial" w:eastAsia="Arial" w:hAnsi="Arial"/>
                <w:b/>
                <w:bCs/>
                <w:color w:val="2E75B6"/>
                <w:sz w:val="18"/>
                <w:szCs w:val="18"/>
              </w:rPr>
              <w:t xml:space="preserve">◐ VALIDACIÓN PARCIAL</w:t>
            </w:r>
            <w:r>
              <w:rPr>
                <w:rFonts w:ascii="Arial" w:cs="Arial" w:eastAsia="Arial" w:hAnsi="Arial"/>
                <w:color w:val="595959"/>
                <w:sz w:val="18"/>
                <w:szCs w:val="18"/>
              </w:rPr>
              <w:t xml:space="preserve">  ·  Error: —  ·  Nivel: 1</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Modo de cese</w:t>
            </w:r>
          </w:p>
          <w:p>
            <w:pPr>
              <w:spacing w:after="0"/>
            </w:pPr>
            <w:r>
              <w:rPr>
                <w:rFonts w:ascii="Arial" w:cs="Arial" w:eastAsia="Arial" w:hAnsi="Arial"/>
                <w:sz w:val="18"/>
                <w:szCs w:val="18"/>
              </w:rPr>
              <w:t xml:space="preserve">No evaluado — solo se validó μ  ·  Fuente: Woodward, Myhrvold &amp; Horner 2026, PeerJ — 17 especímenes, 197 marcas de crecimiento cortical</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Parámetros de R(especie)</w:t>
            </w:r>
          </w:p>
          <w:p>
            <w:pPr>
              <w:spacing w:after="0"/>
            </w:pPr>
            <w:r>
              <w:rPr>
                <w:rFonts w:ascii="Arial" w:cs="Arial" w:eastAsia="Arial" w:hAnsi="Arial"/>
                <w:sz w:val="18"/>
                <w:szCs w:val="18"/>
              </w:rPr>
              <w:t xml:space="preserve">μ≈1.5 (barrido completo 1.0-3.0 contra RMSE de 17 especímenes reales). μ=1.0→2508kg (muy pobre), μ=1.5→320kg (óptimo), μ=2.0→448kg, μ=3.0→769kg (satura muy temprano). Mejora de 29% en RMSE de μ=1.5 sobre μ=2.0 — no marginal.</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Target / Script</w:t>
            </w:r>
          </w:p>
          <w:p>
            <w:pPr>
              <w:spacing w:after="0"/>
            </w:pPr>
            <w:r>
              <w:rPr>
                <w:rFonts w:ascii="Arial" w:cs="Arial" w:eastAsia="Arial" w:hAnsi="Arial"/>
                <w:sz w:val="18"/>
                <w:szCs w:val="18"/>
              </w:rPr>
              <w:t xml:space="preserve">t_cese_target = Punto de inflexión: 28.6 años. Asíntota: 35-40 años.  ·  Script: trex_mu_barrido.png (4 gráficos asociados)</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Pendientes / nota</w:t>
            </w:r>
          </w:p>
          <w:p>
            <w:pPr>
              <w:spacing w:after="0"/>
            </w:pPr>
            <w:r>
              <w:rPr>
                <w:rFonts w:ascii="Arial" w:cs="Arial" w:eastAsia="Arial" w:hAnsi="Arial"/>
                <w:sz w:val="18"/>
                <w:szCs w:val="18"/>
              </w:rPr>
              <w:t xml:space="preserve">Primer caso no-mamífero probado contra la ecuación. μ≈1.5 no coincide con ninguna de las dos categorías existentes (μ=2 plantas/anfibios, μ=3 mamíferos K). Abre la pregunta de una tercera categoría de μ para arcosaurios extintos — ver nota en Manual operativo §3. Búsqueda de segundo caso (jul 2026): Archaeopteryx y Mahakala evaluados y descartados (§9) — ninguno tiene serie histológica con LAGs contables comparable a Woodward et al. 2026. Tercer candidato, Deinonychus antirrhopus (jul 2026): SÍ tiene LAGs reales (Parsons &amp; Parsons 2015), pero el barrido de μ con optimización global demostró no-identificabilidad matemática — RMSE plano entre μ=1.1 y μ=2.5, sin mínimo distinguible, con solo 2 anclas cuantitativas (juvenil + adulto) y 3 parámetros libres. La categoría μ≈1.5 permanece con UN SOLO caso verificado (T. rex, n=17 especímenes), pendiente de un candidato con serie multi-individuo comparable en tamaño muestral, no solo en tipo de dato.</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EEAF1" w:val="clear"/>
            <w:tcMar>
              <w:top w:type="dxa" w:w="70"/>
              <w:left w:type="dxa" w:w="120"/>
              <w:bottom w:type="dxa" w:w="70"/>
              <w:right w:type="dxa" w:w="80"/>
            </w:tcMar>
          </w:tcPr>
          <w:p>
            <w:pPr>
              <w:spacing w:after="30"/>
            </w:pPr>
            <w:r>
              <w:rPr>
                <w:rFonts w:ascii="Arial" w:cs="Arial" w:eastAsia="Arial" w:hAnsi="Arial"/>
                <w:b/>
                <w:bCs/>
                <w:color w:val="2E75B6"/>
                <w:sz w:val="22"/>
                <w:szCs w:val="22"/>
              </w:rPr>
              <w:t xml:space="preserve">P.2  ·  </w:t>
            </w:r>
            <w:r>
              <w:rPr>
                <w:rFonts w:ascii="Arial" w:cs="Arial" w:eastAsia="Arial" w:hAnsi="Arial"/>
                <w:b/>
                <w:bCs/>
                <w:i/>
                <w:iCs/>
                <w:color w:val="1F3864"/>
                <w:sz w:val="22"/>
                <w:szCs w:val="22"/>
              </w:rPr>
              <w:t xml:space="preserve">Smilodon fatalis</w:t>
            </w:r>
            <w:r>
              <w:rPr>
                <w:rFonts w:ascii="Arial" w:cs="Arial" w:eastAsia="Arial" w:hAnsi="Arial"/>
                <w:color w:val="595959"/>
                <w:sz w:val="18"/>
                <w:szCs w:val="18"/>
              </w:rPr>
              <w:t xml:space="preserve">  (tigre dientes de sable)</w:t>
            </w:r>
          </w:p>
          <w:p>
            <w:pPr>
              <w:spacing w:after="0"/>
            </w:pPr>
            <w:r>
              <w:rPr>
                <w:rFonts w:ascii="Arial" w:cs="Arial" w:eastAsia="Arial" w:hAnsi="Arial"/>
                <w:color w:val="595959"/>
                <w:sz w:val="18"/>
                <w:szCs w:val="18"/>
              </w:rPr>
              <w:t xml:space="preserve">Régimen [EM-2]: </w:t>
            </w:r>
            <w:r>
              <w:rPr>
                <w:rFonts w:ascii="Arial" w:cs="Arial" w:eastAsia="Arial" w:hAnsi="Arial"/>
                <w:b/>
                <w:bCs/>
                <w:color w:val="2E75B6"/>
                <w:sz w:val="18"/>
                <w:szCs w:val="18"/>
              </w:rPr>
              <w:t xml:space="preserve">No aplica — componente aislado</w:t>
            </w:r>
            <w:r>
              <w:rPr>
                <w:rFonts w:ascii="Arial" w:cs="Arial" w:eastAsia="Arial" w:hAnsi="Arial"/>
                <w:color w:val="595959"/>
                <w:sz w:val="18"/>
                <w:szCs w:val="18"/>
              </w:rPr>
              <w:t xml:space="preserve">  ·  Estado: </w:t>
            </w:r>
            <w:r>
              <w:rPr>
                <w:rFonts w:ascii="Arial" w:cs="Arial" w:eastAsia="Arial" w:hAnsi="Arial"/>
                <w:b/>
                <w:bCs/>
                <w:color w:val="2E75B6"/>
                <w:sz w:val="18"/>
                <w:szCs w:val="18"/>
              </w:rPr>
              <w:t xml:space="preserve">◐ VALIDACIÓN PARCIAL</w:t>
            </w:r>
            <w:r>
              <w:rPr>
                <w:rFonts w:ascii="Arial" w:cs="Arial" w:eastAsia="Arial" w:hAnsi="Arial"/>
                <w:color w:val="595959"/>
                <w:sz w:val="18"/>
                <w:szCs w:val="18"/>
              </w:rPr>
              <w:t xml:space="preserve">  ·  Error: —  ·  Nivel: 1</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Modo de cese</w:t>
            </w:r>
          </w:p>
          <w:p>
            <w:pPr>
              <w:spacing w:after="0"/>
            </w:pPr>
            <w:r>
              <w:rPr>
                <w:rFonts w:ascii="Arial" w:cs="Arial" w:eastAsia="Arial" w:hAnsi="Arial"/>
                <w:sz w:val="18"/>
                <w:szCs w:val="18"/>
              </w:rPr>
              <w:t xml:space="preserve">No evaluado  ·  Fuente: Wysocki et al. 2015, PLOS ONE — isótopos de oxígeno + micro-tomografía</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Parámetros de R(especie)</w:t>
            </w:r>
          </w:p>
          <w:p>
            <w:pPr>
              <w:spacing w:after="0"/>
            </w:pPr>
            <w:r>
              <w:rPr>
                <w:rFonts w:ascii="Arial" w:cs="Arial" w:eastAsia="Arial" w:hAnsi="Arial"/>
                <w:sz w:val="18"/>
                <w:szCs w:val="18"/>
              </w:rPr>
              <w:t xml:space="preserve">Tasa de erupción de canino: 6.0 mm/mes (consistente con 5.8 mm/mes previamente publicado). Desarrollo completo: 34-41 meses. El doble de la tasa de Panthera leo (~3 mm/mes) para el mismo tipo de tejido.</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Target / Script</w:t>
            </w:r>
          </w:p>
          <w:p>
            <w:pPr>
              <w:spacing w:after="0"/>
            </w:pPr>
            <w:r>
              <w:rPr>
                <w:rFonts w:ascii="Arial" w:cs="Arial" w:eastAsia="Arial" w:hAnsi="Arial"/>
                <w:sz w:val="18"/>
                <w:szCs w:val="18"/>
              </w:rPr>
              <w:t xml:space="preserve">t_cese_target = No aplica — sin traducción a η de R(especie)  ·  Script: smilodon_canino_crecimiento_v2.png</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Pendientes / nota</w:t>
            </w:r>
          </w:p>
          <w:p>
            <w:pPr>
              <w:spacing w:after="0"/>
            </w:pPr>
            <w:r>
              <w:rPr>
                <w:rFonts w:ascii="Arial" w:cs="Arial" w:eastAsia="Arial" w:hAnsi="Arial"/>
                <w:sz w:val="18"/>
                <w:szCs w:val="18"/>
              </w:rPr>
              <w:t xml:space="preserve">Patrón de "inversión prolongada en un arma de mayor tamaño final" — mayor tiempo total de desarrollo pese a tasa más rápida. Sin punto de saturación reportado para Panthera leo, no se puede comparar asíntota.</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EEAF1" w:val="clear"/>
            <w:tcMar>
              <w:top w:type="dxa" w:w="70"/>
              <w:left w:type="dxa" w:w="120"/>
              <w:bottom w:type="dxa" w:w="70"/>
              <w:right w:type="dxa" w:w="80"/>
            </w:tcMar>
          </w:tcPr>
          <w:p>
            <w:pPr>
              <w:spacing w:after="30"/>
            </w:pPr>
            <w:r>
              <w:rPr>
                <w:rFonts w:ascii="Arial" w:cs="Arial" w:eastAsia="Arial" w:hAnsi="Arial"/>
                <w:b/>
                <w:bCs/>
                <w:color w:val="2E75B6"/>
                <w:sz w:val="22"/>
                <w:szCs w:val="22"/>
              </w:rPr>
              <w:t xml:space="preserve">P.3  ·  </w:t>
            </w:r>
            <w:r>
              <w:rPr>
                <w:rFonts w:ascii="Arial" w:cs="Arial" w:eastAsia="Arial" w:hAnsi="Arial"/>
                <w:b/>
                <w:bCs/>
                <w:i/>
                <w:iCs/>
                <w:color w:val="1F3864"/>
                <w:sz w:val="22"/>
                <w:szCs w:val="22"/>
              </w:rPr>
              <w:t xml:space="preserve">Homo neanderthalensis vs. H. sapiens temprano</w:t>
            </w:r>
            <w:r>
              <w:rPr>
                <w:rFonts w:ascii="Arial" w:cs="Arial" w:eastAsia="Arial" w:hAnsi="Arial"/>
                <w:color w:val="595959"/>
                <w:sz w:val="18"/>
                <w:szCs w:val="18"/>
              </w:rPr>
              <w:t xml:space="preserve">  (Neandertal vs. Cromañón)</w:t>
            </w:r>
          </w:p>
          <w:p>
            <w:pPr>
              <w:spacing w:after="0"/>
            </w:pPr>
            <w:r>
              <w:rPr>
                <w:rFonts w:ascii="Arial" w:cs="Arial" w:eastAsia="Arial" w:hAnsi="Arial"/>
                <w:color w:val="595959"/>
                <w:sz w:val="18"/>
                <w:szCs w:val="18"/>
              </w:rPr>
              <w:t xml:space="preserve">Régimen [EM-2]: </w:t>
            </w:r>
            <w:r>
              <w:rPr>
                <w:rFonts w:ascii="Arial" w:cs="Arial" w:eastAsia="Arial" w:hAnsi="Arial"/>
                <w:b/>
                <w:bCs/>
                <w:color w:val="2E75B6"/>
                <w:sz w:val="18"/>
                <w:szCs w:val="18"/>
              </w:rPr>
              <w:t xml:space="preserve">No aplica — γ_M poblacional, fase [EF-R6]</w:t>
            </w:r>
            <w:r>
              <w:rPr>
                <w:rFonts w:ascii="Arial" w:cs="Arial" w:eastAsia="Arial" w:hAnsi="Arial"/>
                <w:color w:val="595959"/>
                <w:sz w:val="18"/>
                <w:szCs w:val="18"/>
              </w:rPr>
              <w:t xml:space="preserve">  ·  Estado: </w:t>
            </w:r>
            <w:r>
              <w:rPr>
                <w:rFonts w:ascii="Arial" w:cs="Arial" w:eastAsia="Arial" w:hAnsi="Arial"/>
                <w:b/>
                <w:bCs/>
                <w:color w:val="2E75B6"/>
                <w:sz w:val="18"/>
                <w:szCs w:val="18"/>
              </w:rPr>
              <w:t xml:space="preserve">◐ VALIDACIÓN PARCIAL</w:t>
            </w:r>
            <w:r>
              <w:rPr>
                <w:rFonts w:ascii="Arial" w:cs="Arial" w:eastAsia="Arial" w:hAnsi="Arial"/>
                <w:color w:val="595959"/>
                <w:sz w:val="18"/>
                <w:szCs w:val="18"/>
              </w:rPr>
              <w:t xml:space="preserve">  ·  Error: —  ·  Nivel: 1</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Modo de cese</w:t>
            </w:r>
          </w:p>
          <w:p>
            <w:pPr>
              <w:spacing w:after="0"/>
            </w:pPr>
            <w:r>
              <w:rPr>
                <w:rFonts w:ascii="Arial" w:cs="Arial" w:eastAsia="Arial" w:hAnsi="Arial"/>
                <w:sz w:val="18"/>
                <w:szCs w:val="18"/>
              </w:rPr>
              <w:t xml:space="preserve">No evaluado — comparación de γ_M(Y) entre poblaciones  ·  Fuente: Trinkaus 1995 (N=206) y Trinkaus 2011, PNAS — comparación directa</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Parámetros de R(especie)</w:t>
            </w:r>
          </w:p>
          <w:p>
            <w:pPr>
              <w:spacing w:after="0"/>
            </w:pPr>
            <w:r>
              <w:rPr>
                <w:rFonts w:ascii="Arial" w:cs="Arial" w:eastAsia="Arial" w:hAnsi="Arial"/>
                <w:sz w:val="18"/>
                <w:szCs w:val="18"/>
              </w:rPr>
              <w:t xml:space="preserve">Componente validado es γ_M de [EF-R6] (§4.22 del cuerpo histórico), no un parámetro de R(especie) de [EM-2]. % población sobreviviente &gt;40 años: Neandertal 10-24% (Trinkaus 1995); H. sapiens forrajero temprano 17% (Kennedy 2003). Trinkaus 2011 confirma "poca diferencia entre las muestras".</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Target / Script</w:t>
            </w:r>
          </w:p>
          <w:p>
            <w:pPr>
              <w:spacing w:after="0"/>
            </w:pPr>
            <w:r>
              <w:rPr>
                <w:rFonts w:ascii="Arial" w:cs="Arial" w:eastAsia="Arial" w:hAnsi="Arial"/>
                <w:sz w:val="18"/>
                <w:szCs w:val="18"/>
              </w:rPr>
              <w:t xml:space="preserve">t_cese_target = No aplica  ·  Script: neandertal_cromañon_gammaM.png</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Pendientes / nota</w:t>
            </w:r>
          </w:p>
          <w:p>
            <w:pPr>
              <w:spacing w:after="0"/>
            </w:pPr>
            <w:r>
              <w:rPr>
                <w:rFonts w:ascii="Arial" w:cs="Arial" w:eastAsia="Arial" w:hAnsi="Arial"/>
                <w:sz w:val="18"/>
                <w:szCs w:val="18"/>
              </w:rPr>
              <w:t xml:space="preserve">Sugiere que γ_M (entorno/época compartidos: clima glacial, presión de subsistencia) domina sobre diferencias biológicas específicas entre especies de homínidos en este caso. Observación cualitativa — no hay datos suficientes para separar ambos efectos cuantitativamente.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EEAF1" w:val="clear"/>
            <w:tcMar>
              <w:top w:type="dxa" w:w="70"/>
              <w:left w:type="dxa" w:w="120"/>
              <w:bottom w:type="dxa" w:w="70"/>
              <w:right w:type="dxa" w:w="80"/>
            </w:tcMar>
          </w:tcPr>
          <w:p>
            <w:pPr>
              <w:spacing w:after="30"/>
            </w:pPr>
            <w:r>
              <w:rPr>
                <w:rFonts w:ascii="Arial" w:cs="Arial" w:eastAsia="Arial" w:hAnsi="Arial"/>
                <w:b/>
                <w:bCs/>
                <w:color w:val="2E75B6"/>
                <w:sz w:val="22"/>
                <w:szCs w:val="22"/>
              </w:rPr>
              <w:t xml:space="preserve">P.4  ·  </w:t>
            </w:r>
            <w:r>
              <w:rPr>
                <w:rFonts w:ascii="Arial" w:cs="Arial" w:eastAsia="Arial" w:hAnsi="Arial"/>
                <w:b/>
                <w:bCs/>
                <w:i/>
                <w:iCs/>
                <w:color w:val="1F3864"/>
                <w:sz w:val="22"/>
                <w:szCs w:val="22"/>
              </w:rPr>
              <w:t xml:space="preserve">Cultura Chinchorro / Punta de Teatinos</w:t>
            </w:r>
            <w:r>
              <w:rPr>
                <w:rFonts w:ascii="Arial" w:cs="Arial" w:eastAsia="Arial" w:hAnsi="Arial"/>
                <w:color w:val="595959"/>
                <w:sz w:val="18"/>
                <w:szCs w:val="18"/>
              </w:rPr>
              <w:t xml:space="preserve">  (pescadores arcaicos, norte de Chile)</w:t>
            </w:r>
          </w:p>
          <w:p>
            <w:pPr>
              <w:spacing w:after="0"/>
            </w:pPr>
            <w:r>
              <w:rPr>
                <w:rFonts w:ascii="Arial" w:cs="Arial" w:eastAsia="Arial" w:hAnsi="Arial"/>
                <w:color w:val="595959"/>
                <w:sz w:val="18"/>
                <w:szCs w:val="18"/>
              </w:rPr>
              <w:t xml:space="preserve">Régimen [EM-2]: </w:t>
            </w:r>
            <w:r>
              <w:rPr>
                <w:rFonts w:ascii="Arial" w:cs="Arial" w:eastAsia="Arial" w:hAnsi="Arial"/>
                <w:b/>
                <w:bCs/>
                <w:color w:val="2E75B6"/>
                <w:sz w:val="18"/>
                <w:szCs w:val="18"/>
              </w:rPr>
              <w:t xml:space="preserve">No aplica — γ_M poblacional, fase [EF-R6]</w:t>
            </w:r>
            <w:r>
              <w:rPr>
                <w:rFonts w:ascii="Arial" w:cs="Arial" w:eastAsia="Arial" w:hAnsi="Arial"/>
                <w:color w:val="595959"/>
                <w:sz w:val="18"/>
                <w:szCs w:val="18"/>
              </w:rPr>
              <w:t xml:space="preserve">  ·  Estado: </w:t>
            </w:r>
            <w:r>
              <w:rPr>
                <w:rFonts w:ascii="Arial" w:cs="Arial" w:eastAsia="Arial" w:hAnsi="Arial"/>
                <w:b/>
                <w:bCs/>
                <w:color w:val="2E75B6"/>
                <w:sz w:val="18"/>
                <w:szCs w:val="18"/>
              </w:rPr>
              <w:t xml:space="preserve">◐ VALIDACIÓN PARCIAL</w:t>
            </w:r>
            <w:r>
              <w:rPr>
                <w:rFonts w:ascii="Arial" w:cs="Arial" w:eastAsia="Arial" w:hAnsi="Arial"/>
                <w:color w:val="595959"/>
                <w:sz w:val="18"/>
                <w:szCs w:val="18"/>
              </w:rPr>
              <w:t xml:space="preserve">  ·  Error: —  ·  Nivel: 1</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Modo de cese</w:t>
            </w:r>
          </w:p>
          <w:p>
            <w:pPr>
              <w:spacing w:after="0"/>
            </w:pPr>
            <w:r>
              <w:rPr>
                <w:rFonts w:ascii="Arial" w:cs="Arial" w:eastAsia="Arial" w:hAnsi="Arial"/>
                <w:sz w:val="18"/>
                <w:szCs w:val="18"/>
              </w:rPr>
              <w:t xml:space="preserve">No evaluado — mismo componente que P.3  ·  Fuente: Quevedo et al. 2000, Boletín Museo Nacional de Historia Natural, Chile</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Parámetros de R(especie)</w:t>
            </w:r>
          </w:p>
          <w:p>
            <w:pPr>
              <w:spacing w:after="0"/>
            </w:pPr>
            <w:r>
              <w:rPr>
                <w:rFonts w:ascii="Arial" w:cs="Arial" w:eastAsia="Arial" w:hAnsi="Arial"/>
                <w:sz w:val="18"/>
                <w:szCs w:val="18"/>
              </w:rPr>
              <w:t xml:space="preserve">Esperanza de vida al nacer: 33.20 años. Distribución: 34.9% bajo 15 años, 60.0% entre 15-50 años, 1.5% sobre 50 años. Datación: 4905-1920 años AP.</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Target / Script</w:t>
            </w:r>
          </w:p>
          <w:p>
            <w:pPr>
              <w:spacing w:after="0"/>
            </w:pPr>
            <w:r>
              <w:rPr>
                <w:rFonts w:ascii="Arial" w:cs="Arial" w:eastAsia="Arial" w:hAnsi="Arial"/>
                <w:sz w:val="18"/>
                <w:szCs w:val="18"/>
              </w:rPr>
              <w:t xml:space="preserve">t_cese_target = No aplica  ·  Script: chinchorro_distribucion_edad.png</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Pendientes / nota</w:t>
            </w:r>
          </w:p>
          <w:p>
            <w:pPr>
              <w:spacing w:after="0"/>
            </w:pPr>
            <w:r>
              <w:rPr>
                <w:rFonts w:ascii="Arial" w:cs="Arial" w:eastAsia="Arial" w:hAnsi="Arial"/>
                <w:sz w:val="18"/>
                <w:szCs w:val="18"/>
              </w:rPr>
              <w:t xml:space="preserve">Caso geográfica y temporalmente independiente de P.3 que muestra el mismo patrón: mortalidad poblacional dominada por entorno, baja proporción de individuos mayores. El patrón no parece específico de una región o presión ambiental particular.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EEAF1" w:val="clear"/>
            <w:tcMar>
              <w:top w:type="dxa" w:w="70"/>
              <w:left w:type="dxa" w:w="120"/>
              <w:bottom w:type="dxa" w:w="70"/>
              <w:right w:type="dxa" w:w="80"/>
            </w:tcMar>
          </w:tcPr>
          <w:p>
            <w:pPr>
              <w:spacing w:after="30"/>
            </w:pPr>
            <w:r>
              <w:rPr>
                <w:rFonts w:ascii="Arial" w:cs="Arial" w:eastAsia="Arial" w:hAnsi="Arial"/>
                <w:b/>
                <w:bCs/>
                <w:color w:val="2E75B6"/>
                <w:sz w:val="22"/>
                <w:szCs w:val="22"/>
              </w:rPr>
              <w:t xml:space="preserve">P.5 (versión preliminar, ver C.EM1-7 para versión actual)  ·  </w:t>
            </w:r>
            <w:r>
              <w:rPr>
                <w:rFonts w:ascii="Arial" w:cs="Arial" w:eastAsia="Arial" w:hAnsi="Arial"/>
                <w:b/>
                <w:bCs/>
                <w:i/>
                <w:iCs/>
                <w:color w:val="1F3864"/>
                <w:sz w:val="22"/>
                <w:szCs w:val="22"/>
              </w:rPr>
              <w:t xml:space="preserve">Drimys winteri</w:t>
            </w:r>
            <w:r>
              <w:rPr>
                <w:rFonts w:ascii="Arial" w:cs="Arial" w:eastAsia="Arial" w:hAnsi="Arial"/>
                <w:color w:val="595959"/>
                <w:sz w:val="18"/>
                <w:szCs w:val="18"/>
              </w:rPr>
              <w:t xml:space="preserve">  (canelo — evidencia contextual previa)</w:t>
            </w:r>
          </w:p>
          <w:p>
            <w:pPr>
              <w:spacing w:after="0"/>
            </w:pPr>
            <w:r>
              <w:rPr>
                <w:rFonts w:ascii="Arial" w:cs="Arial" w:eastAsia="Arial" w:hAnsi="Arial"/>
                <w:color w:val="595959"/>
                <w:sz w:val="18"/>
                <w:szCs w:val="18"/>
              </w:rPr>
              <w:t xml:space="preserve">Régimen [EM-2]: </w:t>
            </w:r>
            <w:r>
              <w:rPr>
                <w:rFonts w:ascii="Arial" w:cs="Arial" w:eastAsia="Arial" w:hAnsi="Arial"/>
                <w:b/>
                <w:bCs/>
                <w:color w:val="2E75B6"/>
                <w:sz w:val="18"/>
                <w:szCs w:val="18"/>
              </w:rPr>
              <w:t xml:space="preserve">No aplica en esta versión</w:t>
            </w:r>
            <w:r>
              <w:rPr>
                <w:rFonts w:ascii="Arial" w:cs="Arial" w:eastAsia="Arial" w:hAnsi="Arial"/>
                <w:color w:val="595959"/>
                <w:sz w:val="18"/>
                <w:szCs w:val="18"/>
              </w:rPr>
              <w:t xml:space="preserve">  ·  Estado: </w:t>
            </w:r>
            <w:r>
              <w:rPr>
                <w:rFonts w:ascii="Arial" w:cs="Arial" w:eastAsia="Arial" w:hAnsi="Arial"/>
                <w:b/>
                <w:bCs/>
                <w:color w:val="2E75B6"/>
                <w:sz w:val="18"/>
                <w:szCs w:val="18"/>
              </w:rPr>
              <w:t xml:space="preserve">◐ SUPERADO POR C.EM1-7</w:t>
            </w:r>
            <w:r>
              <w:rPr>
                <w:rFonts w:ascii="Arial" w:cs="Arial" w:eastAsia="Arial" w:hAnsi="Arial"/>
                <w:color w:val="595959"/>
                <w:sz w:val="18"/>
                <w:szCs w:val="18"/>
              </w:rPr>
              <w:t xml:space="preserve">  ·  Error: —  ·  Nivel: 2-3</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Modo de cese</w:t>
            </w:r>
          </w:p>
          <w:p>
            <w:pPr>
              <w:spacing w:after="0"/>
            </w:pPr>
            <w:r>
              <w:rPr>
                <w:rFonts w:ascii="Arial" w:cs="Arial" w:eastAsia="Arial" w:hAnsi="Arial"/>
                <w:sz w:val="18"/>
                <w:szCs w:val="18"/>
              </w:rPr>
              <w:t xml:space="preserve">No evaluado en esta versión  ·  Fuente: Navarro 1993; Corvalán 1977/1987b; Tapia 1982</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Parámetros de R(especie)</w:t>
            </w:r>
          </w:p>
          <w:p>
            <w:pPr>
              <w:spacing w:after="0"/>
            </w:pPr>
            <w:r>
              <w:rPr>
                <w:rFonts w:ascii="Arial" w:cs="Arial" w:eastAsia="Arial" w:hAnsi="Arial"/>
                <w:sz w:val="18"/>
                <w:szCs w:val="18"/>
              </w:rPr>
              <w:t xml:space="preserve">Datos de crecimiento (CAM altura/diámetro), productividad por sitio, mortalidad anual 0.8%. Esta ficha es anterior al script TMCSA_EM2_Drimys_canonico_v2.R que sí ejecuta R(especie) completo — ver ficha actualizada en §4 (C.EM1-7).</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Target / Script</w:t>
            </w:r>
          </w:p>
          <w:p>
            <w:pPr>
              <w:spacing w:after="0"/>
            </w:pPr>
            <w:r>
              <w:rPr>
                <w:rFonts w:ascii="Arial" w:cs="Arial" w:eastAsia="Arial" w:hAnsi="Arial"/>
                <w:sz w:val="18"/>
                <w:szCs w:val="18"/>
              </w:rPr>
              <w:t xml:space="preserve">t_cese_target = Altura máxima 29.2m a 120a (Corvalán 1977)  ·  Script: canelo_establecimiento.png + 2 más</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Pendientes / nota</w:t>
            </w:r>
          </w:p>
          <w:p>
            <w:pPr>
              <w:spacing w:after="0"/>
            </w:pPr>
            <w:r>
              <w:rPr>
                <w:rFonts w:ascii="Arial" w:cs="Arial" w:eastAsia="Arial" w:hAnsi="Arial"/>
                <w:sz w:val="18"/>
                <w:szCs w:val="18"/>
              </w:rPr>
              <w:t xml:space="preserve">Caso de progreso documentado: esta ficha de validación parcial fue superada por la calibración completa posterior (régimen A, error 3.6%, ver C.EM1-7). Se conserva como registro del proceso — el canelo pasó de evidencia contextual a especie verificada.</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EEAF1" w:val="clear"/>
            <w:tcMar>
              <w:top w:type="dxa" w:w="70"/>
              <w:left w:type="dxa" w:w="120"/>
              <w:bottom w:type="dxa" w:w="70"/>
              <w:right w:type="dxa" w:w="80"/>
            </w:tcMar>
          </w:tcPr>
          <w:p>
            <w:pPr>
              <w:spacing w:after="30"/>
            </w:pPr>
            <w:r>
              <w:rPr>
                <w:rFonts w:ascii="Arial" w:cs="Arial" w:eastAsia="Arial" w:hAnsi="Arial"/>
                <w:b/>
                <w:bCs/>
                <w:color w:val="2E75B6"/>
                <w:sz w:val="22"/>
                <w:szCs w:val="22"/>
              </w:rPr>
              <w:t xml:space="preserve">P.6  ·  </w:t>
            </w:r>
            <w:r>
              <w:rPr>
                <w:rFonts w:ascii="Arial" w:cs="Arial" w:eastAsia="Arial" w:hAnsi="Arial"/>
                <w:b/>
                <w:bCs/>
                <w:i/>
                <w:iCs/>
                <w:color w:val="1F3864"/>
                <w:sz w:val="22"/>
                <w:szCs w:val="22"/>
              </w:rPr>
              <w:t xml:space="preserve">Lapageria rosea</w:t>
            </w:r>
            <w:r>
              <w:rPr>
                <w:rFonts w:ascii="Arial" w:cs="Arial" w:eastAsia="Arial" w:hAnsi="Arial"/>
                <w:color w:val="595959"/>
                <w:sz w:val="18"/>
                <w:szCs w:val="18"/>
              </w:rPr>
              <w:t xml:space="preserve">  (copihue)</w:t>
            </w:r>
          </w:p>
          <w:p>
            <w:pPr>
              <w:spacing w:after="0"/>
            </w:pPr>
            <w:r>
              <w:rPr>
                <w:rFonts w:ascii="Arial" w:cs="Arial" w:eastAsia="Arial" w:hAnsi="Arial"/>
                <w:color w:val="595959"/>
                <w:sz w:val="18"/>
                <w:szCs w:val="18"/>
              </w:rPr>
              <w:t xml:space="preserve">Régimen [EM-2]: </w:t>
            </w:r>
            <w:r>
              <w:rPr>
                <w:rFonts w:ascii="Arial" w:cs="Arial" w:eastAsia="Arial" w:hAnsi="Arial"/>
                <w:b/>
                <w:bCs/>
                <w:color w:val="2E75B6"/>
                <w:sz w:val="18"/>
                <w:szCs w:val="18"/>
              </w:rPr>
              <w:t xml:space="preserve">No aplica — componente aislado</w:t>
            </w:r>
            <w:r>
              <w:rPr>
                <w:rFonts w:ascii="Arial" w:cs="Arial" w:eastAsia="Arial" w:hAnsi="Arial"/>
                <w:color w:val="595959"/>
                <w:sz w:val="18"/>
                <w:szCs w:val="18"/>
              </w:rPr>
              <w:t xml:space="preserve">  ·  Estado: </w:t>
            </w:r>
            <w:r>
              <w:rPr>
                <w:rFonts w:ascii="Arial" w:cs="Arial" w:eastAsia="Arial" w:hAnsi="Arial"/>
                <w:b/>
                <w:bCs/>
                <w:color w:val="2E75B6"/>
                <w:sz w:val="18"/>
                <w:szCs w:val="18"/>
              </w:rPr>
              <w:t xml:space="preserve">⚠ DATO INSUFICIENTE</w:t>
            </w:r>
            <w:r>
              <w:rPr>
                <w:rFonts w:ascii="Arial" w:cs="Arial" w:eastAsia="Arial" w:hAnsi="Arial"/>
                <w:color w:val="595959"/>
                <w:sz w:val="18"/>
                <w:szCs w:val="18"/>
              </w:rPr>
              <w:t xml:space="preserve">  ·  Error: —  ·  Nivel: 3</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Modo de cese</w:t>
            </w:r>
          </w:p>
          <w:p>
            <w:pPr>
              <w:spacing w:after="0"/>
            </w:pPr>
            <w:r>
              <w:rPr>
                <w:rFonts w:ascii="Arial" w:cs="Arial" w:eastAsia="Arial" w:hAnsi="Arial"/>
                <w:sz w:val="18"/>
                <w:szCs w:val="18"/>
              </w:rPr>
              <w:t xml:space="preserve">No evaluado  ·  Fuente: Seguel, Chahín &amp; Chait 2016, Boletín INIA N°341</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Parámetros de R(especie)</w:t>
            </w:r>
          </w:p>
          <w:p>
            <w:pPr>
              <w:spacing w:after="0"/>
            </w:pPr>
            <w:r>
              <w:rPr>
                <w:rFonts w:ascii="Arial" w:cs="Arial" w:eastAsia="Arial" w:hAnsi="Arial"/>
                <w:sz w:val="18"/>
                <w:szCs w:val="18"/>
              </w:rPr>
              <w:t xml:space="preserve">t_lat aproximado hasta primera floración: ~10 años (múltiples fuentes de divulgación, sin paper académico directo verificado). Solo 3 de 24 genotipos caracterizados pudieron confirmarse.</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Target / Script</w:t>
            </w:r>
          </w:p>
          <w:p>
            <w:pPr>
              <w:spacing w:after="0"/>
            </w:pPr>
            <w:r>
              <w:rPr>
                <w:rFonts w:ascii="Arial" w:cs="Arial" w:eastAsia="Arial" w:hAnsi="Arial"/>
                <w:sz w:val="18"/>
                <w:szCs w:val="18"/>
              </w:rPr>
              <w:t xml:space="preserve">t_cese_target = No aplica  ·  Script: copihue_genotipos.png</w:t>
            </w:r>
          </w:p>
        </w:tc>
      </w:tr>
      <w:tr>
        <w:tc>
          <w:tcPr>
            <w:tcW w:type="dxa" w:w="9360"/>
            <w:tcBorders>
              <w:top w:val="single" w:color="2E75B6" w:sz="4"/>
              <w:left w:val="single" w:color="2E75B6" w:sz="16"/>
              <w:bottom w:val="single" w:color="2E75B6" w:sz="4"/>
              <w:right w:val="single" w:color="2E75B6" w:sz="4"/>
            </w:tcBorders>
            <w:shd w:fill="FFFFFF" w:val="clear"/>
            <w:tcMar>
              <w:top w:type="dxa" w:w="50"/>
              <w:left w:type="dxa" w:w="120"/>
              <w:bottom w:type="dxa" w:w="50"/>
              <w:right w:type="dxa" w:w="80"/>
            </w:tcMar>
          </w:tcPr>
          <w:p>
            <w:pPr>
              <w:spacing w:after="20"/>
            </w:pPr>
            <w:r>
              <w:rPr>
                <w:rFonts w:ascii="Arial" w:cs="Arial" w:eastAsia="Arial" w:hAnsi="Arial"/>
                <w:b/>
                <w:bCs/>
                <w:color w:val="2E75B6"/>
                <w:sz w:val="18"/>
                <w:szCs w:val="18"/>
              </w:rPr>
              <w:t xml:space="preserve">Pendientes / nota</w:t>
            </w:r>
          </w:p>
          <w:p>
            <w:pPr>
              <w:spacing w:after="0"/>
            </w:pPr>
            <w:r>
              <w:rPr>
                <w:rFonts w:ascii="Arial" w:cs="Arial" w:eastAsia="Arial" w:hAnsi="Arial"/>
                <w:sz w:val="18"/>
                <w:szCs w:val="18"/>
              </w:rPr>
              <w:t xml:space="preserve">Dato insuficiente para más que mención contextual. Tesis con datos de crecimiento más directos (Toledo 1984) identificada pero no accesible — pendiente para sesión futura.</w:t>
            </w:r>
          </w:p>
        </w:tc>
      </w:tr>
    </w:tbl>
    <w:p>
      <w:pPr>
        <w:spacing w:after="160" w:before="0"/>
      </w:pPr>
    </w:p>
    <w:p>
      <w:pPr>
        <w:pStyle w:val="Heading1"/>
        <w:pageBreakBefore/>
        <w:spacing w:after="120" w:before="320"/>
      </w:pPr>
      <w:r>
        <w:rPr>
          <w:rFonts w:ascii="Arial" w:cs="Arial" w:eastAsia="Arial" w:hAnsi="Arial"/>
          <w:b/>
          <w:bCs/>
          <w:color w:val="1F4E79"/>
          <w:sz w:val="40"/>
          <w:szCs w:val="40"/>
        </w:rPr>
        <w:t xml:space="preserve">9 — Casos prehistóricos descartados (sin dato suficiente)</w:t>
      </w:r>
    </w:p>
    <w:p>
      <w:pPr>
        <w:spacing w:after="120" w:before="0" w:line="360" w:lineRule="auto"/>
        <w:jc w:val="both"/>
      </w:pPr>
      <w:r>
        <w:rPr>
          <w:rFonts w:ascii="Arial" w:cs="Arial" w:eastAsia="Arial" w:hAnsi="Arial"/>
          <w:b w:val="false"/>
          <w:bCs w:val="false"/>
          <w:i w:val="false"/>
          <w:iCs w:val="false"/>
          <w:color w:val="000000"/>
          <w:sz w:val="22"/>
          <w:szCs w:val="22"/>
        </w:rPr>
        <w:t xml:space="preserve">Por transparencia metodológica: estos ocho casos fueron revisados contra fuente primaria y descartados explícitamente por falta de dato cuantitativo suficiente para calibrar sin aproximar. Se registran para que no se reintenten sin nueva evidencia.</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Caso</w:t>
            </w:r>
          </w:p>
        </w:tc>
        <w:tc>
          <w:tcPr>
            <w:tcW w:type="dxa" w:w="376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Qué existe</w:t>
            </w:r>
          </w:p>
        </w:tc>
        <w:tc>
          <w:tcPr>
            <w:tcW w:type="dxa" w:w="32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Por qué se descartó</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Milodón (Mylodon darwinii)</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Fechas de radiocarbono poblacionales (13.560-10.200 AP). Hipótesis no cuantificada de hibernación.</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Ningún dato de longevidad individual.</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Mamut lanudo (Mammuthus primigenius)</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Wooller et al. 2021, Science: 70.000 km de movilidad en 28 años.</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Ningún desglose numérico por fase de vida.</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Ötzi (momia del hielo)</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Salud y patologías extensamente documentadas (arteriosclerosis, artritis, Lyme).</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Ningún valor cuantitativo de V(t) o D(t) publicado.</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Lucy (Australopithecus afarensis)</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Individuo único con edad de muerte conocida cualitativamente.</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Solo "adulta joven" — no es serie de crecimiento ni distribución poblacional.</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Coprolitos, Cueva de Paisley</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Evidencia de presencia humana temprana en América.</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No informa sobre longevidad ni mortalidad.</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Archaeopteryx lithographica (segundo caso μ arcosaurios, candidato)</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Erickson et al. 2009, PLoS ONE: histología ósea de 8 especímenes. Tejido paralelo-fibrilar avascular tipo reptil, confirmado. Estimación de edad/masa por tasa de depósito óseo análoga a aves vivas (2.5 μm/día, pato), no por conteo de anillos.</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Sin LAGs — cita textual del propio Erickson et al. 2009: "líneas de crecimiento intracorticales profundas... están ausentes en este espécimen joven". La curva edad-masa (970+ días a talla adulta) se construye por analogía de tasa de depósito, no por cronología de anillos — no cumple el criterio de dato aplicado a T. rex (Woodward et al. 2026: 17 individuos, marcas de crecimiento cíclico contables).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Mahakala omnogovae (segundo caso μ arcosaurios, candidato)</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Turner et al. 2007; histologizado en Erickson et al. 2009 (76 mm fémur, el deinonicosaurio más pequeño muestreado): hueso paralelo-fibrilar tipo reptil, sin tejido fibro-lamelar.</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Conocido por un ÚNICO espécimen holotipo (Turner et al. 2007). Sin importar si ese individuo tiene o no LAGs, un solo espécimen no permite construir una serie ontogenética ni ajustar una curva de crecimiento — falla el criterio en la raíz, más allá de la presencia/ausencia de anillos.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Deinonychus antirrhopus (tercer caso μ arcosaurios, candidato)</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Parsons &amp; Parsons 2015, PLoS ONE (sobre histología de Ostrom 1969 y posteriores): LAGs contados reales, con retrocálculo. Juvenil MCZ 8791 (1 LAG, 1-2a, 6.95-8.70 kg). Adulto MOR 1178 (14 LAGs vía retrocálculo, crecimiento terminado a los 14a, EFS confirmado en AMNH 3015). Único candidato de los tres evaluados que SÍ cumple el criterio de LAGs contables + cronología directa (a diferencia de Archaeopteryx y Mahakala).</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No descartado por tipo de dato, sino por NO-IDENTIFICABILIDAD MATEMÁTICA demostrada: barrido de μ (1.0-2.5) con optimización global (differential evolution) contra 3 restricciones reales (masa juvenil, masa adulta/asintótica, edad de inflexión ~11a) — RMSE queda prácticamente plano (0.0065-0.012) entre μ=1.1 y μ=2.5, sin mínimo distinguible. Con solo 2 anclas cuantitativas + 3 parámetros libres (a, b, M0), casi cualquier μ ajusta los datos casi perfectamente. El barrido no converge en ningún valor — no es un resultado débil, es indeterminado por diseño del dato disponible. Ver detalle metodológico completo en la nota de julio 2026.</w:t>
            </w:r>
          </w:p>
        </w:tc>
      </w:tr>
    </w:tbl>
    <w:p>
      <w:pPr>
        <w:spacing w:after="160" w:before="0"/>
      </w:pP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Registro de Especies v12 — Teoría de la Membrana Constitutiva en Sistemas Abiertos · Isrrael Villablanca Fuentes</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2026-06-30T15:17:45.808Z</dcterms:created>
  <dcterms:modified xsi:type="dcterms:W3CDTF">2026-06-30T15:17:45.823Z</dcterms:modified>
</cp:coreProperties>
</file>

<file path=docProps/custom.xml><?xml version="1.0" encoding="utf-8"?>
<Properties xmlns="http://schemas.openxmlformats.org/officeDocument/2006/custom-properties" xmlns:vt="http://schemas.openxmlformats.org/officeDocument/2006/docPropsVTypes"/>
</file>