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TMCSA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Teoría de la Membrana Constitutiva en Sistemas Abiertos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Identificabilidad y Sensibilidad de [EM-2]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4"/>
          <w:szCs w:val="24"/>
        </w:rPr>
        <w:t xml:space="preserve">Paso 1 a 4 completos — estructural, práctica, subconjuntos, sensibilidad local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v4 — julio 2026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Isrrael Villablanca Fuentes — colaboración técnica de Claude (Anthropic)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Flujo completo recomendado por Consensus, cerrado para las familias 1-3 (~54 de 60 especies). Documento individual, pendiente de incorporación al cuerpo vigente.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1 — Propósito y método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Responde la pregunta hecha a Consensus el 1 de julio de 2026 sobre si [EM-2] tiene suficientes grados de libertad como para que un análisis de sensibilidad local no sea informativo por sí solo. Se siguió el flujo completo recomendado: identificabilidad estructural → práctica → selección de subconjuntos → sensibilidad local.</w:t>
      </w:r>
    </w:p>
    <w:p>
      <w:pPr>
        <w:pBdr>
          <w:left w:val="single" w:color="2E75B6" w:sz="18" w:space="8"/>
        </w:pBdr>
        <w:shd w:fill="DEEAF1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2E75B6"/>
          <w:sz w:val="18"/>
          <w:szCs w:val="18"/>
        </w:rPr>
        <w:t xml:space="preserve">Método: no-dimensionalización simbólica (sympy) y verificación numérica (Python, réplica exacta de los motores R reales) con parámetros de especies ya calibradas. Todo hallazgo cuantitativo fue verificado corriendo código con parámetros reales, tomados de los scripts canónicos y sus versiones individuales más recientes.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2 — Corrección previa: motor canónico 10A, v5 → v7</w:t>
      </w:r>
    </w:p>
    <w:p>
      <w:pPr>
        <w:pBdr>
          <w:left w:val="single" w:color="C00000" w:sz="18" w:space="8"/>
        </w:pBdr>
        <w:shd w:fill="FFE0E0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C00000"/>
          <w:sz w:val="18"/>
          <w:szCs w:val="18"/>
        </w:rPr>
        <w:t xml:space="preserve">CORREGIDO — la rama determinista de TMCSA_canonico_10A_EM2_v5.R (solo graficado y D_max_interno) usaba R$beta sin dividir por Xc. La rama estocástica (la que decide t_cese) siempre estuvo correcta. Corregido en v7 — sin cambios a ningún resultado ya verificado.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3 — Resumen Pasos 1-3 (identificabilidad estructural, práctica, subconjuntos)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 documento TMCSA_Identificabilidad_Paso1a3_v3.docx para el desarrollo completo. Síntesis: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2600"/>
        <w:gridCol w:w="2426"/>
      </w:tblGrid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Familia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 especies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 confundido (Pasos 1-2)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Reducción propuesta (Paso 3)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Continua, interna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~29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η–β se compensan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(η,β) como bloque; t_lat, a/b/μ/n libres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— Γ_ext dominante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Casi todo salvo Γ_ext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Solo Γ_ext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— Régimen B propio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η_basal/Xc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η_basal/Xc; ρ_rep, Γ_ext libres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División discreta (E. coli)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β casi irrelevante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Caso único, pendiente propio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 — Reinicio (Turritopsis)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p_stress, umbral_stress — SÍ identificables</w:t>
            </w:r>
          </w:p>
        </w:tc>
        <w:tc>
          <w:tcPr>
            <w:tcW w:type="dxa" w:w="2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Ambos libres</w:t>
            </w:r>
          </w:p>
        </w:tc>
      </w:tr>
    </w:tbl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4 — Paso 4: sensibilidad local sobre el conjunto reducido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Hallazgo central: a, b, μ, n resultan invisibles para t_cese en las tres familias principales — pero NO son irrelevantes al modelo. Son sistemáticamente visibles para T_activo (la integral de V(t), ya definida en los scripts canónicos como P10a), con efectos de 5% a 24% frente al ~0% en t_cese.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4.1 — Verificación algebraica: punto fijo estable de V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Cuando la fricción (1−D/Dc)^n ≈ 1 (D lejos de Dc — el caso típico salvo cerca del propio cese), la ecuación de V se reduce a dV/dt ≈ a·V − b·V^μ, con un punto fijo:</w:t>
      </w:r>
    </w:p>
    <w:p>
      <w:pPr>
        <w:pBdr>
          <w:left w:val="single" w:color="2E75B6" w:sz="12" w:space="6"/>
          <w:right w:val="single" w:color="2E75B6" w:sz="12" w:space="6"/>
        </w:pBdr>
        <w:shd w:fill="EEF3FA" w:val="clear"/>
        <w:spacing w:after="80" w:before="80"/>
        <w:ind w:left="720" w:right="7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0"/>
          <w:szCs w:val="20"/>
        </w:rPr>
        <w:t xml:space="preserve">V* = (a/b)^(1/(μ−1))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Confirmado simbólicamente como único y estable (derivada negativa en V*) para H. sapiens (V*=1.0145, derivada=−0.198) y Chelonoidis (V*=1.0292, derivada=−0.099). Esto es la manifestación numérica de la propiedad P2 (punto fijo estable) ya formalizada en el Cap. 6.8.1 del cuerpo vigente — no es un hallazgo aislado, es coherente con el álgebra ya establecida.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4.2 — Verificación numérica en las tres familias principales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Familia (especie)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máximo en T_activo (±20%)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Efecto en t_cese (±20%)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(H. sapiens)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b: +15.1% / −5.0%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~2.0% – 4.6%, idéntico entre a,b,μ,n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(Chelonoidis)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a: −24.1% / −4.3%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~−12.1% / −12.4%, idéntico entre a,b,μ,n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(S. purpuratus)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a: −17.4% / −1.9%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~−9.2% / −9.0%, idéntico entre a,b,μ,n</w:t>
            </w:r>
          </w:p>
        </w:tc>
      </w:tr>
    </w:tbl>
    <w:p>
      <w:pPr>
        <w:spacing w:after="160" w:before="0"/>
      </w:pPr>
    </w:p>
    <w:p>
      <w:pPr>
        <w:pBdr>
          <w:left w:val="single" w:color="1A7C4F" w:sz="18" w:space="8"/>
        </w:pBdr>
        <w:shd w:fill="E2EFDA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1A7C4F"/>
          <w:sz w:val="18"/>
          <w:szCs w:val="18"/>
        </w:rPr>
        <w:t xml:space="preserve">El patrón "t_cese idéntico entre a,b,μ,n" no es artefacto — confirma que en Familia 2 y 3 el cese lo decide Γ_ext (sorteado antes que cualquier término dependiente de a,b,μ,n en el bucle), y en Familia 1 la ventana [t_Dc,t_D1] es demasiado angosta para que a,b,μ,n dejen huella en el momento del cruce. En los tres casos, a,b,μ,n SÍ gobiernan la fase de construcción de V hacia V* — visible en T_activo incluso cuando el cese en sí no depende de V (Familia 2 y 3).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5 — Conclusión y recomendación para el primer artículo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t_cese solo NO es un observable suficiente para ningún régimen de [EM-2] — es ciego a a, b, μ, n de forma sistemática y explicable algebraicamente (P2). T_activo debe incluirse como observable estándar en cualquier análisis de sensibilidad o calibración que involucre estos cuatro parámetros. Esta es una conclusión publicable en sí misma: no es una limitación oculta del modelo, es una propiedad estructural verificable con el álgebra ya existente en el cuerpo vigente.</w:t>
      </w:r>
    </w:p>
    <w:p>
      <w:pPr>
        <w:pBdr>
          <w:left w:val="single" w:color="7A6000" w:sz="18" w:space="8"/>
        </w:pBdr>
        <w:shd w:fill="FFF3CD" w:val="clear"/>
        <w:spacing w:after="120" w:before="80"/>
        <w:ind w:left="480" w:right="480"/>
      </w:pPr>
      <w:r>
        <w:rPr>
          <w:rFonts w:ascii="Arial" w:cs="Arial" w:eastAsia="Arial" w:hAnsi="Arial"/>
          <w:i/>
          <w:iCs/>
          <w:color w:val="7A6000"/>
          <w:sz w:val="18"/>
          <w:szCs w:val="18"/>
        </w:rPr>
        <w:t xml:space="preserve">PENDIENTE — Familia 4 (E. coli, división discreta) y Familia 5 (Turritopsis, reinicio) quedan fuera de esta síntesis por tener mecanismos genuinamente distintos, ya documentados por separado en el Paso 3. Salmón (Oncorhynchus) sigue pendiente de revisión individual (términos Γ₀, λc).</w:t>
      </w:r>
    </w:p>
    <w:p>
      <w:pPr>
        <w:pStyle w:val="Heading1"/>
        <w:pageBreakBefore/>
        <w:spacing w:after="120" w:before="32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6 — Siguiente paso</w:t>
      </w:r>
    </w:p>
    <w:p>
      <w:pPr>
        <w:spacing w:after="120" w:before="0" w:line="360" w:lineRule="auto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 identificabilidad estructural, práctica, selección de subconjuntos y sensibilidad local cerradas para las familias principales, el trabajo queda alineado con el trazado de Consensus. Quedan pendientes de la hoja de ruta original: (1) preparar el repositorio con estándares FAIR/código abierto para los scripts, (2) decidir el alcance final del primer artículo (arquitectura de [EM-2] para Theory in Biosciences) incorporando estos resultados de identificabilidad y sensibilidad, y (3) los observables adicionales (V(t), T_activo) para reforzar la calibración de a,b,μ,n donde sea posible con datos reales.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2026-07-02T02:59:39.957Z</dcterms:created>
  <dcterms:modified xsi:type="dcterms:W3CDTF">2026-07-02T02:59:39.971Z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