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6AF7BC78">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" stroked="f">
                    <v:textbox style="mso-fit-shape-to-text:t">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B9FB01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77777777" w:rsidR="00B62F73" w:rsidRPr="007221E2" w:rsidRDefault="00B62F73" w:rsidP="00B62F73">
          <w:pPr>
            <w:pStyle w:val="HojadeControl"/>
            <w:jc w:val="center"/>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14FD317B" w14:textId="77777777" w:rsidR="00B62F73" w:rsidRPr="007221E2" w:rsidRDefault="00B62F73" w:rsidP="00B62F73">
          <w:pPr>
            <w:pStyle w:val="Textbody"/>
            <w:rPr>
              <w:rFonts w:hint="eastAsia"/>
            </w:rPr>
          </w:pPr>
        </w:p>
        <w:p w14:paraId="505FECE9" w14:textId="77777777"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28F83F6" w14:textId="559EE875" w:rsidR="00B62F73" w:rsidRPr="00826F39" w:rsidRDefault="00D75F09" w:rsidP="00CC5323">
                <w:pPr>
                  <w:pStyle w:val="TableContents"/>
                  <w:rPr>
                    <w:rFonts w:hint="eastAsia"/>
                    <w:sz w:val="22"/>
                    <w:szCs w:val="22"/>
                  </w:rPr>
                </w:pPr>
                <w:r>
                  <w:rPr>
                    <w:sz w:val="22"/>
                    <w:szCs w:val="22"/>
                  </w:rPr>
                  <w:t>2</w:t>
                </w:r>
                <w:r w:rsidR="006122D5">
                  <w:rPr>
                    <w:sz w:val="22"/>
                    <w:szCs w:val="22"/>
                  </w:rPr>
                  <w:t>.</w:t>
                </w:r>
                <w:r w:rsidR="00AE1824">
                  <w:rPr>
                    <w:sz w:val="22"/>
                    <w:szCs w:val="22"/>
                  </w:rPr>
                  <w:t>2</w:t>
                </w:r>
                <w:bookmarkStart w:id="4" w:name="_GoBack"/>
                <w:bookmarkEnd w:id="4"/>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9EA2F7" w14:textId="77777777" w:rsidR="00B62F73" w:rsidRPr="00826F39" w:rsidRDefault="009A02B6" w:rsidP="00CC5323">
                <w:pPr>
                  <w:pStyle w:val="TableContents"/>
                  <w:jc w:val="center"/>
                  <w:rPr>
                    <w:rFonts w:hint="eastAsia"/>
                    <w:sz w:val="22"/>
                    <w:szCs w:val="22"/>
                  </w:rPr>
                </w:pPr>
                <w:r>
                  <w:rPr>
                    <w:sz w:val="22"/>
                    <w:szCs w:val="22"/>
                  </w:rPr>
                  <w:t>13</w:t>
                </w:r>
                <w:r w:rsidR="00B62F73" w:rsidRPr="00826F39">
                  <w:rPr>
                    <w:sz w:val="22"/>
                    <w:szCs w:val="22"/>
                  </w:rPr>
                  <w:t>/</w:t>
                </w:r>
                <w:r w:rsidR="00EB2454" w:rsidRPr="00826F39">
                  <w:rPr>
                    <w:sz w:val="22"/>
                    <w:szCs w:val="22"/>
                  </w:rPr>
                  <w:t>0</w:t>
                </w:r>
                <w:r>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621A269" w14:textId="77777777" w:rsidR="00B62F73" w:rsidRPr="00826F39" w:rsidRDefault="00B62F73" w:rsidP="00CC5323">
                <w:pPr>
                  <w:pStyle w:val="TableContents"/>
                  <w:jc w:val="center"/>
                  <w:rPr>
                    <w:rFonts w:hint="eastAsia"/>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14:paraId="48F665C9" w14:textId="77777777"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2712E5">
            <w:tc>
              <w:tcPr>
                <w:tcW w:w="894" w:type="dxa"/>
                <w:tcBorders>
                  <w:left w:val="single" w:sz="4" w:space="0" w:color="808080"/>
                  <w:bottom w:val="single" w:sz="4" w:space="0" w:color="auto"/>
                </w:tcBorders>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auto"/>
                </w:tcBorders>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Borders>
                  <w:left w:val="single" w:sz="4" w:space="0" w:color="808080"/>
                  <w:bottom w:val="single" w:sz="4" w:space="0" w:color="auto"/>
                </w:tcBorders>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2712E5" w:rsidRPr="00826F39" w14:paraId="3A040E40" w14:textId="77777777" w:rsidTr="002712E5">
            <w:tc>
              <w:tcPr>
                <w:tcW w:w="89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11ECF78" w14:textId="77777777" w:rsidR="002712E5" w:rsidRDefault="002712E5" w:rsidP="002712E5">
                <w:pPr>
                  <w:pStyle w:val="TableContents"/>
                  <w:jc w:val="center"/>
                  <w:rPr>
                    <w:rFonts w:hint="eastAsia"/>
                    <w:sz w:val="22"/>
                    <w:szCs w:val="22"/>
                  </w:rPr>
                </w:pPr>
                <w:r>
                  <w:rPr>
                    <w:sz w:val="22"/>
                    <w:szCs w:val="22"/>
                  </w:rPr>
                  <w:t>2.2</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60A1A6A" w14:textId="77777777" w:rsidR="002712E5" w:rsidRDefault="002712E5" w:rsidP="00CC5323">
                <w:pPr>
                  <w:pStyle w:val="TableContents"/>
                  <w:jc w:val="center"/>
                  <w:rPr>
                    <w:rFonts w:hint="eastAsia"/>
                    <w:sz w:val="22"/>
                    <w:szCs w:val="22"/>
                  </w:rPr>
                </w:pPr>
                <w:r>
                  <w:rPr>
                    <w:sz w:val="22"/>
                    <w:szCs w:val="22"/>
                  </w:rPr>
                  <w:t>Agregada terminología</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CA43CF4" w14:textId="77777777" w:rsidR="002712E5" w:rsidRDefault="002712E5" w:rsidP="00CC5323">
                <w:pPr>
                  <w:pStyle w:val="TableContents"/>
                  <w:jc w:val="center"/>
                  <w:rPr>
                    <w:rFonts w:hint="eastAsia"/>
                    <w:sz w:val="22"/>
                    <w:szCs w:val="22"/>
                  </w:rPr>
                </w:pPr>
                <w:r>
                  <w:rPr>
                    <w:sz w:val="22"/>
                    <w:szCs w:val="22"/>
                  </w:rPr>
                  <w:t>Cristina Caballero</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3C364EF" w14:textId="77777777" w:rsidR="002712E5" w:rsidRDefault="002712E5" w:rsidP="00CC5323">
                <w:pPr>
                  <w:pStyle w:val="TableContents"/>
                  <w:jc w:val="center"/>
                  <w:rPr>
                    <w:rFonts w:hint="eastAsia"/>
                    <w:sz w:val="22"/>
                    <w:szCs w:val="22"/>
                  </w:rPr>
                </w:pPr>
                <w:r>
                  <w:rPr>
                    <w:sz w:val="22"/>
                    <w:szCs w:val="22"/>
                  </w:rPr>
                  <w:t>13/04/2018</w:t>
                </w:r>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r w:rsidR="00B62F73" w:rsidRPr="00826F39" w14:paraId="5D40C52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15E6B7" w14:textId="77777777" w:rsidR="00B62F73" w:rsidRPr="00826F39" w:rsidRDefault="00B62F73" w:rsidP="00CC5323">
                <w:pPr>
                  <w:pStyle w:val="TableContents"/>
                  <w:rPr>
                    <w:rFonts w:hint="eastAsia"/>
                    <w:sz w:val="22"/>
                    <w:szCs w:val="22"/>
                  </w:rPr>
                </w:pPr>
              </w:p>
            </w:tc>
          </w:tr>
          <w:tr w:rsidR="00B62F73" w:rsidRPr="00826F39" w14:paraId="6A1A3D57"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8D97996"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0004B31C" w14:textId="77777777"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4F57F1D1"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BE4C50D"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12688188" w14:textId="77777777" w:rsidR="00FD0886" w:rsidRDefault="00FD0886">
          <w:pPr>
            <w:pStyle w:val="TOC3"/>
            <w:ind w:left="446"/>
          </w:pPr>
        </w:p>
        <w:p w14:paraId="4E3DF0FB" w14:textId="77777777" w:rsidR="00FD0886" w:rsidRPr="00FD0886" w:rsidRDefault="00FD0886"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OCHeading"/>
              </w:pPr>
              <w:r w:rsidRPr="00493DBD">
                <w:rPr>
                  <w:lang w:val="es-ES"/>
                </w:rPr>
                <w:t>Tabla de contenido</w:t>
              </w:r>
            </w:p>
            <w:p w14:paraId="365C5AA2" w14:textId="77777777" w:rsidR="00FD0886" w:rsidRDefault="00FD0886">
              <w:pPr>
                <w:pStyle w:val="TO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1388958" w:history="1">
                <w:r w:rsidRPr="00D90A2C">
                  <w:rPr>
                    <w:rStyle w:val="Hyperlink"/>
                    <w:noProof/>
                    <w:lang w:val="es-ES_tradnl"/>
                  </w:rPr>
                  <w:t>1.</w:t>
                </w:r>
                <w:r>
                  <w:rPr>
                    <w:rFonts w:eastAsiaTheme="minorEastAsia"/>
                    <w:b w:val="0"/>
                    <w:bCs w:val="0"/>
                    <w:caps w:val="0"/>
                    <w:noProof/>
                    <w:u w:val="none"/>
                    <w:lang w:eastAsia="es-ES"/>
                  </w:rPr>
                  <w:tab/>
                </w:r>
                <w:r w:rsidRPr="00D90A2C">
                  <w:rPr>
                    <w:rStyle w:val="Hyperlink"/>
                    <w:noProof/>
                  </w:rPr>
                  <w:t>Introducción</w:t>
                </w:r>
                <w:r>
                  <w:rPr>
                    <w:noProof/>
                    <w:webHidden/>
                  </w:rPr>
                  <w:tab/>
                </w:r>
                <w:r>
                  <w:rPr>
                    <w:noProof/>
                    <w:webHidden/>
                  </w:rPr>
                  <w:fldChar w:fldCharType="begin"/>
                </w:r>
                <w:r>
                  <w:rPr>
                    <w:noProof/>
                    <w:webHidden/>
                  </w:rPr>
                  <w:instrText xml:space="preserve"> PAGEREF _Toc511388958 \h </w:instrText>
                </w:r>
                <w:r>
                  <w:rPr>
                    <w:noProof/>
                    <w:webHidden/>
                  </w:rPr>
                </w:r>
                <w:r>
                  <w:rPr>
                    <w:noProof/>
                    <w:webHidden/>
                  </w:rPr>
                  <w:fldChar w:fldCharType="separate"/>
                </w:r>
                <w:r>
                  <w:rPr>
                    <w:noProof/>
                    <w:webHidden/>
                  </w:rPr>
                  <w:t>2</w:t>
                </w:r>
                <w:r>
                  <w:rPr>
                    <w:noProof/>
                    <w:webHidden/>
                  </w:rPr>
                  <w:fldChar w:fldCharType="end"/>
                </w:r>
              </w:hyperlink>
            </w:p>
            <w:p w14:paraId="100DC296" w14:textId="77777777" w:rsidR="00FD0886" w:rsidRDefault="00EB4391">
              <w:pPr>
                <w:pStyle w:val="TOC2"/>
                <w:tabs>
                  <w:tab w:val="left" w:pos="561"/>
                  <w:tab w:val="right" w:leader="dot" w:pos="8828"/>
                </w:tabs>
                <w:rPr>
                  <w:rFonts w:eastAsiaTheme="minorEastAsia"/>
                  <w:b w:val="0"/>
                  <w:bCs w:val="0"/>
                  <w:smallCaps w:val="0"/>
                  <w:noProof/>
                  <w:lang w:eastAsia="es-ES"/>
                </w:rPr>
              </w:pPr>
              <w:hyperlink w:anchor="_Toc511388959" w:history="1">
                <w:r w:rsidR="00FD0886" w:rsidRPr="00D90A2C">
                  <w:rPr>
                    <w:rStyle w:val="Hyperlink"/>
                    <w:noProof/>
                    <w:lang w:val="es-ES_tradnl"/>
                  </w:rPr>
                  <w:t>1.1.</w:t>
                </w:r>
                <w:r w:rsidR="00FD0886">
                  <w:rPr>
                    <w:rFonts w:eastAsiaTheme="minorEastAsia"/>
                    <w:b w:val="0"/>
                    <w:bCs w:val="0"/>
                    <w:smallCaps w:val="0"/>
                    <w:noProof/>
                    <w:lang w:eastAsia="es-ES"/>
                  </w:rPr>
                  <w:tab/>
                </w:r>
                <w:r w:rsidR="00FD0886" w:rsidRPr="00D90A2C">
                  <w:rPr>
                    <w:rStyle w:val="Hyperlink"/>
                    <w:noProof/>
                  </w:rPr>
                  <w:t>Propósito</w:t>
                </w:r>
                <w:r w:rsidR="00FD0886">
                  <w:rPr>
                    <w:noProof/>
                    <w:webHidden/>
                  </w:rPr>
                  <w:tab/>
                </w:r>
                <w:r w:rsidR="00FD0886">
                  <w:rPr>
                    <w:noProof/>
                    <w:webHidden/>
                  </w:rPr>
                  <w:fldChar w:fldCharType="begin"/>
                </w:r>
                <w:r w:rsidR="00FD0886">
                  <w:rPr>
                    <w:noProof/>
                    <w:webHidden/>
                  </w:rPr>
                  <w:instrText xml:space="preserve"> PAGEREF _Toc511388959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7AEE9DC6" w14:textId="77777777" w:rsidR="00FD0886" w:rsidRDefault="00EB4391">
              <w:pPr>
                <w:pStyle w:val="TOC2"/>
                <w:tabs>
                  <w:tab w:val="left" w:pos="561"/>
                  <w:tab w:val="right" w:leader="dot" w:pos="8828"/>
                </w:tabs>
                <w:rPr>
                  <w:rFonts w:eastAsiaTheme="minorEastAsia"/>
                  <w:b w:val="0"/>
                  <w:bCs w:val="0"/>
                  <w:smallCaps w:val="0"/>
                  <w:noProof/>
                  <w:lang w:eastAsia="es-ES"/>
                </w:rPr>
              </w:pPr>
              <w:hyperlink w:anchor="_Toc511388960" w:history="1">
                <w:r w:rsidR="00FD0886" w:rsidRPr="00D90A2C">
                  <w:rPr>
                    <w:rStyle w:val="Hyperlink"/>
                    <w:noProof/>
                  </w:rPr>
                  <w:t>1.2.</w:t>
                </w:r>
                <w:r w:rsidR="00FD0886">
                  <w:rPr>
                    <w:rFonts w:eastAsiaTheme="minorEastAsia"/>
                    <w:b w:val="0"/>
                    <w:bCs w:val="0"/>
                    <w:smallCaps w:val="0"/>
                    <w:noProof/>
                    <w:lang w:eastAsia="es-ES"/>
                  </w:rPr>
                  <w:tab/>
                </w:r>
                <w:r w:rsidR="00FD0886" w:rsidRPr="00D90A2C">
                  <w:rPr>
                    <w:rStyle w:val="Hyperlink"/>
                    <w:noProof/>
                  </w:rPr>
                  <w:t>Alcance</w:t>
                </w:r>
                <w:r w:rsidR="00FD0886">
                  <w:rPr>
                    <w:noProof/>
                    <w:webHidden/>
                  </w:rPr>
                  <w:tab/>
                </w:r>
                <w:r w:rsidR="00FD0886">
                  <w:rPr>
                    <w:noProof/>
                    <w:webHidden/>
                  </w:rPr>
                  <w:fldChar w:fldCharType="begin"/>
                </w:r>
                <w:r w:rsidR="00FD0886">
                  <w:rPr>
                    <w:noProof/>
                    <w:webHidden/>
                  </w:rPr>
                  <w:instrText xml:space="preserve"> PAGEREF _Toc511388960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F27B85B" w14:textId="77777777" w:rsidR="00FD0886" w:rsidRDefault="00EB4391">
              <w:pPr>
                <w:pStyle w:val="TOC2"/>
                <w:tabs>
                  <w:tab w:val="left" w:pos="561"/>
                  <w:tab w:val="right" w:leader="dot" w:pos="8828"/>
                </w:tabs>
                <w:rPr>
                  <w:rFonts w:eastAsiaTheme="minorEastAsia"/>
                  <w:b w:val="0"/>
                  <w:bCs w:val="0"/>
                  <w:smallCaps w:val="0"/>
                  <w:noProof/>
                  <w:lang w:eastAsia="es-ES"/>
                </w:rPr>
              </w:pPr>
              <w:hyperlink w:anchor="_Toc511388961" w:history="1">
                <w:r w:rsidR="00FD0886" w:rsidRPr="00D90A2C">
                  <w:rPr>
                    <w:rStyle w:val="Hyperlink"/>
                    <w:noProof/>
                  </w:rPr>
                  <w:t>1.3.</w:t>
                </w:r>
                <w:r w:rsidR="00FD0886">
                  <w:rPr>
                    <w:rFonts w:eastAsiaTheme="minorEastAsia"/>
                    <w:b w:val="0"/>
                    <w:bCs w:val="0"/>
                    <w:smallCaps w:val="0"/>
                    <w:noProof/>
                    <w:lang w:eastAsia="es-ES"/>
                  </w:rPr>
                  <w:tab/>
                </w:r>
                <w:r w:rsidR="00FD0886" w:rsidRPr="00D90A2C">
                  <w:rPr>
                    <w:rStyle w:val="Hyperlink"/>
                    <w:noProof/>
                  </w:rPr>
                  <w:t>Terminología</w:t>
                </w:r>
                <w:r w:rsidR="00FD0886">
                  <w:rPr>
                    <w:noProof/>
                    <w:webHidden/>
                  </w:rPr>
                  <w:tab/>
                </w:r>
                <w:r w:rsidR="00FD0886">
                  <w:rPr>
                    <w:noProof/>
                    <w:webHidden/>
                  </w:rPr>
                  <w:fldChar w:fldCharType="begin"/>
                </w:r>
                <w:r w:rsidR="00FD0886">
                  <w:rPr>
                    <w:noProof/>
                    <w:webHidden/>
                  </w:rPr>
                  <w:instrText xml:space="preserve"> PAGEREF _Toc511388961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1D8459D" w14:textId="77777777"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ACD51C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1C8042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155495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0FEAF59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3DC1558"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D2B9DF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D590EF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CA0C12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E1F96D7"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CEA987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EE8B9D8" w14:textId="77777777" w:rsidR="00EB2454" w:rsidRPr="00DB255E" w:rsidRDefault="00EB4391" w:rsidP="00DB255E">
          <w:pPr>
            <w:tabs>
              <w:tab w:val="left" w:pos="0"/>
            </w:tabs>
            <w:spacing w:line="240" w:lineRule="auto"/>
            <w:contextualSpacing/>
            <w:rPr>
              <w:rFonts w:ascii="NewsGotT" w:hAnsi="NewsGotT"/>
              <w:color w:val="000000" w:themeColor="text1"/>
              <w:sz w:val="32"/>
              <w:szCs w:val="32"/>
              <w:u w:val="single"/>
            </w:rPr>
          </w:pPr>
        </w:p>
      </w:sdtContent>
    </w:sdt>
    <w:p w14:paraId="512E636B" w14:textId="77777777" w:rsidR="002156A4" w:rsidRPr="00306CB9" w:rsidRDefault="002156A4" w:rsidP="00FD0886">
      <w:pPr>
        <w:pStyle w:val="ListParagraph"/>
        <w:numPr>
          <w:ilvl w:val="0"/>
          <w:numId w:val="40"/>
        </w:numPr>
        <w:spacing w:after="160" w:line="259" w:lineRule="auto"/>
        <w:outlineLvl w:val="0"/>
        <w:rPr>
          <w:b/>
          <w:lang w:val="es-ES_tradnl"/>
        </w:rPr>
      </w:pPr>
      <w:bookmarkStart w:id="5" w:name="_Toc511388958"/>
      <w:r w:rsidRPr="00306CB9">
        <w:rPr>
          <w:b/>
        </w:rPr>
        <w:t>Introducción</w:t>
      </w:r>
      <w:bookmarkEnd w:id="5"/>
    </w:p>
    <w:p w14:paraId="7BA8D270" w14:textId="77777777" w:rsidR="00A21F02" w:rsidRPr="00A21F02" w:rsidRDefault="00A21F02" w:rsidP="00A21F02">
      <w:pPr>
        <w:pStyle w:val="ListParagraph"/>
        <w:spacing w:after="160" w:line="259" w:lineRule="auto"/>
        <w:rPr>
          <w:lang w:val="es-ES_tradnl"/>
        </w:rPr>
      </w:pPr>
    </w:p>
    <w:p w14:paraId="169E1956" w14:textId="77777777" w:rsidR="002156A4" w:rsidRPr="000B514F" w:rsidRDefault="002156A4" w:rsidP="00FD0886">
      <w:pPr>
        <w:pStyle w:val="ListParagraph"/>
        <w:numPr>
          <w:ilvl w:val="1"/>
          <w:numId w:val="40"/>
        </w:numPr>
        <w:spacing w:after="160" w:line="259" w:lineRule="auto"/>
        <w:outlineLvl w:val="1"/>
        <w:rPr>
          <w:b/>
          <w:lang w:val="es-ES_tradnl"/>
        </w:rPr>
      </w:pPr>
      <w:bookmarkStart w:id="6" w:name="_Toc511388959"/>
      <w:r w:rsidRPr="000B514F">
        <w:rPr>
          <w:b/>
        </w:rPr>
        <w:t>Propósito</w:t>
      </w:r>
      <w:bookmarkEnd w:id="6"/>
    </w:p>
    <w:p w14:paraId="615C67F8" w14:textId="5B9E9453" w:rsidR="00AE15FE" w:rsidRDefault="00AE15FE" w:rsidP="00AE15FE">
      <w:pPr>
        <w:ind w:left="708"/>
        <w:rPr>
          <w:lang w:val="es-ES_tradnl"/>
        </w:rPr>
      </w:pPr>
      <w:r w:rsidRPr="00AE15FE">
        <w:rPr>
          <w:lang w:val="es-ES_tradnl"/>
        </w:rPr>
        <w:t>Por medio de la gestión de la configuración se tendrá un mayor control e identificación de los ítems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w:t>
      </w:r>
    </w:p>
    <w:p w14:paraId="4A3EBB74" w14:textId="525ADA99" w:rsidR="00FD0886" w:rsidRPr="00FD0886" w:rsidRDefault="00AE15FE" w:rsidP="00FD0886">
      <w:pPr>
        <w:ind w:left="708"/>
        <w:rPr>
          <w:lang w:val="es-ES_tradnl"/>
        </w:rPr>
      </w:pPr>
      <w:r>
        <w:rPr>
          <w:lang w:val="es-ES_tradnl"/>
        </w:rPr>
        <w:t>E</w:t>
      </w:r>
      <w:r w:rsidR="001679F6">
        <w:rPr>
          <w:lang w:val="es-ES_tradnl"/>
        </w:rPr>
        <w:t>n e</w:t>
      </w:r>
      <w:r w:rsidR="00493DBD" w:rsidRPr="00493DBD">
        <w:rPr>
          <w:lang w:val="es-ES_tradnl"/>
        </w:rPr>
        <w:t xml:space="preserve">ste documento </w:t>
      </w:r>
      <w:r w:rsidR="001679F6">
        <w:rPr>
          <w:lang w:val="es-ES_tradnl"/>
        </w:rPr>
        <w:t xml:space="preserve">se </w:t>
      </w:r>
      <w:r w:rsidR="00493DBD" w:rsidRPr="00493DBD">
        <w:rPr>
          <w:lang w:val="es-ES_tradnl"/>
        </w:rPr>
        <w:t>describe</w:t>
      </w:r>
      <w:r w:rsidR="001679F6">
        <w:rPr>
          <w:lang w:val="es-ES_tradnl"/>
        </w:rPr>
        <w:t>n</w:t>
      </w:r>
      <w:r w:rsidR="00493DBD" w:rsidRPr="00493DBD">
        <w:rPr>
          <w:lang w:val="es-ES_tradnl"/>
        </w:rPr>
        <w:t xml:space="preserve"> las actividades de gestión de configuración de software que deben ser llevadas a cabo durante el proceso de desarrollo de</w:t>
      </w:r>
      <w:r w:rsidR="00493DBD">
        <w:rPr>
          <w:lang w:val="es-ES_tradnl"/>
        </w:rPr>
        <w:t xml:space="preserve"> RSAC</w:t>
      </w:r>
      <w:r w:rsidR="00493DBD" w:rsidRPr="00493DBD">
        <w:rPr>
          <w:lang w:val="es-ES_tradnl"/>
        </w:rPr>
        <w:t xml:space="preserve">. </w:t>
      </w:r>
      <w:r w:rsidR="00493DBD">
        <w:rPr>
          <w:lang w:val="es-ES_tradnl"/>
        </w:rPr>
        <w:t xml:space="preserve">Además, </w:t>
      </w:r>
      <w:r w:rsidR="00493DBD" w:rsidRPr="00493DBD">
        <w:rPr>
          <w:lang w:val="es-ES_tradnl"/>
        </w:rPr>
        <w:t>se definen tanto los productos que se pondrán bajo control de configuración como los procedimientos que deben ser seguidos por los integrantes del equipo de trabajo.</w:t>
      </w:r>
    </w:p>
    <w:p w14:paraId="63AA285B" w14:textId="77777777" w:rsidR="00FD0886" w:rsidRDefault="002156A4" w:rsidP="00DA7BAE">
      <w:pPr>
        <w:pStyle w:val="ListParagraph"/>
        <w:numPr>
          <w:ilvl w:val="1"/>
          <w:numId w:val="40"/>
        </w:numPr>
        <w:spacing w:after="160" w:line="259" w:lineRule="auto"/>
        <w:outlineLvl w:val="1"/>
        <w:rPr>
          <w:b/>
        </w:rPr>
      </w:pPr>
      <w:bookmarkStart w:id="7" w:name="_Toc511388960"/>
      <w:r w:rsidRPr="00FD0886">
        <w:rPr>
          <w:b/>
        </w:rPr>
        <w:t>Alcance</w:t>
      </w:r>
      <w:bookmarkEnd w:id="7"/>
    </w:p>
    <w:p w14:paraId="11DB1563" w14:textId="77777777" w:rsidR="009D0E1A" w:rsidRDefault="009D0E1A" w:rsidP="009D0E1A">
      <w:pPr>
        <w:pStyle w:val="ListParagraph"/>
        <w:rPr>
          <w:lang w:val="es-ES_tradnl"/>
        </w:rPr>
      </w:pPr>
      <w:r>
        <w:rPr>
          <w:lang w:val="es-ES_tradnl"/>
        </w:rPr>
        <w:t>Se deben de tener en cuenta los siguientes puntos en cuanto a cómo se realizará el plan de gestión de la configuración.</w:t>
      </w:r>
    </w:p>
    <w:p w14:paraId="1CD020C7" w14:textId="77777777" w:rsidR="009D0E1A" w:rsidRDefault="009D0E1A" w:rsidP="009D0E1A">
      <w:pPr>
        <w:pStyle w:val="ListParagraph"/>
        <w:rPr>
          <w:lang w:val="es-ES_tradnl"/>
        </w:rPr>
      </w:pPr>
    </w:p>
    <w:p w14:paraId="77863367" w14:textId="77777777" w:rsidR="009D0E1A" w:rsidRDefault="009D0E1A" w:rsidP="009D0E1A">
      <w:pPr>
        <w:pStyle w:val="ListParagraph"/>
        <w:numPr>
          <w:ilvl w:val="0"/>
          <w:numId w:val="41"/>
        </w:numPr>
        <w:spacing w:after="160" w:line="259" w:lineRule="auto"/>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9D0E1A">
      <w:pPr>
        <w:pStyle w:val="ListParagraph"/>
        <w:numPr>
          <w:ilvl w:val="0"/>
          <w:numId w:val="41"/>
        </w:numPr>
        <w:spacing w:after="160" w:line="259" w:lineRule="auto"/>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514EDA7" w14:textId="77777777" w:rsidR="009D0E1A" w:rsidRPr="00F86369" w:rsidRDefault="009D0E1A" w:rsidP="009D0E1A">
      <w:pPr>
        <w:pStyle w:val="ListParagraph"/>
        <w:numPr>
          <w:ilvl w:val="0"/>
          <w:numId w:val="41"/>
        </w:numPr>
        <w:spacing w:after="160" w:line="259" w:lineRule="auto"/>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2EEDE56D" w14:textId="77777777" w:rsidR="00DA7BAE" w:rsidRPr="009D0E1A" w:rsidRDefault="00DA7BAE" w:rsidP="00DA7BAE">
      <w:pPr>
        <w:pStyle w:val="ListParagraph"/>
        <w:spacing w:after="160" w:line="259" w:lineRule="auto"/>
        <w:outlineLvl w:val="1"/>
        <w:rPr>
          <w:b/>
          <w:lang w:val="es-ES_tradnl"/>
        </w:rPr>
      </w:pPr>
    </w:p>
    <w:p w14:paraId="7787648E" w14:textId="77777777" w:rsidR="00FD0886" w:rsidRPr="00A21F02" w:rsidRDefault="00FD0886" w:rsidP="00FD0886">
      <w:pPr>
        <w:pStyle w:val="ListParagraph"/>
        <w:spacing w:after="160" w:line="259" w:lineRule="auto"/>
        <w:ind w:left="1080"/>
      </w:pPr>
    </w:p>
    <w:p w14:paraId="20299340" w14:textId="77777777" w:rsidR="002712E5" w:rsidRDefault="002156A4" w:rsidP="002712E5">
      <w:pPr>
        <w:pStyle w:val="ListParagraph"/>
        <w:numPr>
          <w:ilvl w:val="1"/>
          <w:numId w:val="40"/>
        </w:numPr>
        <w:spacing w:after="160" w:line="259" w:lineRule="auto"/>
        <w:outlineLvl w:val="1"/>
        <w:rPr>
          <w:b/>
        </w:rPr>
      </w:pPr>
      <w:bookmarkStart w:id="8" w:name="_Toc511388961"/>
      <w:r w:rsidRPr="000B514F">
        <w:rPr>
          <w:b/>
        </w:rPr>
        <w:t>Terminología</w:t>
      </w:r>
      <w:bookmarkEnd w:id="8"/>
    </w:p>
    <w:p w14:paraId="7602B4DF" w14:textId="77777777" w:rsidR="002712E5" w:rsidRPr="002712E5" w:rsidRDefault="002712E5" w:rsidP="002712E5">
      <w:pPr>
        <w:pStyle w:val="ListParagraph"/>
        <w:rPr>
          <w:lang w:val="es-ES_tradnl"/>
        </w:rPr>
      </w:pPr>
      <w:r>
        <w:rPr>
          <w:lang w:val="es-ES_tradnl"/>
        </w:rPr>
        <w:t>En el presente documento se utilizará la siguiente terminología:</w:t>
      </w:r>
    </w:p>
    <w:p w14:paraId="60E1B8CF"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Ítem de la Configuración (SCI): Consiste en cada uno de los elementos asociados a un proyecto de software, los cuales forman parte de la Gestión de la Configuración.</w:t>
      </w:r>
    </w:p>
    <w:p w14:paraId="4E7BC952"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 xml:space="preserve">Sistema de Gestión de la Configuración (SCM):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7DE72CBF"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 xml:space="preserve">Responsable del Sistema de Gestión de Configuración: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28AC930D"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lastRenderedPageBreak/>
        <w:t>Control de la Configuración: Proceso de asegurar que las versiones se registren y almacenen eficientemente para que puedan ser fácilmente identificables.</w:t>
      </w:r>
    </w:p>
    <w:p w14:paraId="7F921058"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Versión: Instancia de un ítem que difiere de otras instancias del mismo ítem.</w:t>
      </w:r>
    </w:p>
    <w:p w14:paraId="2189E9C5"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Línea de Código (</w:t>
      </w:r>
      <w:proofErr w:type="spellStart"/>
      <w:r w:rsidRPr="002712E5">
        <w:rPr>
          <w:lang w:val="es-ES_tradnl" w:eastAsia="es-ES_tradnl"/>
        </w:rPr>
        <w:t>codeline</w:t>
      </w:r>
      <w:proofErr w:type="spellEnd"/>
      <w:r w:rsidRPr="002712E5">
        <w:rPr>
          <w:lang w:val="es-ES_tradnl" w:eastAsia="es-ES_tradnl"/>
        </w:rPr>
        <w:t>): Conjunto de versiones de un componente de software y de otros ítems de los cuales depende el componente.</w:t>
      </w:r>
    </w:p>
    <w:p w14:paraId="42D9F053"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Línea Base (</w:t>
      </w:r>
      <w:proofErr w:type="spellStart"/>
      <w:r w:rsidRPr="002712E5">
        <w:rPr>
          <w:lang w:val="es-ES_tradnl" w:eastAsia="es-ES_tradnl"/>
        </w:rPr>
        <w:t>baseline</w:t>
      </w:r>
      <w:proofErr w:type="spellEnd"/>
      <w:r w:rsidRPr="002712E5">
        <w:rPr>
          <w:lang w:val="es-ES_tradnl" w:eastAsia="es-ES_tradnl"/>
        </w:rPr>
        <w:t>): Colección de versiones de los componentes que constituyen el sistema y que han sido aprobadas por los clientes.</w:t>
      </w:r>
    </w:p>
    <w:p w14:paraId="3DE57E1D"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Entrega, Liberación (</w:t>
      </w:r>
      <w:proofErr w:type="spellStart"/>
      <w:r w:rsidRPr="002712E5">
        <w:rPr>
          <w:lang w:val="es-ES_tradnl" w:eastAsia="es-ES_tradnl"/>
        </w:rPr>
        <w:t>release</w:t>
      </w:r>
      <w:proofErr w:type="spellEnd"/>
      <w:r w:rsidRPr="002712E5">
        <w:rPr>
          <w:lang w:val="es-ES_tradnl" w:eastAsia="es-ES_tradnl"/>
        </w:rPr>
        <w:t>): Sistema liberado para el uso de los clientes.</w:t>
      </w:r>
    </w:p>
    <w:p w14:paraId="2823EFD6"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Espacio de trabajo: Área de trabajo privada para modificar el software sin afectar a otros desarrolladores que lo estuvieran utilizando o modificando.</w:t>
      </w:r>
    </w:p>
    <w:p w14:paraId="05B49B4B"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Ramificación (</w:t>
      </w:r>
      <w:proofErr w:type="spellStart"/>
      <w:r w:rsidRPr="002712E5">
        <w:rPr>
          <w:lang w:val="es-ES_tradnl" w:eastAsia="es-ES_tradnl"/>
        </w:rPr>
        <w:t>branching</w:t>
      </w:r>
      <w:proofErr w:type="spellEnd"/>
      <w:r w:rsidRPr="002712E5">
        <w:rPr>
          <w:lang w:val="es-ES_tradnl" w:eastAsia="es-ES_tradnl"/>
        </w:rPr>
        <w:t>):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CB648B6"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Combinación (</w:t>
      </w:r>
      <w:proofErr w:type="spellStart"/>
      <w:r w:rsidRPr="002712E5">
        <w:rPr>
          <w:lang w:val="es-ES_tradnl" w:eastAsia="es-ES_tradnl"/>
        </w:rPr>
        <w:t>merging</w:t>
      </w:r>
      <w:proofErr w:type="spellEnd"/>
      <w:r w:rsidRPr="002712E5">
        <w:rPr>
          <w:lang w:val="es-ES_tradnl" w:eastAsia="es-ES_tradnl"/>
        </w:rPr>
        <w:t>): Creación de una nueva versión al combinar versiones separadas.</w:t>
      </w:r>
    </w:p>
    <w:sectPr w:rsidR="002712E5" w:rsidRPr="002712E5"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BAAE5" w14:textId="77777777" w:rsidR="00EB4391" w:rsidRDefault="00EB4391" w:rsidP="00CC106A">
      <w:pPr>
        <w:spacing w:after="0" w:line="240" w:lineRule="auto"/>
      </w:pPr>
      <w:r>
        <w:separator/>
      </w:r>
    </w:p>
  </w:endnote>
  <w:endnote w:type="continuationSeparator" w:id="0">
    <w:p w14:paraId="30D42D19" w14:textId="77777777" w:rsidR="00EB4391" w:rsidRDefault="00EB4391"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075AAC2E"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AE1824" w:rsidRPr="00AE1824">
            <w:rPr>
              <w:b/>
              <w:bCs/>
              <w:noProof/>
              <w:sz w:val="24"/>
              <w:szCs w:val="24"/>
              <w14:shadow w14:blurRad="50800" w14:dist="38100" w14:dir="2700000" w14:sx="100000" w14:sy="100000" w14:kx="0" w14:ky="0" w14:algn="tl">
                <w14:srgbClr w14:val="000000">
                  <w14:alpha w14:val="60000"/>
                </w14:srgbClr>
              </w14:shadow>
              <w14:numForm w14:val="oldStyle"/>
            </w:rPr>
            <w:t>4</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Footer"/>
          </w:pPr>
        </w:p>
      </w:tc>
    </w:tr>
  </w:tbl>
  <w:p w14:paraId="44B645BC" w14:textId="77777777" w:rsidR="00CC5323" w:rsidRDefault="00CC5323">
    <w:pPr>
      <w:pStyle w:val="Footer"/>
    </w:pPr>
  </w:p>
  <w:p w14:paraId="1F9E1A6F" w14:textId="77777777" w:rsidR="00CC5323" w:rsidRDefault="00CC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B6360" w14:textId="77777777" w:rsidR="00EB4391" w:rsidRDefault="00EB4391" w:rsidP="00CC106A">
      <w:pPr>
        <w:spacing w:after="0" w:line="240" w:lineRule="auto"/>
      </w:pPr>
      <w:r>
        <w:separator/>
      </w:r>
    </w:p>
  </w:footnote>
  <w:footnote w:type="continuationSeparator" w:id="0">
    <w:p w14:paraId="40C82387" w14:textId="77777777" w:rsidR="00EB4391" w:rsidRDefault="00EB4391"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77777777"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7777777" w:rsidR="00CC5323" w:rsidRDefault="00A21F02" w:rsidP="000001AE">
              <w:pPr>
                <w:pStyle w:val="Header"/>
                <w:rPr>
                  <w:color w:val="FFFFFF" w:themeColor="background1"/>
                </w:rPr>
              </w:pPr>
              <w:r>
                <w:rPr>
                  <w:color w:val="FFFFFF" w:themeColor="background1"/>
                </w:rPr>
                <w:t>13 de abril de 2018</w:t>
              </w:r>
            </w:p>
          </w:tc>
        </w:sdtContent>
      </w:sdt>
    </w:tr>
  </w:tbl>
  <w:p w14:paraId="5DBF965B" w14:textId="77777777" w:rsidR="00CC5323" w:rsidRDefault="00CC5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79219-7638-41CD-84FF-8FB58E0B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5</Pages>
  <Words>645</Words>
  <Characters>3680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28</cp:revision>
  <cp:lastPrinted>2017-10-07T19:07:00Z</cp:lastPrinted>
  <dcterms:created xsi:type="dcterms:W3CDTF">2018-03-27T02:32:00Z</dcterms:created>
  <dcterms:modified xsi:type="dcterms:W3CDTF">2018-04-13T22:28:00Z</dcterms:modified>
</cp:coreProperties>
</file>