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Reports Analysis</w:t>
      </w:r>
    </w:p>
    <w:p>
      <w:r>
        <w:t>Generated on: 2025-11-12 14:38:58</w:t>
      </w:r>
    </w:p>
    <w:p>
      <w:r>
        <w:t>Session ID: e5b0500b</w:t>
      </w:r>
    </w:p>
    <w:p>
      <w:r>
        <w:t>Template: General Data Reports</w:t>
      </w:r>
    </w:p>
    <w:p/>
    <w:p>
      <w:pPr>
        <w:pStyle w:val="Heading2"/>
      </w:pPr>
      <w:r>
        <w:t>Question:</w:t>
      </w:r>
    </w:p>
    <w:p>
      <w:r>
        <w:t>[DataReports - Bar] I want the report in english and korean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Comprehensive Financial Report - Past 3 Months</w:t>
      </w:r>
    </w:p>
    <w:p>
      <w:pPr>
        <w:pStyle w:val="Heading2"/>
      </w:pPr>
      <w:r>
        <w:t>Executive Summary</w:t>
      </w:r>
    </w:p>
    <w:p>
      <w:r>
        <w:t>During the past three-month operating cycle, the company demonstrated strong revenue performance but faced profitability challenges. Total revenue reached 908 million, but high expense levels during the same period resulted in a net loss of 51.22 million. Accounts receivable management performed well, but cost control requires focused attention.</w:t>
      </w:r>
    </w:p>
    <w:p>
      <w:pPr>
        <w:pStyle w:val="Heading2"/>
      </w:pPr>
      <w:r>
        <w:t>Core Financial Indicators Analysis</w:t>
      </w:r>
    </w:p>
    <w:p>
      <w:pPr>
        <w:pStyle w:val="Heading3"/>
      </w:pPr>
      <w:r>
        <w:t>Revenue Performance</w:t>
      </w:r>
    </w:p>
    <w:p>
      <w:pPr>
        <w:pStyle w:val="ListBullet"/>
      </w:pPr>
      <w:r>
        <w:t>**Total Revenue**: 908,334,000</w:t>
      </w:r>
    </w:p>
    <w:p>
      <w:pPr>
        <w:pStyle w:val="ListBullet"/>
      </w:pPr>
      <w:r>
        <w:t>**Invoice Management Efficiency**: 272 invoices issued, with 269 paid, achieving a 98.9% payment rate</w:t>
      </w:r>
    </w:p>
    <w:p>
      <w:pPr>
        <w:pStyle w:val="ListBullet"/>
      </w:pPr>
      <w:r>
        <w:t>**Accounts Receivable Quality**: Only 1 invoice remains unpaid, indicating excellent collection efficiency</w:t>
      </w:r>
    </w:p>
    <w:p>
      <w:pPr>
        <w:pStyle w:val="Heading3"/>
      </w:pPr>
      <w:r>
        <w:t>Cost Structure Analysis</w:t>
      </w:r>
    </w:p>
    <w:p>
      <w:pPr>
        <w:pStyle w:val="ListBullet"/>
      </w:pPr>
      <w:r>
        <w:t>**Total Expenses**: 959,555,432</w:t>
      </w:r>
    </w:p>
    <w:p>
      <w:pPr>
        <w:pStyle w:val="ListBullet"/>
      </w:pPr>
      <w:r>
        <w:t>**Project Milestone Costs**: 0 (potential data recording issue or project suspension)</w:t>
      </w:r>
    </w:p>
    <w:p>
      <w:pPr>
        <w:pStyle w:val="ListBullet"/>
      </w:pPr>
      <w:r>
        <w:t>**Recurring Expenses**: 54,357,009, representing 5.7% of total expenses</w:t>
      </w:r>
    </w:p>
    <w:p>
      <w:pPr>
        <w:pStyle w:val="ListBullet"/>
      </w:pPr>
      <w:r>
        <w:t>**Expense-to-Revenue Ratio**: 105.6%, indicating expenses exceed revenue</w:t>
      </w:r>
    </w:p>
    <w:p>
      <w:pPr>
        <w:pStyle w:val="Heading3"/>
      </w:pPr>
      <w:r>
        <w:t>Profitability Assessment</w:t>
      </w:r>
    </w:p>
    <w:p>
      <w:pPr>
        <w:pStyle w:val="ListBullet"/>
      </w:pPr>
      <w:r>
        <w:t>**Net Loss**: -51,221,432</w:t>
      </w:r>
    </w:p>
    <w:p>
      <w:pPr>
        <w:pStyle w:val="ListBullet"/>
      </w:pPr>
      <w:r>
        <w:t>**Gross Margin**: -5.6%</w:t>
      </w:r>
    </w:p>
    <w:p>
      <w:pPr>
        <w:pStyle w:val="ListBullet"/>
      </w:pPr>
      <w:r>
        <w:t>**Operational Efficiency**: High invoice payment rate demonstrates excellent customer relationship management, but cost control shows significant weaknesses</w:t>
      </w:r>
    </w:p>
    <w:p>
      <w:pPr>
        <w:pStyle w:val="Heading3"/>
      </w:pPr>
      <w:r>
        <w:t>Cash Flow Status</w:t>
      </w:r>
    </w:p>
    <w:p>
      <w:pPr>
        <w:pStyle w:val="ListBullet"/>
      </w:pPr>
      <w:r>
        <w:t>**Bank Transaction Activity**: Both deposits and withdrawals at 0, suggesting potential liquidity management optimization needs</w:t>
      </w:r>
    </w:p>
    <w:p>
      <w:pPr>
        <w:pStyle w:val="ListBullet"/>
      </w:pPr>
      <w:r>
        <w:t>**Bank Account Balance**: 0, requiring attention to cash flow reserves</w:t>
      </w:r>
    </w:p>
    <w:p>
      <w:pPr>
        <w:pStyle w:val="Heading2"/>
      </w:pPr>
      <w:r>
        <w:t>Key Insights and Risk Alerts</w:t>
      </w:r>
    </w:p>
    <w:p>
      <w:pPr>
        <w:pStyle w:val="Heading3"/>
      </w:pPr>
      <w:r>
        <w:t>Positive Factors</w:t>
      </w:r>
    </w:p>
    <w:p>
      <w:r>
        <w:t>1. **Revenue Stability**: High invoice payment rate indicates strong customer payment willingness and credit quality</w:t>
      </w:r>
    </w:p>
    <w:p>
      <w:r>
        <w:t>2. **Customer Relationship Management**: 98.9% payment completion rate reflects effective customer management</w:t>
      </w:r>
    </w:p>
    <w:p>
      <w:r>
        <w:t>3. **Accounts Receivable Management**: Minimal overdue payments demonstrate efficient collection processes</w:t>
      </w:r>
    </w:p>
    <w:p>
      <w:pPr>
        <w:pStyle w:val="Heading3"/>
      </w:pPr>
      <w:r>
        <w:t>Risk Areas</w:t>
      </w:r>
    </w:p>
    <w:p>
      <w:r>
        <w:t>1. **Profitability Pressure**: Expense ratio exceeds 100%, requiring urgent cost optimization</w:t>
      </w:r>
    </w:p>
    <w:p>
      <w:r>
        <w:t>2. **Cash Flow Risk**: Zero bank balance indicates potential liquidity challenges</w:t>
      </w:r>
    </w:p>
    <w:p>
      <w:r>
        <w:t>3. **Cost Structure Issues**: High recurring expenses relative to revenue generation</w:t>
      </w:r>
    </w:p>
    <w:p>
      <w:pPr>
        <w:pStyle w:val="Heading2"/>
      </w:pPr>
      <w:r>
        <w:t>Strategic Recommendations</w:t>
      </w:r>
    </w:p>
    <w:p>
      <w:pPr>
        <w:pStyle w:val="Heading3"/>
      </w:pPr>
      <w:r>
        <w:t>Immediate Actions (1-3 months)</w:t>
      </w:r>
    </w:p>
    <w:p>
      <w:pPr>
        <w:pStyle w:val="ListBullet"/>
      </w:pPr>
      <w:r>
        <w:t>Implement strict cost control measures targeting at least 10% expense reduction</w:t>
      </w:r>
    </w:p>
    <w:p>
      <w:pPr>
        <w:pStyle w:val="ListBullet"/>
      </w:pPr>
      <w:r>
        <w:t>Develop cash flow management strategy to build emergency reserves</w:t>
      </w:r>
    </w:p>
    <w:p>
      <w:pPr>
        <w:pStyle w:val="ListBullet"/>
      </w:pPr>
      <w:r>
        <w:t>Review and optimize recurring expense structures</w:t>
      </w:r>
    </w:p>
    <w:p>
      <w:pPr>
        <w:pStyle w:val="Heading3"/>
      </w:pPr>
      <w:r>
        <w:t>Medium-term Initiatives (3-6 months)</w:t>
      </w:r>
    </w:p>
    <w:p>
      <w:pPr>
        <w:pStyle w:val="ListBullet"/>
      </w:pPr>
      <w:r>
        <w:t>Diversify revenue streams to reduce dependency on current customer base</w:t>
      </w:r>
    </w:p>
    <w:p>
      <w:pPr>
        <w:pStyle w:val="ListBullet"/>
      </w:pPr>
      <w:r>
        <w:t>Implement profitability improvement programs</w:t>
      </w:r>
    </w:p>
    <w:p>
      <w:pPr>
        <w:pStyle w:val="ListBullet"/>
      </w:pPr>
      <w:r>
        <w:t>Enhance working capital management efficiency</w:t>
      </w:r>
    </w:p>
    <w:p>
      <w:r>
        <w:t>---</w:t>
      </w:r>
    </w:p>
    <w:p>
      <w:pPr>
        <w:pStyle w:val="Heading1"/>
      </w:pPr>
      <w:r>
        <w:t>종합 재무 보고서 - 지난 3개월</w:t>
      </w:r>
    </w:p>
    <w:p>
      <w:pPr>
        <w:pStyle w:val="Heading2"/>
      </w:pPr>
      <w:r>
        <w:t>경영진 요약</w:t>
      </w:r>
    </w:p>
    <w:p>
      <w:r>
        <w:t>지난 3개월 운영 주기 동안 회사는 강력한 수익 실적을 보였으나 수익성 측면에서 어려움에 직면했습니다. 총 수익은 9억 800만 원에 달했으나 동기간 높은 비용 지출로 인해 5,122만 원의 순손실이 발생했습니다. 매출채권 관리 성과는 양호하나 비용 통제에 집중적인 관심이 필요합니다.</w:t>
      </w:r>
    </w:p>
    <w:p>
      <w:pPr>
        <w:pStyle w:val="Heading2"/>
      </w:pPr>
      <w:r>
        <w:t>핵심 재무 지표 분석</w:t>
      </w:r>
    </w:p>
    <w:p>
      <w:pPr>
        <w:pStyle w:val="Heading3"/>
      </w:pPr>
      <w:r>
        <w:t>수익 성과</w:t>
      </w:r>
    </w:p>
    <w:p>
      <w:pPr>
        <w:pStyle w:val="ListBullet"/>
      </w:pPr>
      <w:r>
        <w:t>**총 수익**: 908,334,000원</w:t>
      </w:r>
    </w:p>
    <w:p>
      <w:pPr>
        <w:pStyle w:val="ListBullet"/>
      </w:pPr>
      <w:r>
        <w:t>**청구서 관리 효율성**: 총 272건 청구서 발행, 269건 지불 완료, 98.9% 지불률 달성</w:t>
      </w:r>
    </w:p>
    <w:p>
      <w:pPr>
        <w:pStyle w:val="ListBullet"/>
      </w:pPr>
      <w:r>
        <w:t>**매출채권 품질**: 단 1건의 미지불 청구서만 존재, 우수한 회수 효율성</w:t>
      </w:r>
    </w:p>
    <w:p>
      <w:pPr>
        <w:pStyle w:val="Heading3"/>
      </w:pPr>
      <w:r>
        <w:t>비용 구조 분석</w:t>
      </w:r>
    </w:p>
    <w:p>
      <w:pPr>
        <w:pStyle w:val="ListBullet"/>
      </w:pPr>
      <w:r>
        <w:t>**총 비용 지출**: 959,555,432원</w:t>
      </w:r>
    </w:p>
    <w:p>
      <w:pPr>
        <w:pStyle w:val="ListBullet"/>
      </w:pPr>
      <w:r>
        <w:t>**프로젝트 마일스톤 비용**: 0 (데이터 기록 문제 또는 프로젝트 중단 가능성)</w:t>
      </w:r>
    </w:p>
    <w:p>
      <w:pPr>
        <w:pStyle w:val="ListBullet"/>
      </w:pPr>
      <w:r>
        <w:t>**반복 비용**: 54,357,009원, 총 지출의 5.7% 차지</w:t>
      </w:r>
    </w:p>
    <w:p>
      <w:pPr>
        <w:pStyle w:val="ListBullet"/>
      </w:pPr>
      <w:r>
        <w:t>**비용 대비 수익 비율**: 105.6%, 지출이 수익을 초과함을 나타냄</w:t>
      </w:r>
    </w:p>
    <w:p>
      <w:pPr>
        <w:pStyle w:val="Heading3"/>
      </w:pPr>
      <w:r>
        <w:t>수익성 평가</w:t>
      </w:r>
    </w:p>
    <w:p>
      <w:pPr>
        <w:pStyle w:val="ListBullet"/>
      </w:pPr>
      <w:r>
        <w:t>**순손실**: -51,221,432원</w:t>
      </w:r>
    </w:p>
    <w:p>
      <w:pPr>
        <w:pStyle w:val="ListBullet"/>
      </w:pPr>
      <w:r>
        <w:t>**매출 총이익률**: -5.6%</w:t>
      </w:r>
    </w:p>
    <w:p>
      <w:pPr>
        <w:pStyle w:val="ListBullet"/>
      </w:pPr>
      <w:r>
        <w:t>**운영 효율성**: 높은 청구서 지불률은 우수한 고객 관계 관리를 보여주나, 비용 통제에 명백한 취약점 존재</w:t>
      </w:r>
    </w:p>
    <w:p>
      <w:pPr>
        <w:pStyle w:val="Heading3"/>
      </w:pPr>
      <w:r>
        <w:t>현금흐름 현황</w:t>
      </w:r>
    </w:p>
    <w:p>
      <w:pPr>
        <w:pStyle w:val="ListBullet"/>
      </w:pPr>
      <w:r>
        <w:t>**은행 거래 활동**: 입금 및 인출 모두 0, 자금 유동성 관리 최적화 필요성 시사</w:t>
      </w:r>
    </w:p>
    <w:p>
      <w:pPr>
        <w:pStyle w:val="ListBullet"/>
      </w:pPr>
      <w:r>
        <w:t>**은행 계좌 잔고**: 0, 현금흐름 준비금에 대한 관심 필요</w:t>
      </w:r>
    </w:p>
    <w:p>
      <w:pPr>
        <w:pStyle w:val="Heading2"/>
      </w:pPr>
      <w:r>
        <w:t>주요 통찰 및 위험 경고</w:t>
      </w:r>
    </w:p>
    <w:p>
      <w:pPr>
        <w:pStyle w:val="Heading3"/>
      </w:pPr>
      <w:r>
        <w:t>긍정적 요소</w:t>
      </w:r>
    </w:p>
    <w:p>
      <w:r>
        <w:t>1. **수익 안정성**: 높은 청구서 지불률은 강력한 고객 지불 의지와 신용 품질을 나타냄</w:t>
      </w:r>
    </w:p>
    <w:p>
      <w:r>
        <w:t>2. **고객 관계 관리**: 98.9% 지불 완료율은 효과적인 고객 관리 반영</w:t>
      </w:r>
    </w:p>
    <w:p>
      <w:r>
        <w:t>3. **매출채권 관리**: 최소 연체 지불은 효율적인 회수 프로세스 입증</w:t>
      </w:r>
    </w:p>
    <w:p>
      <w:pPr>
        <w:pStyle w:val="Heading3"/>
      </w:pPr>
      <w:r>
        <w:t>위험 영역</w:t>
      </w:r>
    </w:p>
    <w:p>
      <w:r>
        <w:t>1. **수익성 압박**: 비용 비율 100% 초과, 긴급한 비용 최적화 필요</w:t>
      </w:r>
    </w:p>
    <w:p>
      <w:r>
        <w:t>2. **현금흐름 위험**: 제로 은행 잔고는 잠재적 유동성 문제 시사</w:t>
      </w:r>
    </w:p>
    <w:p>
      <w:r>
        <w:t>3. **비용 구조 문제**: 수익 창출 대비 높은 반복 비용</w:t>
      </w:r>
    </w:p>
    <w:p>
      <w:pPr>
        <w:pStyle w:val="Heading2"/>
      </w:pPr>
      <w:r>
        <w:t>전략적 권고사항</w:t>
      </w:r>
    </w:p>
    <w:p>
      <w:pPr>
        <w:pStyle w:val="Heading3"/>
      </w:pPr>
      <w:r>
        <w:t>즉각적 조치 (1-3개월)</w:t>
      </w:r>
    </w:p>
    <w:p>
      <w:pPr>
        <w:pStyle w:val="ListBullet"/>
      </w:pPr>
      <w:r>
        <w:t>최소 10% 비용 감축 목표의 엄격한 비용 통제 조치 시행</w:t>
      </w:r>
    </w:p>
    <w:p>
      <w:pPr>
        <w:pStyle w:val="ListBullet"/>
      </w:pPr>
      <w:r>
        <w:t>비상 준비금 구축을 위한 현금흐름 관리 전략 수립</w:t>
      </w:r>
    </w:p>
    <w:p>
      <w:pPr>
        <w:pStyle w:val="ListBullet"/>
      </w:pPr>
      <w:r>
        <w:t>반복 비용 구조 검토 및 최적화</w:t>
      </w:r>
    </w:p>
    <w:p>
      <w:pPr>
        <w:pStyle w:val="Heading3"/>
      </w:pPr>
      <w:r>
        <w:t>중기 계획 (3-6개월)</w:t>
      </w:r>
    </w:p>
    <w:p>
      <w:pPr>
        <w:pStyle w:val="ListBullet"/>
      </w:pPr>
      <w:r>
        <w:t>현재 고객 기반 의존도 감소를 위한 수익원 다각화</w:t>
      </w:r>
    </w:p>
    <w:p>
      <w:pPr>
        <w:pStyle w:val="ListBullet"/>
      </w:pPr>
      <w:r>
        <w:t>수익성 개선 프로그램 시행</w:t>
      </w:r>
    </w:p>
    <w:p>
      <w:pPr>
        <w:pStyle w:val="ListBullet"/>
      </w:pPr>
      <w:r>
        <w:t>운전자본 관리 효율성 향상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