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2025-11-11 09:20:46</w:t>
      </w:r>
    </w:p>
    <w:p>
      <w:r>
        <w:t>Session ID: 7faf4a8e</w:t>
      </w:r>
    </w:p>
    <w:p>
      <w:r>
        <w:t>Template: Sales &amp; Marketing Analysis</w:t>
      </w:r>
    </w:p>
    <w:p/>
    <w:p>
      <w:pPr>
        <w:pStyle w:val="Heading2"/>
      </w:pPr>
      <w:r>
        <w:t>Question:</w:t>
      </w:r>
    </w:p>
    <w:p>
      <w:r>
        <w:t>[DataReports - SalesMarketing] generate the sales report</w:t>
      </w:r>
    </w:p>
    <w:p/>
    <w:p>
      <w:pPr>
        <w:pStyle w:val="Heading2"/>
      </w:pPr>
      <w:r>
        <w:t>Analysis:</w:t>
      </w:r>
    </w:p>
    <w:p>
      <w:pPr>
        <w:pStyle w:val="Heading1"/>
      </w:pPr>
      <w:r>
        <w:t>Executive Sales &amp; Marketing Assessment Report</w:t>
      </w:r>
    </w:p>
    <w:p>
      <w:pPr>
        <w:pStyle w:val="Heading2"/>
      </w:pPr>
      <w:r>
        <w:t>Executive Summary</w:t>
      </w:r>
    </w:p>
    <w:p>
      <w:r>
        <w:t>This comprehensive analysis reveals a business experiencing significant revenue volatility with concerning payment collection patterns. While recent months show strong sales performance, fundamental operational challenges require immediate attention to ensure sustainable growth.</w:t>
      </w:r>
    </w:p>
    <w:p>
      <w:pPr>
        <w:pStyle w:val="Heading2"/>
      </w:pPr>
      <w:r>
        <w:t>Revenue Analysis</w:t>
      </w:r>
    </w:p>
    <w:p>
      <w:pPr>
        <w:pStyle w:val="Heading3"/>
      </w:pPr>
      <w:r>
        <w:t>Performance Overview</w:t>
      </w:r>
    </w:p>
    <w:p>
      <w:pPr>
        <w:pStyle w:val="ListBullet"/>
      </w:pPr>
      <w:r>
        <w:t>**Total Annual Revenue**: 1.55 billion (past 12 months)</w:t>
      </w:r>
    </w:p>
    <w:p>
      <w:pPr>
        <w:pStyle w:val="ListBullet"/>
      </w:pPr>
      <w:r>
        <w:t>**Recent Growth Pattern**: Strong performance from June-November 2025 with consistent monthly revenue ranging from 262-340 million</w:t>
      </w:r>
    </w:p>
    <w:p>
      <w:pPr>
        <w:pStyle w:val="ListBullet"/>
      </w:pPr>
      <w:r>
        <w:t>**Seasonal Volatility**: Significant revenue concentration in recent months, with minimal activity in early 2025</w:t>
      </w:r>
    </w:p>
    <w:p>
      <w:pPr>
        <w:pStyle w:val="Heading3"/>
      </w:pPr>
      <w:r>
        <w:t>Monthly Performance Breakdown</w:t>
      </w:r>
    </w:p>
    <w:p>
      <w:pPr>
        <w:pStyle w:val="ListBullet"/>
      </w:pPr>
      <w:r>
        <w:t>**Peak Performance**: October 2025 (340.4 million across 93 invoices)</w:t>
      </w:r>
    </w:p>
    <w:p>
      <w:pPr>
        <w:pStyle w:val="ListBullet"/>
      </w:pPr>
      <w:r>
        <w:t>**Consistent High Period**: June-November 2025 averaging 290+ million monthly</w:t>
      </w:r>
    </w:p>
    <w:p>
      <w:pPr>
        <w:pStyle w:val="ListBullet"/>
      </w:pPr>
      <w:r>
        <w:t>**Concerning Gaps**: Minimal revenue in February, April, and May 2025</w:t>
      </w:r>
    </w:p>
    <w:p>
      <w:pPr>
        <w:pStyle w:val="Heading2"/>
      </w:pPr>
      <w:r>
        <w:t>Campaign Effectiveness &amp; Sales Operations</w:t>
      </w:r>
    </w:p>
    <w:p>
      <w:pPr>
        <w:pStyle w:val="Heading3"/>
      </w:pPr>
      <w:r>
        <w:t>Invoice Processing Efficiency</w:t>
      </w:r>
    </w:p>
    <w:p>
      <w:pPr>
        <w:pStyle w:val="ListBullet"/>
      </w:pPr>
      <w:r>
        <w:t>**Volume Management**: 90-94 invoices processed monthly during peak periods</w:t>
      </w:r>
    </w:p>
    <w:p>
      <w:pPr>
        <w:pStyle w:val="ListBullet"/>
      </w:pPr>
      <w:r>
        <w:t>**Operational Scaling**: Demonstrated capacity to handle high transaction volumes efficiently</w:t>
      </w:r>
    </w:p>
    <w:p>
      <w:pPr>
        <w:pStyle w:val="ListBullet"/>
      </w:pPr>
      <w:r>
        <w:t>**Performance Gap**: Early 2025 shows operational disruption with only 1-2 invoices monthly</w:t>
      </w:r>
    </w:p>
    <w:p>
      <w:pPr>
        <w:pStyle w:val="Heading3"/>
      </w:pPr>
      <w:r>
        <w:t>Revenue Concentration Risk</w:t>
      </w:r>
    </w:p>
    <w:p>
      <w:pPr>
        <w:pStyle w:val="ListBullet"/>
      </w:pPr>
      <w:r>
        <w:t>**Client Dependency**: Heavy reliance on a limited client base (Client ID 41 dominates early 2025 transactions)</w:t>
      </w:r>
    </w:p>
    <w:p>
      <w:pPr>
        <w:pStyle w:val="ListBullet"/>
      </w:pPr>
      <w:r>
        <w:t>**Payment Terms**: Standard 30-day payment cycles with consistent due date alignment</w:t>
      </w:r>
    </w:p>
    <w:p>
      <w:pPr>
        <w:pStyle w:val="Heading2"/>
      </w:pPr>
      <w:r>
        <w:t>Customer Journey Optimization</w:t>
      </w:r>
    </w:p>
    <w:p>
      <w:pPr>
        <w:pStyle w:val="Heading3"/>
      </w:pPr>
      <w:r>
        <w:t>Payment Collection Challenges</w:t>
      </w:r>
    </w:p>
    <w:p>
      <w:pPr>
        <w:pStyle w:val="ListBullet"/>
      </w:pPr>
      <w:r>
        <w:t>**Critical Issue**: 0.0 sales in past 6-10 months despite invoice generation</w:t>
      </w:r>
    </w:p>
    <w:p>
      <w:pPr>
        <w:pStyle w:val="ListBullet"/>
      </w:pPr>
      <w:r>
        <w:t>**Collection Gap**: Significant disconnect between invoice issuance and payment receipt</w:t>
      </w:r>
    </w:p>
    <w:p>
      <w:pPr>
        <w:pStyle w:val="ListBullet"/>
      </w:pPr>
      <w:r>
        <w:t>**Status Analysis**: Multiple invoices remain in "unpaid" or "canceled" status, indicating collection process breakdown</w:t>
      </w:r>
    </w:p>
    <w:p>
      <w:pPr>
        <w:pStyle w:val="Heading3"/>
      </w:pPr>
      <w:r>
        <w:t>Customer Experience Gaps</w:t>
      </w:r>
    </w:p>
    <w:p>
      <w:pPr>
        <w:pStyle w:val="ListBullet"/>
      </w:pPr>
      <w:r>
        <w:t>**Communication Breakdown**: Invoices sent but payments not received</w:t>
      </w:r>
    </w:p>
    <w:p>
      <w:pPr>
        <w:pStyle w:val="ListBullet"/>
      </w:pPr>
      <w:r>
        <w:t>**Relationship Management**: Need for enhanced post-sale follow-up procedures</w:t>
      </w:r>
    </w:p>
    <w:p>
      <w:pPr>
        <w:pStyle w:val="ListBullet"/>
      </w:pPr>
      <w:r>
        <w:t>**Payment Facilitation**: Potential barriers in payment processing requiring investigation</w:t>
      </w:r>
    </w:p>
    <w:p>
      <w:pPr>
        <w:pStyle w:val="Heading2"/>
      </w:pPr>
      <w:r>
        <w:t>Competitive Positioning &amp; Market Analysis</w:t>
      </w:r>
    </w:p>
    <w:p>
      <w:pPr>
        <w:pStyle w:val="Heading3"/>
      </w:pPr>
      <w:r>
        <w:t>Strengths</w:t>
      </w:r>
    </w:p>
    <w:p>
      <w:pPr>
        <w:pStyle w:val="ListBullet"/>
      </w:pPr>
      <w:r>
        <w:t>**Operational Capacity**: Proven ability to generate and process high-volume transactions</w:t>
      </w:r>
    </w:p>
    <w:p>
      <w:pPr>
        <w:pStyle w:val="ListBullet"/>
      </w:pPr>
      <w:r>
        <w:t>**Revenue Potential**: Demonstrated capacity for 300+ million monthly revenue</w:t>
      </w:r>
    </w:p>
    <w:p>
      <w:pPr>
        <w:pStyle w:val="ListBullet"/>
      </w:pPr>
      <w:r>
        <w:t>**Scalability**: Infrastructure supports significant transaction volumes</w:t>
      </w:r>
    </w:p>
    <w:p>
      <w:pPr>
        <w:pStyle w:val="Heading3"/>
      </w:pPr>
      <w:r>
        <w:t>Critical Vulnerabilities</w:t>
      </w:r>
    </w:p>
    <w:p>
      <w:pPr>
        <w:pStyle w:val="ListBullet"/>
      </w:pPr>
      <w:r>
        <w:t>**Cash Flow Risk**: Complete payment collection failure in recent months</w:t>
      </w:r>
    </w:p>
    <w:p>
      <w:pPr>
        <w:pStyle w:val="ListBullet"/>
      </w:pPr>
      <w:r>
        <w:t>**Client Concentration**: Over-reliance on limited client relationships</w:t>
      </w:r>
    </w:p>
    <w:p>
      <w:pPr>
        <w:pStyle w:val="ListBullet"/>
      </w:pPr>
      <w:r>
        <w:t>**Operational Consistency**: Inability to maintain steady revenue streams</w:t>
      </w:r>
    </w:p>
    <w:p>
      <w:pPr>
        <w:pStyle w:val="Heading2"/>
      </w:pPr>
      <w:r>
        <w:t>Strategic Recommendations</w:t>
      </w:r>
    </w:p>
    <w:p>
      <w:pPr>
        <w:pStyle w:val="Heading3"/>
      </w:pPr>
      <w:r>
        <w:t>Immediate Actions (0-30 Days)</w:t>
      </w:r>
    </w:p>
    <w:p>
      <w:r>
        <w:t>1. **Payment Collection Overhaul**</w:t>
      </w:r>
    </w:p>
    <w:p>
      <w:pPr>
        <w:pStyle w:val="ListBullet"/>
      </w:pPr>
      <w:r>
        <w:t>Implement aggressive accounts receivable recovery program</w:t>
      </w:r>
    </w:p>
    <w:p>
      <w:pPr>
        <w:pStyle w:val="ListBullet"/>
      </w:pPr>
      <w:r>
        <w:t>Establish dedicated collection team with escalation protocols</w:t>
      </w:r>
    </w:p>
    <w:p>
      <w:pPr>
        <w:pStyle w:val="ListBullet"/>
      </w:pPr>
      <w:r>
        <w:t>Review and strengthen payment terms and enforcement</w:t>
      </w:r>
    </w:p>
    <w:p>
      <w:r>
        <w:t>2. **Client Relationship Intervention**</w:t>
      </w:r>
    </w:p>
    <w:p>
      <w:pPr>
        <w:pStyle w:val="ListBullet"/>
      </w:pPr>
      <w:r>
        <w:t>Conduct emergency client satisfaction assessments</w:t>
      </w:r>
    </w:p>
    <w:p>
      <w:pPr>
        <w:pStyle w:val="ListBullet"/>
      </w:pPr>
      <w:r>
        <w:t>Address potential service delivery or quality issues</w:t>
      </w:r>
    </w:p>
    <w:p>
      <w:pPr>
        <w:pStyle w:val="ListBullet"/>
      </w:pPr>
      <w:r>
        <w:t>Implement structured client retention program</w:t>
      </w:r>
    </w:p>
    <w:p>
      <w:pPr>
        <w:pStyle w:val="Heading3"/>
      </w:pPr>
      <w:r>
        <w:t>Medium-Term Initiatives (30-90 Days)</w:t>
      </w:r>
    </w:p>
    <w:p>
      <w:r>
        <w:t>3. **Revenue Diversification**</w:t>
      </w:r>
    </w:p>
    <w:p>
      <w:pPr>
        <w:pStyle w:val="ListBullet"/>
      </w:pPr>
      <w:r>
        <w:t>Develop new client acquisition strategy to reduce concentration risk</w:t>
      </w:r>
    </w:p>
    <w:p>
      <w:pPr>
        <w:pStyle w:val="ListBullet"/>
      </w:pPr>
      <w:r>
        <w:t>Implement targeted marketing campaigns for untapped market segments</w:t>
      </w:r>
    </w:p>
    <w:p>
      <w:pPr>
        <w:pStyle w:val="ListBullet"/>
      </w:pPr>
      <w:r>
        <w:t>Establish recurring revenue models for stability</w:t>
      </w:r>
    </w:p>
    <w:p>
      <w:r>
        <w:t>4. **Process Optimization**</w:t>
      </w:r>
    </w:p>
    <w:p>
      <w:pPr>
        <w:pStyle w:val="ListBullet"/>
      </w:pPr>
      <w:r>
        <w:t>Automate payment reminder and follow-up systems</w:t>
      </w:r>
    </w:p>
    <w:p>
      <w:pPr>
        <w:pStyle w:val="ListBullet"/>
      </w:pPr>
      <w:r>
        <w:t>Implement real-time payment tracking and reporting</w:t>
      </w:r>
    </w:p>
    <w:p>
      <w:pPr>
        <w:pStyle w:val="ListBullet"/>
      </w:pPr>
      <w:r>
        <w:t>Enhance invoice-to-cash cycle management</w:t>
      </w:r>
    </w:p>
    <w:p>
      <w:pPr>
        <w:pStyle w:val="Heading3"/>
      </w:pPr>
      <w:r>
        <w:t>Long-Term Strategic Shifts (90-180 Days)</w:t>
      </w:r>
    </w:p>
    <w:p>
      <w:r>
        <w:t>5. **Business Model Reinforcement**</w:t>
      </w:r>
    </w:p>
    <w:p>
      <w:pPr>
        <w:pStyle w:val="ListBullet"/>
      </w:pPr>
      <w:r>
        <w:t>Develop comprehensive customer success framework</w:t>
      </w:r>
    </w:p>
    <w:p>
      <w:pPr>
        <w:pStyle w:val="ListBullet"/>
      </w:pPr>
      <w:r>
        <w:t>Implement predictive analytics for payment risk assessment</w:t>
      </w:r>
    </w:p>
    <w:p>
      <w:pPr>
        <w:pStyle w:val="ListBullet"/>
      </w:pPr>
      <w:r>
        <w:t>Establish strategic partnerships for market expansion</w:t>
      </w:r>
    </w:p>
    <w:p>
      <w:r>
        <w:t>6. **Financial Health Monitoring**</w:t>
      </w:r>
    </w:p>
    <w:p>
      <w:pPr>
        <w:pStyle w:val="ListBullet"/>
      </w:pPr>
      <w:r>
        <w:t>Create early warning system for payment delays</w:t>
      </w:r>
    </w:p>
    <w:p>
      <w:pPr>
        <w:pStyle w:val="ListBullet"/>
      </w:pPr>
      <w:r>
        <w:t>Implement regular cash flow forecasting</w:t>
      </w:r>
    </w:p>
    <w:p>
      <w:pPr>
        <w:pStyle w:val="ListBullet"/>
      </w:pPr>
      <w:r>
        <w:t>Establish performance benchmarks and KPIs</w:t>
      </w:r>
    </w:p>
    <w:p>
      <w:pPr>
        <w:pStyle w:val="Heading2"/>
      </w:pPr>
      <w:r>
        <w:t>Risk Assessment</w:t>
      </w:r>
    </w:p>
    <w:p>
      <w:pPr>
        <w:pStyle w:val="ListBullet"/>
      </w:pPr>
      <w:r>
        <w:t>**High Risk**: Current payment collection failure threatens business viability</w:t>
      </w:r>
    </w:p>
    <w:p>
      <w:pPr>
        <w:pStyle w:val="ListBullet"/>
      </w:pPr>
      <w:r>
        <w:t>**Medium Risk**: Client concentration creates vulnerability to market shifts</w:t>
      </w:r>
    </w:p>
    <w:p>
      <w:pPr>
        <w:pStyle w:val="ListBullet"/>
      </w:pPr>
      <w:r>
        <w:t>**Opportunity**: Strong operational foundation provides platform for rapid recovery</w:t>
      </w:r>
    </w:p>
    <w:p>
      <w:pPr>
        <w:pStyle w:val="Heading2"/>
      </w:pPr>
      <w:r>
        <w:t>Conclusion</w:t>
      </w:r>
    </w:p>
    <w:p>
      <w:r>
        <w:t>The business demonstrates strong sales generation capability but faces existential threats from payment collection failures. Immediate intervention in accounts receivable management is critical, followed by strategic diversification and process improvements. The foundation exists for significant growth once collection challenges are resolved, positioning the company for sustainable success with proper operational adjustments.</w:t>
      </w:r>
    </w:p>
    <w:p>
      <w:r>
        <w:t>**Priority Recommendation**: Focus all resources on resolving the payment collection crisis as the single most critical business imperative.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