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&amp; Marketing Analysis</w:t>
      </w:r>
    </w:p>
    <w:p>
      <w:r>
        <w:t>Generated on: 2025-11-12 06:36:31</w:t>
      </w:r>
    </w:p>
    <w:p>
      <w:r>
        <w:t>Session ID: b109f101</w:t>
      </w:r>
    </w:p>
    <w:p>
      <w:r>
        <w:t>Template: Sales &amp; Marketing Analysis</w:t>
      </w:r>
    </w:p>
    <w:p/>
    <w:p>
      <w:pPr>
        <w:pStyle w:val="Heading2"/>
      </w:pPr>
      <w:r>
        <w:t>Question:</w:t>
      </w:r>
    </w:p>
    <w:p>
      <w:r>
        <w:t>[DataReports - SalesMarketing] give me report for from August - September 2025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Executive Performance Report: Sales &amp; Marketing Synergy Analysis</w:t>
      </w:r>
    </w:p>
    <w:p>
      <w:r>
        <w:t>**Period:** August–September 2025</w:t>
      </w:r>
    </w:p>
    <w:p>
      <w:r>
        <w:t>---</w:t>
      </w:r>
    </w:p>
    <w:p>
      <w:pPr>
        <w:pStyle w:val="Heading2"/>
      </w:pPr>
      <w:r>
        <w:t>1. Cross-Channel Performance Evaluation</w:t>
      </w:r>
    </w:p>
    <w:p>
      <w:pPr>
        <w:pStyle w:val="Heading3"/>
      </w:pPr>
      <w:r>
        <w:t>Sales Performance Highlights</w:t>
      </w:r>
    </w:p>
    <w:p>
      <w:pPr>
        <w:pStyle w:val="ListBullet"/>
      </w:pPr>
      <w:r>
        <w:t>**August 2025**: Total sales of **282.9M** across **93 invoices**</w:t>
      </w:r>
    </w:p>
    <w:p>
      <w:pPr>
        <w:pStyle w:val="ListBullet"/>
      </w:pPr>
      <w:r>
        <w:t>**September 2025**: Total sales of **307.1M** across **90 invoices**</w:t>
      </w:r>
    </w:p>
    <w:p>
      <w:pPr>
        <w:pStyle w:val="ListBullet"/>
      </w:pPr>
      <w:r>
        <w:t>**Month-over-Month Growth**: +8.5% in revenue despite 3 fewer invoices</w:t>
      </w:r>
    </w:p>
    <w:p>
      <w:pPr>
        <w:pStyle w:val="Heading3"/>
      </w:pPr>
      <w:r>
        <w:t>Key Insights</w:t>
      </w:r>
    </w:p>
    <w:p>
      <w:pPr>
        <w:pStyle w:val="ListBullet"/>
      </w:pPr>
      <w:r>
        <w:t>**Higher Average Order Value (AOV)**: September's AOV increased to **3.41M** (from August's 3.04M), indicating improved sales efficiency</w:t>
      </w:r>
    </w:p>
    <w:p>
      <w:pPr>
        <w:pStyle w:val="ListBullet"/>
      </w:pPr>
      <w:r>
        <w:t>**Invoice Efficiency**: 3.3% fewer invoices generated 8.5% more revenue, suggesting better qualification or upselling effectiveness</w:t>
      </w:r>
    </w:p>
    <w:p>
      <w:r>
        <w:t>---</w:t>
      </w:r>
    </w:p>
    <w:p>
      <w:pPr>
        <w:pStyle w:val="Heading2"/>
      </w:pPr>
      <w:r>
        <w:t>2. Customer Lifecycle Analysis</w:t>
      </w:r>
    </w:p>
    <w:p>
      <w:pPr>
        <w:pStyle w:val="Heading3"/>
      </w:pPr>
      <w:r>
        <w:t>Transaction Patterns</w:t>
      </w:r>
    </w:p>
    <w:p>
      <w:pPr>
        <w:pStyle w:val="ListBullet"/>
      </w:pPr>
      <w:r>
        <w:t>**Stable Customer Base**: Consistent invoice volume (90-93) indicates mature customer relationships</w:t>
      </w:r>
    </w:p>
    <w:p>
      <w:pPr>
        <w:pStyle w:val="ListBullet"/>
      </w:pPr>
      <w:r>
        <w:t>**Revenue per Transaction Growth**: 12% increase in average transaction value suggests successful customer maturation or premium product adoption</w:t>
      </w:r>
    </w:p>
    <w:p>
      <w:pPr>
        <w:pStyle w:val="Heading3"/>
      </w:pPr>
      <w:r>
        <w:t>Lifecycle Implications</w:t>
      </w:r>
    </w:p>
    <w:p>
      <w:pPr>
        <w:pStyle w:val="ListBullet"/>
      </w:pPr>
      <w:r>
        <w:t>**Retention Focus**: Minimal customer churn evidenced by stable invoice counts</w:t>
      </w:r>
    </w:p>
    <w:p>
      <w:pPr>
        <w:pStyle w:val="ListBullet"/>
      </w:pPr>
      <w:r>
        <w:t>**Upsell Success**: Higher AOV indicates effective cross-selling/up-selling within existing accounts</w:t>
      </w:r>
    </w:p>
    <w:p>
      <w:r>
        <w:t>---</w:t>
      </w:r>
    </w:p>
    <w:p>
      <w:pPr>
        <w:pStyle w:val="Heading2"/>
      </w:pPr>
      <w:r>
        <w:t>3. Competitive Advantage Assessment</w:t>
      </w:r>
    </w:p>
    <w:p>
      <w:pPr>
        <w:pStyle w:val="Heading3"/>
      </w:pPr>
      <w:r>
        <w:t>Market Position Indicators</w:t>
      </w:r>
    </w:p>
    <w:p>
      <w:pPr>
        <w:pStyle w:val="ListBullet"/>
      </w:pPr>
      <w:r>
        <w:t>**Scalable Operations**: Ability to grow revenue without proportional increase in transaction volume demonstrates operational efficiency</w:t>
      </w:r>
    </w:p>
    <w:p>
      <w:pPr>
        <w:pStyle w:val="ListBullet"/>
      </w:pPr>
      <w:r>
        <w:t>**Pricing Power**: Significant AOV increase suggests strong value proposition and potential pricing advantages</w:t>
      </w:r>
    </w:p>
    <w:p>
      <w:pPr>
        <w:pStyle w:val="ListBullet"/>
      </w:pPr>
      <w:r>
        <w:t>**Customer Loyalty**: Consistent transaction patterns indicate sticky customer relationships and potential switching costs</w:t>
      </w:r>
    </w:p>
    <w:p>
      <w:pPr>
        <w:pStyle w:val="Heading3"/>
      </w:pPr>
      <w:r>
        <w:t>Strategic Strengths</w:t>
      </w:r>
    </w:p>
    <w:p>
      <w:pPr>
        <w:pStyle w:val="ListBullet"/>
      </w:pPr>
      <w:r>
        <w:t>**Revenue Quality**: Moving toward fewer, higher-value transactions reduces operational overhead</w:t>
      </w:r>
    </w:p>
    <w:p>
      <w:pPr>
        <w:pStyle w:val="ListBullet"/>
      </w:pPr>
      <w:r>
        <w:t>**Growth Sustainability**: 8.5% monthly growth rate demonstrates healthy business momentum</w:t>
      </w:r>
    </w:p>
    <w:p>
      <w:r>
        <w:t>---</w:t>
      </w:r>
    </w:p>
    <w:p>
      <w:pPr>
        <w:pStyle w:val="Heading2"/>
      </w:pPr>
      <w:r>
        <w:t>4. Growth Strategy Recommendations</w:t>
      </w:r>
    </w:p>
    <w:p>
      <w:pPr>
        <w:pStyle w:val="Heading3"/>
      </w:pPr>
      <w:r>
        <w:t>Immediate Actions (Next 30-60 Days)</w:t>
      </w:r>
    </w:p>
    <w:p>
      <w:r>
        <w:t>1. **Double Down on High-Value Customers**</w:t>
      </w:r>
    </w:p>
    <w:p>
      <w:pPr>
        <w:pStyle w:val="ListBullet"/>
      </w:pPr>
      <w:r>
        <w:t>Identify drivers behind September's AOV increase and replicate across customer segments</w:t>
      </w:r>
    </w:p>
    <w:p>
      <w:pPr>
        <w:pStyle w:val="ListBullet"/>
      </w:pPr>
      <w:r>
        <w:t>Develop targeted upsell campaigns for August's customer base</w:t>
      </w:r>
    </w:p>
    <w:p>
      <w:r>
        <w:t>2. **Optimize Marketing-Sales Alignment**</w:t>
      </w:r>
    </w:p>
    <w:p>
      <w:pPr>
        <w:pStyle w:val="ListBullet"/>
      </w:pPr>
      <w:r>
        <w:t>Focus lead generation on prospects matching September's high-value customer profile</w:t>
      </w:r>
    </w:p>
    <w:p>
      <w:pPr>
        <w:pStyle w:val="ListBullet"/>
      </w:pPr>
      <w:r>
        <w:t>Implement account-based marketing for existing customers showing growth potential</w:t>
      </w:r>
    </w:p>
    <w:p>
      <w:pPr>
        <w:pStyle w:val="Heading3"/>
      </w:pPr>
      <w:r>
        <w:t>Medium-Term Initiatives (3-6 Months)</w:t>
      </w:r>
    </w:p>
    <w:p>
      <w:r>
        <w:t>3. **Customer Tiering Strategy**</w:t>
      </w:r>
    </w:p>
    <w:p>
      <w:pPr>
        <w:pStyle w:val="ListBullet"/>
      </w:pPr>
      <w:r>
        <w:t>Segment customers by potential value based on August-September performance patterns</w:t>
      </w:r>
    </w:p>
    <w:p>
      <w:pPr>
        <w:pStyle w:val="ListBullet"/>
      </w:pPr>
      <w:r>
        <w:t>Develop differentiated service models for high-value segments</w:t>
      </w:r>
    </w:p>
    <w:p>
      <w:r>
        <w:t>4. **Channel Optimization**</w:t>
      </w:r>
    </w:p>
    <w:p>
      <w:pPr>
        <w:pStyle w:val="ListBullet"/>
      </w:pPr>
      <w:r>
        <w:t>Analyze which marketing channels drive highest-value customers</w:t>
      </w:r>
    </w:p>
    <w:p>
      <w:pPr>
        <w:pStyle w:val="ListBullet"/>
      </w:pPr>
      <w:r>
        <w:t>Reallocate resources to channels demonstrating strongest ROI</w:t>
      </w:r>
    </w:p>
    <w:p>
      <w:pPr>
        <w:pStyle w:val="Heading3"/>
      </w:pPr>
      <w:r>
        <w:t>Long-Term Strategic Plays (6-12 Months)</w:t>
      </w:r>
    </w:p>
    <w:p>
      <w:r>
        <w:t>5. **Product-Market Fit Expansion**</w:t>
      </w:r>
    </w:p>
    <w:p>
      <w:pPr>
        <w:pStyle w:val="ListBullet"/>
      </w:pPr>
      <w:r>
        <w:t>Leverage successful upselling patterns to inform product development</w:t>
      </w:r>
    </w:p>
    <w:p>
      <w:pPr>
        <w:pStyle w:val="ListBullet"/>
      </w:pPr>
      <w:r>
        <w:t>Explore adjacent markets where current competitive advantages translate</w:t>
      </w:r>
    </w:p>
    <w:p>
      <w:r>
        <w:t>6. **Scalable Growth Engine**</w:t>
      </w:r>
    </w:p>
    <w:p>
      <w:pPr>
        <w:pStyle w:val="ListBullet"/>
      </w:pPr>
      <w:r>
        <w:t>Systematize the September success formula into repeatable processes</w:t>
      </w:r>
    </w:p>
    <w:p>
      <w:pPr>
        <w:pStyle w:val="ListBullet"/>
      </w:pPr>
      <w:r>
        <w:t>Develop predictive models to identify high-potential accounts earlier</w:t>
      </w:r>
    </w:p>
    <w:p>
      <w:r>
        <w:t>---</w:t>
      </w:r>
    </w:p>
    <w:p>
      <w:pPr>
        <w:pStyle w:val="Heading2"/>
      </w:pPr>
      <w:r>
        <w:t>5. Risk Mitigation &amp; Monitoring</w:t>
      </w:r>
    </w:p>
    <w:p>
      <w:pPr>
        <w:pStyle w:val="Heading3"/>
      </w:pPr>
      <w:r>
        <w:t>Key Performance Indicators to Watch</w:t>
      </w:r>
    </w:p>
    <w:p>
      <w:pPr>
        <w:pStyle w:val="ListBullet"/>
      </w:pPr>
      <w:r>
        <w:t>**AOV Trend**: Maintain above 3.2M monthly average</w:t>
      </w:r>
    </w:p>
    <w:p>
      <w:pPr>
        <w:pStyle w:val="ListBullet"/>
      </w:pPr>
      <w:r>
        <w:t>**Invoice Volume**: Ensure doesn't drop below 85 while growing revenue</w:t>
      </w:r>
    </w:p>
    <w:p>
      <w:pPr>
        <w:pStyle w:val="ListBullet"/>
      </w:pPr>
      <w:r>
        <w:t>**Customer Concentration**: Monitor if growth becomes dependent on few large accounts</w:t>
      </w:r>
    </w:p>
    <w:p>
      <w:pPr>
        <w:pStyle w:val="Heading3"/>
      </w:pPr>
      <w:r>
        <w:t>Potential Challenges</w:t>
      </w:r>
    </w:p>
    <w:p>
      <w:pPr>
        <w:pStyle w:val="ListBullet"/>
      </w:pPr>
      <w:r>
        <w:t>**Growth Sustainability**: Current growth rate may be challenging to maintain</w:t>
      </w:r>
    </w:p>
    <w:p>
      <w:pPr>
        <w:pStyle w:val="ListBullet"/>
      </w:pPr>
      <w:r>
        <w:t>**Market Saturation**: Need to expand customer base while maintaining AOV gains</w:t>
      </w:r>
    </w:p>
    <w:p>
      <w:r>
        <w:t>---</w:t>
      </w:r>
    </w:p>
    <w:p>
      <w:r>
        <w:t>**Conclusion**: The August-September period demonstrates strong sales-marketing synergy with impressive revenue growth and operational efficiency gains. The focus should now shift to institutionalizing these successes while expanding the customer base to ensure sustainable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