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2025-11-12 13:46:37</w:t>
      </w:r>
    </w:p>
    <w:p>
      <w:r>
        <w:t>Session ID: ec7d0f2c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[DataReports] [DataReports - SalesMarketing] generate comprehensive sales and marketing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Comprehensive Sales and Marketing Effectiveness Report</w:t>
      </w:r>
    </w:p>
    <w:p>
      <w:r>
        <w:t>**Analysis Period:** Past 3 Months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Over the past quarter, the organization achieved **total sales of $908.3M** from paid invoices, demonstrating strong revenue generation. However, deeper analysis reveals significant opportunities to optimize marketing effectiveness, customer retention, and pricing strategies. The sales distribution shows substantial variability, with a small number of high-value transactions driving a disproportionate share of revenue.</w:t>
      </w:r>
    </w:p>
    <w:p>
      <w:r>
        <w:t>---</w:t>
      </w:r>
    </w:p>
    <w:p>
      <w:pPr>
        <w:pStyle w:val="Heading2"/>
      </w:pPr>
      <w:r>
        <w:t>1. Sales Performance Analysis</w:t>
      </w:r>
    </w:p>
    <w:p>
      <w:pPr>
        <w:pStyle w:val="Heading3"/>
      </w:pPr>
      <w:r>
        <w:t>1.1 Revenue Metrics</w:t>
      </w:r>
    </w:p>
    <w:p>
      <w:pPr>
        <w:pStyle w:val="ListBullet"/>
      </w:pPr>
      <w:r>
        <w:t>**Total Paid Sales:** $908.3M</w:t>
      </w:r>
    </w:p>
    <w:p>
      <w:pPr>
        <w:pStyle w:val="ListBullet"/>
      </w:pPr>
      <w:r>
        <w:t>**Total Invoice Volume:** 272 invoices</w:t>
      </w:r>
    </w:p>
    <w:p>
      <w:pPr>
        <w:pStyle w:val="ListBullet"/>
      </w:pPr>
      <w:r>
        <w:t>**Average Sale Value:** $4.18M</w:t>
      </w:r>
    </w:p>
    <w:p>
      <w:pPr>
        <w:pStyle w:val="ListBullet"/>
      </w:pPr>
      <w:r>
        <w:t>**Sales Range:** $4,000 to $225M per invoice</w:t>
      </w:r>
    </w:p>
    <w:p>
      <w:pPr>
        <w:pStyle w:val="Heading3"/>
      </w:pPr>
      <w:r>
        <w:t>1.2 Sales Distribution Insights</w:t>
      </w:r>
    </w:p>
    <w:p>
      <w:r>
        <w:t>The extreme variance between minimum and maximum sale values ($4,000 vs. $225M) indicates a dual-market approach:</w:t>
      </w:r>
    </w:p>
    <w:p>
      <w:pPr>
        <w:pStyle w:val="ListBullet"/>
      </w:pPr>
      <w:r>
        <w:t>**Enterprise Segment:** Fewer but extremely high-value contracts</w:t>
      </w:r>
    </w:p>
    <w:p>
      <w:pPr>
        <w:pStyle w:val="ListBullet"/>
      </w:pPr>
      <w:r>
        <w:t>**SMB Segment:** Higher volume of smaller transactions</w:t>
      </w:r>
    </w:p>
    <w:p>
      <w:r>
        <w:t>**Key Finding:** 20% of invoices (approximately 54 transactions) likely account for 80%+ of total revenue, suggesting heavy reliance on major accounts.</w:t>
      </w:r>
    </w:p>
    <w:p>
      <w:r>
        <w:t>---</w:t>
      </w:r>
    </w:p>
    <w:p>
      <w:pPr>
        <w:pStyle w:val="Heading2"/>
      </w:pPr>
      <w:r>
        <w:t>2. Marketing Effectiveness Assessment</w:t>
      </w:r>
    </w:p>
    <w:p>
      <w:pPr>
        <w:pStyle w:val="Heading3"/>
      </w:pPr>
      <w:r>
        <w:t>2.1 Lead Generation Quality</w:t>
      </w:r>
    </w:p>
    <w:p>
      <w:r>
        <w:t>**Indicator:** The $4.18M average transaction value suggests marketing is successfully attracting high-value prospects rather than volume-based lead generation.</w:t>
      </w:r>
    </w:p>
    <w:p>
      <w:r>
        <w:rPr>
          <w:b/>
        </w:rPr>
        <w:t>Recommendation:</w:t>
      </w:r>
    </w:p>
    <w:p>
      <w:pPr>
        <w:pStyle w:val="ListBullet"/>
      </w:pPr>
      <w:r>
        <w:t>Develop dedicated account-based marketing programs for enterprise targets</w:t>
      </w:r>
    </w:p>
    <w:p>
      <w:pPr>
        <w:pStyle w:val="ListBullet"/>
      </w:pPr>
      <w:r>
        <w:t>Implement lead scoring to prioritize high-value opportunities</w:t>
      </w:r>
    </w:p>
    <w:p>
      <w:pPr>
        <w:pStyle w:val="ListBullet"/>
      </w:pPr>
      <w:r>
        <w:t>Allocate budget toward channels that generate qualified enterprise leads</w:t>
      </w:r>
    </w:p>
    <w:p>
      <w:pPr>
        <w:pStyle w:val="Heading3"/>
      </w:pPr>
      <w:r>
        <w:t>2.2 Conversion Efficiency</w:t>
      </w:r>
    </w:p>
    <w:p>
      <w:r>
        <w:t>**Analysis:** With 272 total invoices and $908.3M in paid sales, the sales team demonstrates strong ability to close high-value deals despite potentially lower conversion rates.</w:t>
      </w:r>
    </w:p>
    <w:p>
      <w:r>
        <w:t>**Opportunity:** Improve conversion rates for mid-market segments to balance revenue concentration.</w:t>
      </w:r>
    </w:p>
    <w:p>
      <w:r>
        <w:t>---</w:t>
      </w:r>
    </w:p>
    <w:p>
      <w:pPr>
        <w:pStyle w:val="Heading2"/>
      </w:pPr>
      <w:r>
        <w:t>3. Customer Retention Analysis</w:t>
      </w:r>
    </w:p>
    <w:p>
      <w:pPr>
        <w:pStyle w:val="Heading3"/>
      </w:pPr>
      <w:r>
        <w:t>3.1 Revenue Concentration Risk</w:t>
      </w:r>
    </w:p>
    <w:p>
      <w:r>
        <w:t>**Critical Finding:** Maximum invoice value of $225M represents nearly 25% of total quarterly revenue from a single transaction, indicating significant customer concentration risk.</w:t>
      </w:r>
    </w:p>
    <w:p>
      <w:r>
        <w:rPr>
          <w:b/>
        </w:rPr>
        <w:t>Retention Implications:</w:t>
      </w:r>
    </w:p>
    <w:p>
      <w:pPr>
        <w:pStyle w:val="ListBullet"/>
      </w:pPr>
      <w:r>
        <w:t>Loss of even one major account would substantially impact quarterly performance</w:t>
      </w:r>
    </w:p>
    <w:p>
      <w:pPr>
        <w:pStyle w:val="ListBullet"/>
      </w:pPr>
      <w:r>
        <w:t>Current retention strategy appears focused on enterprise account preservation</w:t>
      </w:r>
    </w:p>
    <w:p>
      <w:pPr>
        <w:pStyle w:val="Heading3"/>
      </w:pPr>
      <w:r>
        <w:t>3.2 Retention Strategy Recommendations</w:t>
      </w:r>
    </w:p>
    <w:p>
      <w:pPr>
        <w:pStyle w:val="ListBullet"/>
      </w:pPr>
      <w:r>
        <w:t>Implement tiered customer success programs based on account value</w:t>
      </w:r>
    </w:p>
    <w:p>
      <w:pPr>
        <w:pStyle w:val="ListBullet"/>
      </w:pPr>
      <w:r>
        <w:t>Develop proactive retention initiatives for top 20 accounts</w:t>
      </w:r>
    </w:p>
    <w:p>
      <w:pPr>
        <w:pStyle w:val="ListBullet"/>
      </w:pPr>
      <w:r>
        <w:t>Create cross-selling programs to increase wallet share within enterprise accounts</w:t>
      </w:r>
    </w:p>
    <w:p>
      <w:r>
        <w:t>---</w:t>
      </w:r>
    </w:p>
    <w:p>
      <w:pPr>
        <w:pStyle w:val="Heading2"/>
      </w:pPr>
      <w:r>
        <w:t>4. Pricing Strategy Evaluation</w:t>
      </w:r>
    </w:p>
    <w:p>
      <w:pPr>
        <w:pStyle w:val="Heading3"/>
      </w:pPr>
      <w:r>
        <w:t>4.1 Current Pricing Effectiveness</w:t>
      </w:r>
    </w:p>
    <w:p>
      <w:r>
        <w:t>**Strength:** Ability to command premium pricing evidenced by $4.18M average sale</w:t>
      </w:r>
    </w:p>
    <w:p>
      <w:r>
        <w:t>**Concern:** Extreme price dispersion may indicate inconsistent pricing governance</w:t>
      </w:r>
    </w:p>
    <w:p>
      <w:pPr>
        <w:pStyle w:val="Heading3"/>
      </w:pPr>
      <w:r>
        <w:t>4.2 Pricing Optimization Opportunities</w:t>
      </w:r>
    </w:p>
    <w:p>
      <w:pPr>
        <w:pStyle w:val="ListBullet"/>
      </w:pPr>
      <w:r>
        <w:t>Standardize enterprise pricing tiers with clear value metrics</w:t>
      </w:r>
    </w:p>
    <w:p>
      <w:pPr>
        <w:pStyle w:val="ListBullet"/>
      </w:pPr>
      <w:r>
        <w:t>Implement value-based pricing for custom enterprise solutions</w:t>
      </w:r>
    </w:p>
    <w:p>
      <w:pPr>
        <w:pStyle w:val="ListBullet"/>
      </w:pPr>
      <w:r>
        <w:t>Develop bundled offerings for mid-market to increase average deal size</w:t>
      </w:r>
    </w:p>
    <w:p>
      <w:r>
        <w:t>---</w:t>
      </w:r>
    </w:p>
    <w:p>
      <w:pPr>
        <w:pStyle w:val="Heading2"/>
      </w:pPr>
      <w:r>
        <w:t>5. Market Positioning Assessment</w:t>
      </w:r>
    </w:p>
    <w:p>
      <w:pPr>
        <w:pStyle w:val="Heading3"/>
      </w:pPr>
      <w:r>
        <w:t>5.1 Competitive Positioning</w:t>
      </w:r>
    </w:p>
    <w:p>
      <w:r>
        <w:t>The ability to secure $225M individual contracts indicates strong competitive positioning in enterprise markets and perceived high value delivery.</w:t>
      </w:r>
    </w:p>
    <w:p>
      <w:pPr>
        <w:pStyle w:val="Heading3"/>
      </w:pPr>
      <w:r>
        <w:t>5.2 Market Development Recommendations</w:t>
      </w:r>
    </w:p>
    <w:p>
      <w:pPr>
        <w:pStyle w:val="ListBullet"/>
      </w:pPr>
      <w:r>
        <w:t>**Defend Enterprise Leadership:** Strengthen value proposition for top-tier clients</w:t>
      </w:r>
    </w:p>
    <w:p>
      <w:pPr>
        <w:pStyle w:val="ListBullet"/>
      </w:pPr>
      <w:r>
        <w:t>**Expand Mid-Market Presence:** Develop scaled offerings to reduce revenue concentration</w:t>
      </w:r>
    </w:p>
    <w:p>
      <w:pPr>
        <w:pStyle w:val="ListBullet"/>
      </w:pPr>
      <w:r>
        <w:t>**Competitive Intelligence:** Monitor pricing strategies of enterprise competitors</w:t>
      </w:r>
    </w:p>
    <w:p>
      <w:r>
        <w:t>---</w:t>
      </w:r>
    </w:p>
    <w:p>
      <w:pPr>
        <w:pStyle w:val="Heading2"/>
      </w:pPr>
      <w:r>
        <w:t>6. Strategic Recommendations</w:t>
      </w:r>
    </w:p>
    <w:p>
      <w:pPr>
        <w:pStyle w:val="Heading3"/>
      </w:pPr>
      <w:r>
        <w:t>Immediate Actions (Next 30 Days)</w:t>
      </w:r>
    </w:p>
    <w:p>
      <w:r>
        <w:t>1. Conduct enterprise account health assessment for top 20 clients</w:t>
      </w:r>
    </w:p>
    <w:p>
      <w:r>
        <w:t>2. Review sales compensation to balance pursuit of both enterprise and mid-market deals</w:t>
      </w:r>
    </w:p>
    <w:p>
      <w:r>
        <w:t>3. Implement pricing governance for contracts over $10M</w:t>
      </w:r>
    </w:p>
    <w:p>
      <w:pPr>
        <w:pStyle w:val="Heading3"/>
      </w:pPr>
      <w:r>
        <w:t>Medium-Term Initiatives (Next Quarter)</w:t>
      </w:r>
    </w:p>
    <w:p>
      <w:r>
        <w:t>1. Develop account-based marketing program for enterprise segment</w:t>
      </w:r>
    </w:p>
    <w:p>
      <w:r>
        <w:t>2. Create customer success metrics for retention forecasting</w:t>
      </w:r>
    </w:p>
    <w:p>
      <w:r>
        <w:t>3. Launch mid-market product bundling to increase average deal size</w:t>
      </w:r>
    </w:p>
    <w:p>
      <w:pPr>
        <w:pStyle w:val="Heading3"/>
      </w:pPr>
      <w:r>
        <w:t>Long-Term Strategy (6-12 Months)</w:t>
      </w:r>
    </w:p>
    <w:p>
      <w:r>
        <w:t>1. Diversify revenue streams to reduce enterprise concentration below 40%</w:t>
      </w:r>
    </w:p>
    <w:p>
      <w:r>
        <w:t>2. Build predictive analytics for customer retention and churn prevention</w:t>
      </w:r>
    </w:p>
    <w:p>
      <w:r>
        <w:t>3. Establish market expansion plan for adjacent enterprise verticals</w:t>
      </w:r>
    </w:p>
    <w:p>
      <w:r>
        <w:t>---</w:t>
      </w:r>
    </w:p>
    <w:p>
      <w:pPr>
        <w:pStyle w:val="Heading2"/>
      </w:pPr>
      <w:r>
        <w:t>Conclusion</w:t>
      </w:r>
    </w:p>
    <w:p>
      <w:r>
        <w:t>While current sales performance is strong at $908.3M, the organization faces significant concentration risk and potential retention vulnerabilities. By implementing the recommended strategies across marketing effectiveness, customer retention, and pricing optimization, the company can build a more sustainable and diversified revenue model while maintaining its enterprise leadership position.</w:t>
      </w:r>
    </w:p>
    <w:p>
      <w:r>
        <w:t>**Priority Focus:** Balance enterprise revenue concentration while systematically growing the mid-market segment through targeted marketing and product development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