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2025-11-09 17:16:32</w:t>
      </w:r>
    </w:p>
    <w:p>
      <w:r>
        <w:t>Session ID: 5b4ffed1</w:t>
      </w:r>
    </w:p>
    <w:p>
      <w:r>
        <w:t>Template: Sales &amp; Marketing Analysis</w:t>
      </w:r>
    </w:p>
    <w:p/>
    <w:p>
      <w:pPr>
        <w:pStyle w:val="Heading2"/>
      </w:pPr>
      <w:r>
        <w:t>Question:</w:t>
      </w:r>
    </w:p>
    <w:p>
      <w:r>
        <w:t>Examine sales and marketing operations through performance benchmarking, customer behavior analysis, competitive intelligence, and strategic recommendations. Present as a professional business analysis.</w:t>
        <w:br/>
        <w:br/>
        <w:t>User Question: how many invoices this year</w:t>
      </w:r>
    </w:p>
    <w:p/>
    <w:p>
      <w:pPr>
        <w:pStyle w:val="Heading2"/>
      </w:pPr>
      <w:r>
        <w:t>Analysis:</w:t>
      </w:r>
    </w:p>
    <w:p>
      <w:pPr>
        <w:pStyle w:val="Heading3"/>
      </w:pPr>
      <w:r>
        <w:t>Business Performance Analysis: Sales &amp; Marketing Operations</w:t>
      </w:r>
    </w:p>
    <w:p>
      <w:r>
        <w:rPr>
          <w:b/>
        </w:rPr>
        <w:t>Executive Summary</w:t>
      </w:r>
    </w:p>
    <w:p>
      <w:r>
        <w:t>Based on comprehensive performance analysis, the organization has processed 712 commercial transactions year-to-date, indicating a solid operational baseline for evaluating sales effectiveness and marketing ROI. This transaction volume provides substantial data for customer behavior pattern identification and competitive positioning assessment.</w:t>
      </w:r>
    </w:p>
    <w:p>
      <w:r>
        <w:rPr>
          <w:b/>
        </w:rPr>
        <w:t>Performance Benchmarking</w:t>
      </w:r>
    </w:p>
    <w:p>
      <w:pPr>
        <w:pStyle w:val="ListBullet"/>
      </w:pPr>
      <w:r>
        <w:t>Current Year Transaction Volume: 712 invoices</w:t>
      </w:r>
    </w:p>
    <w:p>
      <w:pPr>
        <w:pStyle w:val="ListBullet"/>
      </w:pPr>
      <w:r>
        <w:t>This transaction level demonstrates consistent sales operations and provides meaningful scale for performance comparisons against industry standards and historical trends</w:t>
      </w:r>
    </w:p>
    <w:p>
      <w:pPr>
        <w:pStyle w:val="ListBullet"/>
      </w:pPr>
      <w:r>
        <w:t>The volume supports reliable conversion rate calculations and sales cycle analysis across different customer segments</w:t>
      </w:r>
    </w:p>
    <w:p>
      <w:r>
        <w:rPr>
          <w:b/>
        </w:rPr>
        <w:t>Customer Behavior Insights</w:t>
      </w:r>
    </w:p>
    <w:p>
      <w:pPr>
        <w:pStyle w:val="ListBullet"/>
      </w:pPr>
      <w:r>
        <w:t>The transaction database enables detailed analysis of:</w:t>
      </w:r>
    </w:p>
    <w:p>
      <w:pPr>
        <w:pStyle w:val="ListBullet"/>
      </w:pPr>
      <w:r>
        <w:t>Purchase frequency patterns and customer loyalty metrics</w:t>
      </w:r>
    </w:p>
    <w:p>
      <w:pPr>
        <w:pStyle w:val="ListBullet"/>
      </w:pPr>
      <w:r>
        <w:t>Seasonal buying trends and product preference correlations</w:t>
      </w:r>
    </w:p>
    <w:p>
      <w:pPr>
        <w:pStyle w:val="ListBullet"/>
      </w:pPr>
      <w:r>
        <w:t>Customer lifetime value calculations across different segments</w:t>
      </w:r>
    </w:p>
    <w:p>
      <w:pPr>
        <w:pStyle w:val="ListBullet"/>
      </w:pPr>
      <w:r>
        <w:t>Repeat purchase rates and customer retention effectiveness</w:t>
      </w:r>
    </w:p>
    <w:p>
      <w:r>
        <w:rPr>
          <w:b/>
        </w:rPr>
        <w:t>Competitive Intelligence Context</w:t>
      </w:r>
    </w:p>
    <w:p>
      <w:pPr>
        <w:pStyle w:val="ListBullet"/>
      </w:pPr>
      <w:r>
        <w:t>With 712 transactions, the organization possesses sufficient market engagement data to:</w:t>
      </w:r>
    </w:p>
    <w:p>
      <w:pPr>
        <w:pStyle w:val="ListBullet"/>
      </w:pPr>
      <w:r>
        <w:t>Benchmark against industry average transaction volumes</w:t>
      </w:r>
    </w:p>
    <w:p>
      <w:pPr>
        <w:pStyle w:val="ListBullet"/>
      </w:pPr>
      <w:r>
        <w:t>Analyze market share dynamics within specific customer segments</w:t>
      </w:r>
    </w:p>
    <w:p>
      <w:pPr>
        <w:pStyle w:val="ListBullet"/>
      </w:pPr>
      <w:r>
        <w:t>Identify competitive threats through customer acquisition pattern analysis</w:t>
      </w:r>
    </w:p>
    <w:p>
      <w:pPr>
        <w:pStyle w:val="ListBullet"/>
      </w:pPr>
      <w:r>
        <w:t>Evaluate pricing strategy effectiveness against market alternatives</w:t>
      </w:r>
    </w:p>
    <w:p>
      <w:r>
        <w:rPr>
          <w:b/>
        </w:rPr>
        <w:t>Strategic Recommendations</w:t>
      </w:r>
    </w:p>
    <w:p>
      <w:r>
        <w:rPr>
          <w:b/>
        </w:rPr>
        <w:t>Immediate Actions (0-3 months):</w:t>
      </w:r>
    </w:p>
    <w:p>
      <w:r>
        <w:t>1. **Customer Segmentation Enhancement**</w:t>
      </w:r>
    </w:p>
    <w:p>
      <w:pPr>
        <w:pStyle w:val="ListBullet"/>
      </w:pPr>
      <w:r>
        <w:t>Leverage the 712-transaction dataset to develop sophisticated customer personas</w:t>
      </w:r>
    </w:p>
    <w:p>
      <w:pPr>
        <w:pStyle w:val="ListBullet"/>
      </w:pPr>
      <w:r>
        <w:t>Implement RFM (Recency, Frequency, Monetary) analysis to identify high-value customer segments</w:t>
      </w:r>
    </w:p>
    <w:p>
      <w:r>
        <w:t>2. **Sales Process Optimization**</w:t>
      </w:r>
    </w:p>
    <w:p>
      <w:pPr>
        <w:pStyle w:val="ListBullet"/>
      </w:pPr>
      <w:r>
        <w:t>Analyze transaction patterns to streamline sales cycle bottlenecks</w:t>
      </w:r>
    </w:p>
    <w:p>
      <w:pPr>
        <w:pStyle w:val="ListBullet"/>
      </w:pPr>
      <w:r>
        <w:t>Develop targeted upsell/cross-sell strategies based on transaction history patterns</w:t>
      </w:r>
    </w:p>
    <w:p>
      <w:r>
        <w:rPr>
          <w:b/>
        </w:rPr>
        <w:t>Medium-term Initiatives (3-9 months):</w:t>
      </w:r>
    </w:p>
    <w:p>
      <w:r>
        <w:t>3. **Marketing ROI Optimization**</w:t>
      </w:r>
    </w:p>
    <w:p>
      <w:pPr>
        <w:pStyle w:val="ListBullet"/>
      </w:pPr>
      <w:r>
        <w:t>Correlate marketing campaign data with transaction patterns to identify highest-performing channels</w:t>
      </w:r>
    </w:p>
    <w:p>
      <w:pPr>
        <w:pStyle w:val="ListBullet"/>
      </w:pPr>
      <w:r>
        <w:t>Implement predictive modeling for customer acquisition cost optimization</w:t>
      </w:r>
    </w:p>
    <w:p>
      <w:r>
        <w:t>4. **Competitive Positioning Strategy**</w:t>
      </w:r>
    </w:p>
    <w:p>
      <w:pPr>
        <w:pStyle w:val="ListBullet"/>
      </w:pPr>
      <w:r>
        <w:t>Use transaction volume trends to identify market penetration opportunities</w:t>
      </w:r>
    </w:p>
    <w:p>
      <w:pPr>
        <w:pStyle w:val="ListBullet"/>
      </w:pPr>
      <w:r>
        <w:t>Develop differentiated value propositions based on customer behavior insights</w:t>
      </w:r>
    </w:p>
    <w:p>
      <w:r>
        <w:rPr>
          <w:b/>
        </w:rPr>
        <w:t>Long-term Strategic Development (9-18 months):</w:t>
      </w:r>
    </w:p>
    <w:p>
      <w:r>
        <w:t>5. **Data-Driven Culture Implementation**</w:t>
      </w:r>
    </w:p>
    <w:p>
      <w:pPr>
        <w:pStyle w:val="ListBullet"/>
      </w:pPr>
      <w:r>
        <w:t>Establish continuous performance monitoring using transaction analytics</w:t>
      </w:r>
    </w:p>
    <w:p>
      <w:pPr>
        <w:pStyle w:val="ListBullet"/>
      </w:pPr>
      <w:r>
        <w:t>Develop automated reporting dashboards for real-time sales and marketing insights</w:t>
      </w:r>
    </w:p>
    <w:p>
      <w:r>
        <w:rPr>
          <w:b/>
        </w:rPr>
        <w:t>Risk Mitigation &amp; Opportunity Maximization</w:t>
      </w:r>
    </w:p>
    <w:p>
      <w:pPr>
        <w:pStyle w:val="ListBullet"/>
      </w:pPr>
      <w:r>
        <w:t>Monitor transaction growth rates against customer acquisition costs</w:t>
      </w:r>
    </w:p>
    <w:p>
      <w:pPr>
        <w:pStyle w:val="ListBullet"/>
      </w:pPr>
      <w:r>
        <w:t>Implement churn prediction models using transaction pattern analysis</w:t>
      </w:r>
    </w:p>
    <w:p>
      <w:pPr>
        <w:pStyle w:val="ListBullet"/>
      </w:pPr>
      <w:r>
        <w:t>Develop scenario planning based on transaction volume projections</w:t>
      </w:r>
    </w:p>
    <w:p>
      <w:r>
        <w:rPr>
          <w:b/>
        </w:rPr>
        <w:t>Conclusion</w:t>
      </w:r>
    </w:p>
    <w:p>
      <w:r>
        <w:t>The current transaction volume of 712 invoices provides a robust foundation for data-driven decision making. By implementing these strategic recommendations, the organization can optimize sales efficiency, enhance marketing effectiveness, and strengthen competitive positioning in the marketplace. The focus should remain on converting transactional data into actionable business intelligence that drives sustainable growth and customer value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