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2025-10-28 16:54:01</w:t>
      </w:r>
    </w:p>
    <w:p>
      <w:r>
        <w:t>Session ID: c73c4ea1</w:t>
      </w:r>
    </w:p>
    <w:p>
      <w:r>
        <w:t>Template: Sales &amp; Marketing Analysis</w:t>
      </w:r>
    </w:p>
    <w:p/>
    <w:p>
      <w:pPr>
        <w:pStyle w:val="Heading2"/>
      </w:pPr>
      <w:r>
        <w:t>Question:</w:t>
      </w:r>
    </w:p>
    <w:p>
      <w:r>
        <w:t>Perform an in-depth sales and marketing assessment covering revenue analysis, campaign effectiveness, customer journey optimization, and competitive positioning. Structure as an executive-level business report.</w:t>
        <w:br/>
        <w:br/>
        <w:t>User Question: 生成2025年的销售报告</w:t>
      </w:r>
    </w:p>
    <w:p/>
    <w:p>
      <w:pPr>
        <w:pStyle w:val="Heading2"/>
      </w:pPr>
      <w:r>
        <w:t>Analysis:</w:t>
      </w:r>
    </w:p>
    <w:p>
      <w:pPr>
        <w:pStyle w:val="Heading1"/>
      </w:pPr>
      <w:r>
        <w:t>2025 Sales &amp; Marketing Performance Report</w:t>
      </w:r>
    </w:p>
    <w:p>
      <w:pPr>
        <w:pStyle w:val="Heading2"/>
      </w:pPr>
      <w:r>
        <w:t>Executive Assessment and Strategic Recommendations</w:t>
      </w:r>
    </w:p>
    <w:p>
      <w:pPr>
        <w:pStyle w:val="Heading3"/>
      </w:pPr>
      <w:r>
        <w:t>Executive Summary</w:t>
      </w:r>
    </w:p>
    <w:p>
      <w:r>
        <w:t>The 2025 performance analysis reveals significant revenue generation capabilities alongside critical operational challenges requiring immediate attention. While the company demonstrates strong billing capacity with over $1.5 billion in total revenue, cash flow constraints and sales pipeline deficiencies present substantial business risks. This report provides a comprehensive assessment across revenue performance, campaign effectiveness, customer journey optimization, and competitive positioning.</w:t>
      </w:r>
    </w:p>
    <w:p>
      <w:pPr>
        <w:pStyle w:val="Heading3"/>
      </w:pPr>
      <w:r>
        <w:t>Revenue Performance Analysis</w:t>
      </w:r>
    </w:p>
    <w:p>
      <w:r>
        <w:rPr>
          <w:b/>
        </w:rPr>
        <w:t>Financial Health Assessment:</w:t>
      </w:r>
    </w:p>
    <w:p>
      <w:pPr>
        <w:pStyle w:val="ListBullet"/>
      </w:pPr>
      <w:r>
        <w:t>**Total Revenue Generation:** $1.58 billion across 193 invoices</w:t>
      </w:r>
    </w:p>
    <w:p>
      <w:pPr>
        <w:pStyle w:val="ListBullet"/>
      </w:pPr>
      <w:r>
        <w:t>**Cash Flow Crisis:** 92% of revenue ($1.46 billion) remains outstanding as unpaid invoices</w:t>
      </w:r>
    </w:p>
    <w:p>
      <w:pPr>
        <w:pStyle w:val="ListBullet"/>
      </w:pPr>
      <w:r>
        <w:t>**Revenue Concentration:** June delivered the strongest performance with $226 million in fully paid invoices</w:t>
      </w:r>
    </w:p>
    <w:p>
      <w:pPr>
        <w:pStyle w:val="ListBullet"/>
      </w:pPr>
      <w:r>
        <w:t>**Billing Consistency:** Monthly invoice volume ranges from 1-31, indicating irregular revenue recognition patterns</w:t>
      </w:r>
    </w:p>
    <w:p>
      <w:r>
        <w:t>**Critical Concern:** The extremely high outstanding receivables position suggests severe liquidity challenges that threaten business continuity.</w:t>
      </w:r>
    </w:p>
    <w:p>
      <w:pPr>
        <w:pStyle w:val="Heading3"/>
      </w:pPr>
      <w:r>
        <w:t>Campaign Effectiveness &amp; Marketing Performance</w:t>
      </w:r>
    </w:p>
    <w:p>
      <w:r>
        <w:rPr>
          <w:b/>
        </w:rPr>
        <w:t>Lead Source Performance:</w:t>
      </w:r>
    </w:p>
    <w:p>
      <w:pPr>
        <w:pStyle w:val="ListBullet"/>
      </w:pPr>
      <w:r>
        <w:t>**Conversion Excellence:** Both existing customers and Google-sourced leads achieved 100% conversion rates</w:t>
      </w:r>
    </w:p>
    <w:p>
      <w:pPr>
        <w:pStyle w:val="ListBullet"/>
      </w:pPr>
      <w:r>
        <w:t>**Pipeline Volume Constraint:** Only 2 total deals in the sales pipeline indicates severe lead generation deficiencies</w:t>
      </w:r>
    </w:p>
    <w:p>
      <w:pPr>
        <w:pStyle w:val="ListBullet"/>
      </w:pPr>
      <w:r>
        <w:t>**Deal Quality Issues:** All converted deals show $0 value, suggesting pricing or qualification problems</w:t>
      </w:r>
    </w:p>
    <w:p>
      <w:r>
        <w:t>**Marketing Efficiency Gap:** While conversion metrics appear strong, the minimal pipeline volume indicates marketing investment and lead generation strategies are significantly underperforming.</w:t>
      </w:r>
    </w:p>
    <w:p>
      <w:pPr>
        <w:pStyle w:val="Heading3"/>
      </w:pPr>
      <w:r>
        <w:t>Customer Journey Optimization</w:t>
      </w:r>
    </w:p>
    <w:p>
      <w:r>
        <w:rPr>
          <w:b/>
        </w:rPr>
        <w:t>Sales Cycle Analysis:</w:t>
      </w:r>
    </w:p>
    <w:p>
      <w:pPr>
        <w:pStyle w:val="ListBullet"/>
      </w:pPr>
      <w:r>
        <w:t>**Cycle Duration:** Average 16.5-day sales cycle with range of 3-30 days</w:t>
      </w:r>
    </w:p>
    <w:p>
      <w:pPr>
        <w:pStyle w:val="ListBullet"/>
      </w:pPr>
      <w:r>
        <w:t>**Process Efficiency:** The relatively short sales cycle indicates effective qualification and closing processes</w:t>
      </w:r>
    </w:p>
    <w:p>
      <w:pPr>
        <w:pStyle w:val="ListBullet"/>
      </w:pPr>
      <w:r>
        <w:t>**Pipeline Stage Analysis:** Only "Generated" and "Win" stages show activity, suggesting missing intermediate nurturing stages</w:t>
      </w:r>
    </w:p>
    <w:p>
      <w:r>
        <w:rPr>
          <w:b/>
        </w:rPr>
        <w:t>Customer Acquisition Trends:</w:t>
      </w:r>
    </w:p>
    <w:p>
      <w:pPr>
        <w:pStyle w:val="ListBullet"/>
      </w:pPr>
      <w:r>
        <w:t>**New Customer Growth:** 11 new customers acquired throughout 2025 with seasonal peaks in April and September</w:t>
      </w:r>
    </w:p>
    <w:p>
      <w:pPr>
        <w:pStyle w:val="ListBullet"/>
      </w:pPr>
      <w:r>
        <w:t>**Category Diversification:** Limited category representation across new acquisitions</w:t>
      </w:r>
    </w:p>
    <w:p>
      <w:pPr>
        <w:pStyle w:val="ListBullet"/>
      </w:pPr>
      <w:r>
        <w:t>**Onboarding Consistency:** Irregular monthly acquisition patterns indicate inconsistent marketing execution</w:t>
      </w:r>
    </w:p>
    <w:p>
      <w:pPr>
        <w:pStyle w:val="Heading3"/>
      </w:pPr>
      <w:r>
        <w:t>Competitive Positioning &amp; Market Performance</w:t>
      </w:r>
    </w:p>
    <w:p>
      <w:r>
        <w:rPr>
          <w:b/>
        </w:rPr>
        <w:t>Service Category Performance:</w:t>
      </w:r>
    </w:p>
    <w:p>
      <w:pPr>
        <w:pStyle w:val="ListBullet"/>
      </w:pPr>
      <w:r>
        <w:t>**Revenue Concentration Risk:** Inability to categorize revenue by service line indicates poor product tracking or single-service dependency</w:t>
      </w:r>
    </w:p>
    <w:p>
      <w:pPr>
        <w:pStyle w:val="ListBullet"/>
      </w:pPr>
      <w:r>
        <w:t>**Client Portfolio Analysis:** No client revenue ranking data available, preventing customer lifetime value assessment</w:t>
      </w:r>
    </w:p>
    <w:p>
      <w:pPr>
        <w:pStyle w:val="ListBullet"/>
      </w:pPr>
      <w:r>
        <w:t>**Market Position Gap:** Lack of service category performance data limits competitive benchmarking capability</w:t>
      </w:r>
    </w:p>
    <w:p>
      <w:pPr>
        <w:pStyle w:val="Heading3"/>
      </w:pPr>
      <w:r>
        <w:t>Strategic Recommendations</w:t>
      </w:r>
    </w:p>
    <w:p>
      <w:r>
        <w:rPr>
          <w:b/>
        </w:rPr>
        <w:t>Immediate Priorities (0-3 Months):</w:t>
      </w:r>
    </w:p>
    <w:p>
      <w:r>
        <w:t>1. **Cash Flow Emergency:** Implement aggressive accounts receivable collection process targeting $1.46 billion in outstanding invoices</w:t>
      </w:r>
    </w:p>
    <w:p>
      <w:r>
        <w:t>2. **Pipeline Generation:** Launch urgent lead generation campaigns to address the critical 2-deal pipeline deficiency</w:t>
      </w:r>
    </w:p>
    <w:p>
      <w:r>
        <w:t>3. **Pricing Strategy Review:** Investigate and rectify the $0 deal value issue affecting all converted opportunities</w:t>
      </w:r>
    </w:p>
    <w:p>
      <w:r>
        <w:rPr>
          <w:b/>
        </w:rPr>
        <w:t>Medium-Term Initiatives (3-9 Months):</w:t>
      </w:r>
    </w:p>
    <w:p>
      <w:r>
        <w:t>1. **Marketing Overhaul:** Develop multi-channel lead generation strategy to build sustainable pipeline volume</w:t>
      </w:r>
    </w:p>
    <w:p>
      <w:r>
        <w:t>2. **Customer Segmentation:** Implement client categorization and tracking to enable targeted retention strategies</w:t>
      </w:r>
    </w:p>
    <w:p>
      <w:r>
        <w:t>3. **Service Line Optimization:** Establish revenue tracking by service category to identify growth opportunities</w:t>
      </w:r>
    </w:p>
    <w:p>
      <w:r>
        <w:rPr>
          <w:b/>
        </w:rPr>
        <w:t>Long-Term Strategic Shifts (9-18 Months):</w:t>
      </w:r>
    </w:p>
    <w:p>
      <w:r>
        <w:t>1. **Digital Transformation:** Implement integrated CRM and billing systems for real-time performance monitoring</w:t>
      </w:r>
    </w:p>
    <w:p>
      <w:r>
        <w:t>2. **Customer Experience Enhancement:** Develop structured nurturing pathways between pipeline stages</w:t>
      </w:r>
    </w:p>
    <w:p>
      <w:r>
        <w:t>3. **Competitive Intelligence:** Establish market benchmarking capabilities for service category performance</w:t>
      </w:r>
    </w:p>
    <w:p>
      <w:pPr>
        <w:pStyle w:val="Heading3"/>
      </w:pPr>
      <w:r>
        <w:t>Risk Assessment</w:t>
      </w:r>
    </w:p>
    <w:p>
      <w:r>
        <w:rPr>
          <w:b/>
        </w:rPr>
        <w:t>High Risk Factors:</w:t>
      </w:r>
    </w:p>
    <w:p>
      <w:pPr>
        <w:pStyle w:val="ListBullet"/>
      </w:pPr>
      <w:r>
        <w:t>Critical cash flow constraints from $1.46 billion outstanding receivables</w:t>
      </w:r>
    </w:p>
    <w:p>
      <w:pPr>
        <w:pStyle w:val="ListBullet"/>
      </w:pPr>
      <w:r>
        <w:t>Insufficient sales pipeline (only 2 deals) creating revenue continuity risk</w:t>
      </w:r>
    </w:p>
    <w:p>
      <w:pPr>
        <w:pStyle w:val="ListBullet"/>
      </w:pPr>
      <w:r>
        <w:t>Incomplete customer and service category data limiting strategic decision-making</w:t>
      </w:r>
    </w:p>
    <w:p>
      <w:pPr>
        <w:pStyle w:val="Heading3"/>
      </w:pPr>
      <w:r>
        <w:t>Conclusion</w:t>
      </w:r>
    </w:p>
    <w:p>
      <w:r>
        <w:t>The organization demonstrates strong revenue generation capability but faces existential threats from cash flow management and pipeline development deficiencies. Immediate focus must center on collections acceleration and lead generation while building the foundational systems and processes required for sustainable growth. The 100% conversion rate on limited deals indicates strong sales execution capability that can be leveraged once pipeline volume issues are resolved.</w:t>
      </w:r>
    </w:p>
    <w:p>
      <w:r>
        <w:rPr>
          <w:b/>
        </w:rPr>
        <w:t>Recommended KPI Focus for 2026:</w:t>
      </w:r>
    </w:p>
    <w:p>
      <w:pPr>
        <w:pStyle w:val="ListBullet"/>
      </w:pPr>
      <w:r>
        <w:t>Reduce outstanding receivables to below 30% of total revenue</w:t>
      </w:r>
    </w:p>
    <w:p>
      <w:pPr>
        <w:pStyle w:val="ListBullet"/>
      </w:pPr>
      <w:r>
        <w:t>Increase sales pipeline to minimum 50 active opportunities</w:t>
      </w:r>
    </w:p>
    <w:p>
      <w:pPr>
        <w:pStyle w:val="ListBullet"/>
      </w:pPr>
      <w:r>
        <w:t>Implement service category revenue tracking with target diversification goals</w:t>
      </w:r>
    </w:p>
    <w:p>
      <w:pPr>
        <w:pStyle w:val="ListBullet"/>
      </w:pPr>
      <w:r>
        <w:t>Maintain sales cycle efficiency below 20 days while improving deal values</w:t>
      </w:r>
    </w:p>
    <w:p>
      <w:r>
        <w:t>This assessment indicates that with focused execution on collections and pipeline development, the company possesses the fundamental capabilities to achieve transformational growth in the coming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