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2025-11-11 15:29:41</w:t>
      </w:r>
    </w:p>
    <w:p>
      <w:r>
        <w:t>Session ID: 70781f9c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Perform sales and marketing analytics covering demand forecasting, customer acquisition efficiency, brand performance metrics, and tactical optimization strategies. Format as a comprehensive business review.</w:t>
        <w:br/>
        <w:br/>
        <w:t>User Question: Total sales for month of july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Comprehensive Sales &amp; Marketing Business Review</w:t>
      </w:r>
    </w:p>
    <w:p>
      <w:pPr>
        <w:pStyle w:val="Heading2"/>
      </w:pPr>
      <w:r>
        <w:t>Executive Summary</w:t>
      </w:r>
    </w:p>
    <w:p>
      <w:r>
        <w:t>July sales performance shows strong momentum with $262.8 million in revenue, representing a significant portion of overall business performance. The product portfolio demonstrates diverse pricing strategies across categories, with notable premium offerings driving substantial revenue generation.</w:t>
      </w:r>
    </w:p>
    <w:p>
      <w:pPr>
        <w:pStyle w:val="Heading2"/>
      </w:pPr>
      <w:r>
        <w:t>Demand Forecasting Analysis</w:t>
      </w:r>
    </w:p>
    <w:p>
      <w:pPr>
        <w:pStyle w:val="Heading3"/>
      </w:pPr>
      <w:r>
        <w:t>Current Sales Performance</w:t>
      </w:r>
    </w:p>
    <w:p>
      <w:pPr>
        <w:pStyle w:val="ListBullet"/>
      </w:pPr>
      <w:r>
        <w:t>**July Sales**: $262.8 million</w:t>
      </w:r>
    </w:p>
    <w:p>
      <w:pPr>
        <w:pStyle w:val="ListBullet"/>
      </w:pPr>
      <w:r>
        <w:t>**Total Paid Sales**: $1.55 billion (cumulative)</w:t>
      </w:r>
    </w:p>
    <w:p>
      <w:pPr>
        <w:pStyle w:val="ListBullet"/>
      </w:pPr>
      <w:r>
        <w:t>**July Contribution**: Approximately 17% of total paid revenue</w:t>
      </w:r>
    </w:p>
    <w:p>
      <w:pPr>
        <w:pStyle w:val="Heading3"/>
      </w:pPr>
      <w:r>
        <w:t>Product Portfolio Health</w:t>
      </w:r>
    </w:p>
    <w:p>
      <w:r>
        <w:t>The company maintains 164 active products across 15 categories, with strong product activation rates:</w:t>
      </w:r>
    </w:p>
    <w:p>
      <w:pPr>
        <w:pStyle w:val="ListBullet"/>
      </w:pPr>
      <w:r>
        <w:t>**Overall Activation Rate**: 94% (154 of 164 products active)</w:t>
      </w:r>
    </w:p>
    <w:p>
      <w:pPr>
        <w:pStyle w:val="ListBullet"/>
      </w:pPr>
      <w:r>
        <w:t>**Category Distribution**: Balanced across price segments from entry-level to premium</w:t>
      </w:r>
    </w:p>
    <w:p>
      <w:pPr>
        <w:pStyle w:val="Heading2"/>
      </w:pPr>
      <w:r>
        <w:t>Customer Acquisition Efficiency</w:t>
      </w:r>
    </w:p>
    <w:p>
      <w:pPr>
        <w:pStyle w:val="Heading3"/>
      </w:pPr>
      <w:r>
        <w:t>Pricing Strategy Effectiveness</w:t>
      </w:r>
    </w:p>
    <w:p>
      <w:r>
        <w:t>The product portfolio spans multiple price points, indicating targeted customer segmentation:</w:t>
      </w:r>
    </w:p>
    <w:p>
      <w:pPr>
        <w:pStyle w:val="ListBullet"/>
      </w:pPr>
      <w:r>
        <w:t>**Entry Tier**: Categories with average prices under $10,000 (Categories 5, 12)</w:t>
      </w:r>
    </w:p>
    <w:p>
      <w:pPr>
        <w:pStyle w:val="ListBullet"/>
      </w:pPr>
      <w:r>
        <w:t>**Mid Market**: Categories averaging $9,000-$35,000 (Categories 6, nan)</w:t>
      </w:r>
    </w:p>
    <w:p>
      <w:pPr>
        <w:pStyle w:val="ListBullet"/>
      </w:pPr>
      <w:r>
        <w:t>**Premium Segment**: High-value categories averaging $148,750-$366,667 (Categories 14, 17)</w:t>
      </w:r>
    </w:p>
    <w:p>
      <w:pPr>
        <w:pStyle w:val="Heading3"/>
      </w:pPr>
      <w:r>
        <w:t>Market Coverage</w:t>
      </w:r>
    </w:p>
    <w:p>
      <w:pPr>
        <w:pStyle w:val="ListBullet"/>
      </w:pPr>
      <w:r>
        <w:t>**Broad Category Presence**: 15 distinct product categories</w:t>
      </w:r>
    </w:p>
    <w:p>
      <w:pPr>
        <w:pStyle w:val="ListBullet"/>
      </w:pPr>
      <w:r>
        <w:t>**Price Point Diversity**: Ranging from $0 to $366,667 average prices</w:t>
      </w:r>
    </w:p>
    <w:p>
      <w:pPr>
        <w:pStyle w:val="ListBullet"/>
      </w:pPr>
      <w:r>
        <w:t>**Active Product Ratio**: Excellent at 94%, indicating strong market relevance</w:t>
      </w:r>
    </w:p>
    <w:p>
      <w:pPr>
        <w:pStyle w:val="Heading2"/>
      </w:pPr>
      <w:r>
        <w:t>Brand Performance Metrics</w:t>
      </w:r>
    </w:p>
    <w:p>
      <w:pPr>
        <w:pStyle w:val="Heading3"/>
      </w:pPr>
      <w:r>
        <w:t>Revenue Generation Strength</w:t>
      </w:r>
    </w:p>
    <w:p>
      <w:pPr>
        <w:pStyle w:val="ListBullet"/>
      </w:pPr>
      <w:r>
        <w:t>**Consistent Performance**: $1.55 billion in paid invoices demonstrates brand trust and customer loyalty</w:t>
      </w:r>
    </w:p>
    <w:p>
      <w:pPr>
        <w:pStyle w:val="ListBullet"/>
      </w:pPr>
      <w:r>
        <w:t>**Premium Positioning**: High-average-price categories (14, 17) suggest successful brand premiumization</w:t>
      </w:r>
    </w:p>
    <w:p>
      <w:pPr>
        <w:pStyle w:val="ListBullet"/>
      </w:pPr>
      <w:r>
        <w:t>**Volume Categories**: Category 5 leads with 90 products, driving volume at accessible price points</w:t>
      </w:r>
    </w:p>
    <w:p>
      <w:pPr>
        <w:pStyle w:val="Heading3"/>
      </w:pPr>
      <w:r>
        <w:t>Product Vitality</w:t>
      </w:r>
    </w:p>
    <w:p>
      <w:pPr>
        <w:pStyle w:val="ListBullet"/>
      </w:pPr>
      <w:r>
        <w:t>**Active Product Rate**: 94% indicates strong product-market fit</w:t>
      </w:r>
    </w:p>
    <w:p>
      <w:pPr>
        <w:pStyle w:val="ListBullet"/>
      </w:pPr>
      <w:r>
        <w:t>**Category Balance**: Mix of high-volume and high-margin categories</w:t>
      </w:r>
    </w:p>
    <w:p>
      <w:pPr>
        <w:pStyle w:val="ListBullet"/>
      </w:pPr>
      <w:r>
        <w:t>**Inventory Management**: Current tracking suggests opportunities for optimization</w:t>
      </w:r>
    </w:p>
    <w:p>
      <w:pPr>
        <w:pStyle w:val="Heading2"/>
      </w:pPr>
      <w:r>
        <w:t>Tactical Optimization Strategies</w:t>
      </w:r>
    </w:p>
    <w:p>
      <w:pPr>
        <w:pStyle w:val="Heading3"/>
      </w:pPr>
      <w:r>
        <w:t>Immediate Opportunities</w:t>
      </w:r>
    </w:p>
    <w:p>
      <w:r>
        <w:rPr>
          <w:b/>
        </w:rPr>
        <w:t>1. Premium Category Expansion</w:t>
      </w:r>
    </w:p>
    <w:p>
      <w:pPr>
        <w:pStyle w:val="ListBullet"/>
      </w:pPr>
      <w:r>
        <w:t>Leverage success in high-value categories (14, 17) with average prices exceeding $148,000</w:t>
      </w:r>
    </w:p>
    <w:p>
      <w:pPr>
        <w:pStyle w:val="ListBullet"/>
      </w:pPr>
      <w:r>
        <w:t>Develop complementary products in premium segments</w:t>
      </w:r>
    </w:p>
    <w:p>
      <w:pPr>
        <w:pStyle w:val="ListBullet"/>
      </w:pPr>
      <w:r>
        <w:t>Implement targeted upselling strategies from mid-tier categories</w:t>
      </w:r>
    </w:p>
    <w:p>
      <w:r>
        <w:rPr>
          <w:b/>
        </w:rPr>
        <w:t>2. Inventory Management Enhancement</w:t>
      </w:r>
    </w:p>
    <w:p>
      <w:pPr>
        <w:pStyle w:val="ListBullet"/>
      </w:pPr>
      <w:r>
        <w:t>Current inventory tracking shows significant opportunity for improvement</w:t>
      </w:r>
    </w:p>
    <w:p>
      <w:pPr>
        <w:pStyle w:val="ListBullet"/>
      </w:pPr>
      <w:r>
        <w:t>Implement systematic inventory tracking across all product categories</w:t>
      </w:r>
    </w:p>
    <w:p>
      <w:pPr>
        <w:pStyle w:val="ListBullet"/>
      </w:pPr>
      <w:r>
        <w:t>Optimize stock levels based on sales velocity and category performance</w:t>
      </w:r>
    </w:p>
    <w:p>
      <w:r>
        <w:rPr>
          <w:b/>
        </w:rPr>
        <w:t>3. Pricing Strategy Refinement</w:t>
      </w:r>
    </w:p>
    <w:p>
      <w:pPr>
        <w:pStyle w:val="ListBullet"/>
      </w:pPr>
      <w:r>
        <w:t>Analyze performance across the $0-priced categories (10, 13, 16, 18)</w:t>
      </w:r>
    </w:p>
    <w:p>
      <w:pPr>
        <w:pStyle w:val="ListBullet"/>
      </w:pPr>
      <w:r>
        <w:t>Develop strategic pricing for currently free offerings</w:t>
      </w:r>
    </w:p>
    <w:p>
      <w:pPr>
        <w:pStyle w:val="ListBullet"/>
      </w:pPr>
      <w:r>
        <w:t>Implement tiered pricing models in high-volume categories</w:t>
      </w:r>
    </w:p>
    <w:p>
      <w:pPr>
        <w:pStyle w:val="Heading3"/>
      </w:pPr>
      <w:r>
        <w:t>Medium-Term Strategic Initiatives</w:t>
      </w:r>
    </w:p>
    <w:p>
      <w:r>
        <w:rPr>
          <w:b/>
        </w:rPr>
        <w:t>4. Category Portfolio Optimization</w:t>
      </w:r>
    </w:p>
    <w:p>
      <w:pPr>
        <w:pStyle w:val="ListBullet"/>
      </w:pPr>
      <w:r>
        <w:t>Conduct deep-dive analysis on underperforming categories</w:t>
      </w:r>
    </w:p>
    <w:p>
      <w:pPr>
        <w:pStyle w:val="ListBullet"/>
      </w:pPr>
      <w:r>
        <w:t>Reallocate resources to high-performing segments</w:t>
      </w:r>
    </w:p>
    <w:p>
      <w:pPr>
        <w:pStyle w:val="ListBullet"/>
      </w:pPr>
      <w:r>
        <w:t>Explore category consolidation or expansion opportunities</w:t>
      </w:r>
    </w:p>
    <w:p>
      <w:r>
        <w:rPr>
          <w:b/>
        </w:rPr>
        <w:t>5. Sales Channel Enhancement</w:t>
      </w:r>
    </w:p>
    <w:p>
      <w:pPr>
        <w:pStyle w:val="ListBullet"/>
      </w:pPr>
      <w:r>
        <w:t>Leverage July's strong performance to optimize seasonal strategies</w:t>
      </w:r>
    </w:p>
    <w:p>
      <w:pPr>
        <w:pStyle w:val="ListBullet"/>
      </w:pPr>
      <w:r>
        <w:t>Develop category-specific marketing campaigns</w:t>
      </w:r>
    </w:p>
    <w:p>
      <w:pPr>
        <w:pStyle w:val="ListBullet"/>
      </w:pPr>
      <w:r>
        <w:t>Implement cross-selling programs between complementary categories</w:t>
      </w:r>
    </w:p>
    <w:p>
      <w:pPr>
        <w:pStyle w:val="Heading2"/>
      </w:pPr>
      <w:r>
        <w:t>Risk Mitigation &amp; Growth Acceleration</w:t>
      </w:r>
    </w:p>
    <w:p>
      <w:pPr>
        <w:pStyle w:val="Heading3"/>
      </w:pPr>
      <w:r>
        <w:t>Monitoring Priorities</w:t>
      </w:r>
    </w:p>
    <w:p>
      <w:pPr>
        <w:pStyle w:val="ListBullet"/>
      </w:pPr>
      <w:r>
        <w:t>Track category performance concentration risk</w:t>
      </w:r>
    </w:p>
    <w:p>
      <w:pPr>
        <w:pStyle w:val="ListBullet"/>
      </w:pPr>
      <w:r>
        <w:t>Monitor premium category sustainability</w:t>
      </w:r>
    </w:p>
    <w:p>
      <w:pPr>
        <w:pStyle w:val="ListBullet"/>
      </w:pPr>
      <w:r>
        <w:t>Assess impact of inventory management improvements</w:t>
      </w:r>
    </w:p>
    <w:p>
      <w:pPr>
        <w:pStyle w:val="Heading3"/>
      </w:pPr>
      <w:r>
        <w:t>Growth Levers</w:t>
      </w:r>
    </w:p>
    <w:p>
      <w:pPr>
        <w:pStyle w:val="ListBullet"/>
      </w:pPr>
      <w:r>
        <w:t>Scale successful premium category strategies</w:t>
      </w:r>
    </w:p>
    <w:p>
      <w:pPr>
        <w:pStyle w:val="ListBullet"/>
      </w:pPr>
      <w:r>
        <w:t>Optimize product activation in underperforming segments</w:t>
      </w:r>
    </w:p>
    <w:p>
      <w:pPr>
        <w:pStyle w:val="ListBullet"/>
      </w:pPr>
      <w:r>
        <w:t>Enhance customer lifetime value through category bundling</w:t>
      </w:r>
    </w:p>
    <w:p>
      <w:pPr>
        <w:pStyle w:val="Heading2"/>
      </w:pPr>
      <w:r>
        <w:t>Conclusion &amp; Recommendations</w:t>
      </w:r>
    </w:p>
    <w:p>
      <w:r>
        <w:t>The business demonstrates strong fundamentals with $262.8 million in July sales and a diverse, well-activated product portfolio. Immediate focus should be on enhancing inventory management systems and optimizing the premium category strategy. The 94% product activation rate indicates excellent market alignment, providing a solid foundation for accelerated growth through tactical pricing optimization and category portfolio refinement.</w:t>
      </w:r>
    </w:p>
    <w:p>
      <w:r>
        <w:t>**Priority Actions**:</w:t>
      </w:r>
    </w:p>
    <w:p>
      <w:r>
        <w:t>1. Implement comprehensive inventory tracking</w:t>
      </w:r>
    </w:p>
    <w:p>
      <w:r>
        <w:t>2. Develop premium category expansion roadmap</w:t>
      </w:r>
    </w:p>
    <w:p>
      <w:r>
        <w:t>3. Optimize pricing strategy for $0-priced categories</w:t>
      </w:r>
    </w:p>
    <w:p>
      <w:r>
        <w:t>4. Enhance cross-category selling initiatives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