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Reports Analysis</w:t>
      </w:r>
    </w:p>
    <w:p>
      <w:r>
        <w:t>Generated on: 2025-11-12 14:34:26</w:t>
      </w:r>
    </w:p>
    <w:p>
      <w:r>
        <w:t>Session ID: e5b0500b</w:t>
      </w:r>
    </w:p>
    <w:p>
      <w:r>
        <w:t>Template: General Data Reports</w:t>
      </w:r>
    </w:p>
    <w:p/>
    <w:p>
      <w:pPr>
        <w:pStyle w:val="Heading2"/>
      </w:pPr>
      <w:r>
        <w:t>Question:</w:t>
      </w:r>
    </w:p>
    <w:p>
      <w:r>
        <w:t>generate comprehensive financial report for the past 3 months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综合财务报告 - 过去3个月</w:t>
      </w:r>
    </w:p>
    <w:p>
      <w:pPr>
        <w:pStyle w:val="Heading2"/>
      </w:pPr>
      <w:r>
        <w:t>执行摘要</w:t>
      </w:r>
    </w:p>
    <w:p>
      <w:r>
        <w:t>在过去三个月的经营周期中，公司呈现出收入表现强劲但盈利能力面临挑战的财务状况。总收入达到9.08亿，但同期费用支出较高，导致净亏损5122万。应收账款管理表现良好，但成本控制需要重点关注。</w:t>
      </w:r>
    </w:p>
    <w:p>
      <w:pPr>
        <w:pStyle w:val="Heading2"/>
      </w:pPr>
      <w:r>
        <w:t>核心财务指标分析</w:t>
      </w:r>
    </w:p>
    <w:p>
      <w:pPr>
        <w:pStyle w:val="Heading3"/>
      </w:pPr>
      <w:r>
        <w:t>收入表现</w:t>
      </w:r>
    </w:p>
    <w:p>
      <w:pPr>
        <w:pStyle w:val="ListBullet"/>
      </w:pPr>
      <w:r>
        <w:t>**总收入**: 908,334,000</w:t>
      </w:r>
    </w:p>
    <w:p>
      <w:pPr>
        <w:pStyle w:val="ListBullet"/>
      </w:pPr>
      <w:r>
        <w:t>**发票管理效率**: 共开具272张发票，其中269张已支付，支付率高达98.9%</w:t>
      </w:r>
    </w:p>
    <w:p>
      <w:pPr>
        <w:pStyle w:val="ListBullet"/>
      </w:pPr>
      <w:r>
        <w:t>**应收账款质量**: 仅1张发票处于未支付状态，回款效率优秀</w:t>
      </w:r>
    </w:p>
    <w:p>
      <w:pPr>
        <w:pStyle w:val="Heading3"/>
      </w:pPr>
      <w:r>
        <w:t>成本结构分析</w:t>
      </w:r>
    </w:p>
    <w:p>
      <w:pPr>
        <w:pStyle w:val="ListBullet"/>
      </w:pPr>
      <w:r>
        <w:t>**总费用支出**: 959,555,432</w:t>
      </w:r>
    </w:p>
    <w:p>
      <w:pPr>
        <w:pStyle w:val="ListBullet"/>
      </w:pPr>
      <w:r>
        <w:t>**项目里程碑成本**: 0（可能为数据记录问题或项目暂停）</w:t>
      </w:r>
    </w:p>
    <w:p>
      <w:pPr>
        <w:pStyle w:val="ListBullet"/>
      </w:pPr>
      <w:r>
        <w:t>**循环费用**: 54,357,009，占总支出的5.7%</w:t>
      </w:r>
    </w:p>
    <w:p>
      <w:pPr>
        <w:pStyle w:val="ListBullet"/>
      </w:pPr>
      <w:r>
        <w:t>**费用收入比**: 105.6%，表明支出超过收入</w:t>
      </w:r>
    </w:p>
    <w:p>
      <w:pPr>
        <w:pStyle w:val="Heading3"/>
      </w:pPr>
      <w:r>
        <w:t>盈利能力评估</w:t>
      </w:r>
    </w:p>
    <w:p>
      <w:pPr>
        <w:pStyle w:val="ListBullet"/>
      </w:pPr>
      <w:r>
        <w:t>**净亏损**: -51,221,432</w:t>
      </w:r>
    </w:p>
    <w:p>
      <w:pPr>
        <w:pStyle w:val="ListBullet"/>
      </w:pPr>
      <w:r>
        <w:t>**毛利率**: -5.6%</w:t>
      </w:r>
    </w:p>
    <w:p>
      <w:pPr>
        <w:pStyle w:val="ListBullet"/>
      </w:pPr>
      <w:r>
        <w:t>**经营效率**: 高发票支付率显示良好的客户关系管理，但成本控制存在明显短板</w:t>
      </w:r>
    </w:p>
    <w:p>
      <w:pPr>
        <w:pStyle w:val="Heading3"/>
      </w:pPr>
      <w:r>
        <w:t>现金流状况</w:t>
      </w:r>
    </w:p>
    <w:p>
      <w:pPr>
        <w:pStyle w:val="ListBullet"/>
      </w:pPr>
      <w:r>
        <w:t>**银行交易活动**: 存款和取款均为0，可能表明资金流动性管理需要优化</w:t>
      </w:r>
    </w:p>
    <w:p>
      <w:pPr>
        <w:pStyle w:val="ListBullet"/>
      </w:pPr>
      <w:r>
        <w:t>**银行账户余额**: 0，需要关注现金流储备</w:t>
      </w:r>
    </w:p>
    <w:p>
      <w:pPr>
        <w:pStyle w:val="Heading2"/>
      </w:pPr>
      <w:r>
        <w:t>关键洞察与风险提示</w:t>
      </w:r>
    </w:p>
    <w:p>
      <w:pPr>
        <w:pStyle w:val="Heading3"/>
      </w:pPr>
      <w:r>
        <w:t>积极因素</w:t>
      </w:r>
    </w:p>
    <w:p>
      <w:r>
        <w:t>1. **收入稳定性**: 高发票支付率表明客户付款意愿强，收入质量可靠</w:t>
      </w:r>
    </w:p>
    <w:p>
      <w:r>
        <w:t>2. **应收账款管理**: 极低的未支付发票数量显示优秀的信用控制</w:t>
      </w:r>
    </w:p>
    <w:p>
      <w:r>
        <w:t>3. **收入规模**: 接近10亿的收入规模显示业务体量可观</w:t>
      </w:r>
    </w:p>
    <w:p>
      <w:pPr>
        <w:pStyle w:val="Heading3"/>
      </w:pPr>
      <w:r>
        <w:t>重点关注领域</w:t>
      </w:r>
    </w:p>
    <w:p>
      <w:r>
        <w:t>1. **成本超支**: 费用超过收入5122万，急需成本控制措施</w:t>
      </w:r>
    </w:p>
    <w:p>
      <w:r>
        <w:t>2. **现金流风险**: 银行余额为0，缺乏应急资金储备</w:t>
      </w:r>
    </w:p>
    <w:p>
      <w:r>
        <w:t>3. **循环费用占比**: 5436万的循环费用需要审查其必要性和优化空间</w:t>
      </w:r>
    </w:p>
    <w:p>
      <w:pPr>
        <w:pStyle w:val="Heading2"/>
      </w:pPr>
      <w:r>
        <w:t>战略建议</w:t>
      </w:r>
    </w:p>
    <w:p>
      <w:pPr>
        <w:pStyle w:val="Heading3"/>
      </w:pPr>
      <w:r>
        <w:t>短期行动（1-3个月）</w:t>
      </w:r>
    </w:p>
    <w:p>
      <w:r>
        <w:t>1. **紧急成本审查**: 立即启动全面费用审计，识别可削减的非必要支出</w:t>
      </w:r>
    </w:p>
    <w:p>
      <w:r>
        <w:t>2. **现金流管理**: 建立最低现金储备，确保运营资金安全</w:t>
      </w:r>
    </w:p>
    <w:p>
      <w:r>
        <w:t>3. **循环费用优化**: 重新评估所有循环费用的合同条款和服务必要性</w:t>
      </w:r>
    </w:p>
    <w:p>
      <w:pPr>
        <w:pStyle w:val="Heading3"/>
      </w:pPr>
      <w:r>
        <w:t>中期改进（3-6个月）</w:t>
      </w:r>
    </w:p>
    <w:p>
      <w:r>
        <w:t>1. **定价策略调整**: 考虑适度提价或推出高毛利产品服务组合</w:t>
      </w:r>
    </w:p>
    <w:p>
      <w:r>
        <w:t>2. **成本结构重组**: 优化固定成本和变动成本比例</w:t>
      </w:r>
    </w:p>
    <w:p>
      <w:r>
        <w:t>3. **资金规划**: 制定更严格的预算控制和资金使用计划</w:t>
      </w:r>
    </w:p>
    <w:p>
      <w:pPr>
        <w:pStyle w:val="Heading3"/>
      </w:pPr>
      <w:r>
        <w:t>长期战略（6-12个月）</w:t>
      </w:r>
    </w:p>
    <w:p>
      <w:r>
        <w:t>1. **盈利能力转型**: 从规模扩张转向盈利质量提升</w:t>
      </w:r>
    </w:p>
    <w:p>
      <w:r>
        <w:t>2. **数字化成本管理**: 引入智能费用管理系统</w:t>
      </w:r>
    </w:p>
    <w:p>
      <w:r>
        <w:t>3. **现金流优化**: 建立多层次的资金管理策略</w:t>
      </w:r>
    </w:p>
    <w:p>
      <w:pPr>
        <w:pStyle w:val="Heading2"/>
      </w:pPr>
      <w:r>
        <w:t>结论</w:t>
      </w:r>
    </w:p>
    <w:p>
      <w:r>
        <w:t>公司当前面临的主要挑战是盈利能力不足和现金流紧张。虽然收入规模和收款效率表现良好，但成本控制失效导致整体财务健康度受损。建议优先采取成本控制措施，同时加强现金流管理，以确保业务可持续性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