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6D301" w14:textId="5BB03C4E" w:rsidR="00000000" w:rsidRPr="0045095A" w:rsidRDefault="002D2158">
      <w:pPr>
        <w:rPr>
          <w:b/>
          <w:bCs/>
        </w:rPr>
      </w:pPr>
      <w:r w:rsidRPr="0045095A">
        <w:rPr>
          <w:b/>
          <w:bCs/>
        </w:rPr>
        <w:t>Theories of Modernism (2): Modernism and Colonialism</w:t>
      </w:r>
    </w:p>
    <w:p w14:paraId="130666E3" w14:textId="01F198EF" w:rsidR="002D2158" w:rsidRDefault="0045095A">
      <w:r>
        <w:t xml:space="preserve">Michael </w:t>
      </w:r>
      <w:r w:rsidR="007F685D">
        <w:t xml:space="preserve">H. </w:t>
      </w:r>
      <w:r>
        <w:t xml:space="preserve">Whitworth, </w:t>
      </w:r>
      <w:r w:rsidR="00182E8E">
        <w:t>April 2026</w:t>
      </w:r>
    </w:p>
    <w:p w14:paraId="7F036ADF" w14:textId="3A96E899" w:rsidR="002D2158" w:rsidRDefault="002D2158"/>
    <w:p w14:paraId="4A65FA24" w14:textId="77777777" w:rsidR="007F685D" w:rsidRDefault="007F685D"/>
    <w:p w14:paraId="4DE700D1" w14:textId="77777777" w:rsidR="0045095A" w:rsidRDefault="0045095A" w:rsidP="0045095A">
      <w:pPr>
        <w:spacing w:line="360" w:lineRule="auto"/>
      </w:pPr>
      <w:r w:rsidRPr="0045095A">
        <w:rPr>
          <w:b/>
          <w:bCs/>
        </w:rPr>
        <w:t>Opening slide</w:t>
      </w:r>
      <w:r>
        <w:t xml:space="preserve">: Pablo Picasso, </w:t>
      </w:r>
      <w:r w:rsidRPr="001862A0">
        <w:rPr>
          <w:i/>
          <w:iCs/>
        </w:rPr>
        <w:t>Les Demoiselles D’Avignon</w:t>
      </w:r>
      <w:r>
        <w:t xml:space="preserve"> (1907); </w:t>
      </w:r>
      <w:proofErr w:type="spellStart"/>
      <w:r w:rsidRPr="0045095A">
        <w:t>Musée</w:t>
      </w:r>
      <w:proofErr w:type="spellEnd"/>
      <w:r w:rsidRPr="0045095A">
        <w:t xml:space="preserve"> </w:t>
      </w:r>
      <w:proofErr w:type="spellStart"/>
      <w:r w:rsidRPr="0045095A">
        <w:t>d'Ethnographie</w:t>
      </w:r>
      <w:proofErr w:type="spellEnd"/>
      <w:r w:rsidRPr="0045095A">
        <w:t xml:space="preserve"> du Trocadéro</w:t>
      </w:r>
      <w:r>
        <w:t>; Mbuya sickness mask from the Pende people of Zaire.</w:t>
      </w:r>
    </w:p>
    <w:p w14:paraId="419B27EF" w14:textId="453A18A3" w:rsidR="0045095A" w:rsidRDefault="0045095A"/>
    <w:p w14:paraId="60CFEBB8" w14:textId="77777777" w:rsidR="007F685D" w:rsidRDefault="007F685D"/>
    <w:p w14:paraId="72C2FDBC" w14:textId="17EB65C5" w:rsidR="0045095A" w:rsidRDefault="0045095A" w:rsidP="0045095A">
      <w:pPr>
        <w:spacing w:line="360" w:lineRule="auto"/>
      </w:pPr>
      <w:r>
        <w:t xml:space="preserve">Begam and Moses’s definitions: </w:t>
      </w:r>
      <w:r w:rsidRPr="0045095A">
        <w:rPr>
          <w:i/>
          <w:iCs/>
        </w:rPr>
        <w:t>imperialism</w:t>
      </w:r>
      <w:r>
        <w:t xml:space="preserve">: “both the policy and practice whereby a nation establishes rule over another country or group of countries through the application of military force or conquest”; </w:t>
      </w:r>
      <w:r w:rsidRPr="0045095A">
        <w:rPr>
          <w:i/>
          <w:iCs/>
        </w:rPr>
        <w:t>colonialism</w:t>
      </w:r>
      <w:r>
        <w:t>: “the institution and administration of an imperial power’s foreign holdings and dependencies” (Begam and Moses, p.3)</w:t>
      </w:r>
    </w:p>
    <w:p w14:paraId="63A7C27C" w14:textId="3CAC07DD" w:rsidR="0045095A" w:rsidRDefault="0045095A"/>
    <w:p w14:paraId="3FDE55C1" w14:textId="63A29CA7" w:rsidR="0045095A" w:rsidRDefault="0045095A" w:rsidP="0045095A">
      <w:pPr>
        <w:spacing w:line="360" w:lineRule="auto"/>
      </w:pPr>
      <w:r>
        <w:t xml:space="preserve">The fact is that it is not externally obvious nowadays where anything is owned, still less where it is insured. People who live in large country houses in the Lake District or the Surrey Downs do not live on a share of the produce of the neighbouring fields, but on Argentine railways, Alaskan gold, or land increments in New York City. (J. W. Graham, </w:t>
      </w:r>
      <w:r w:rsidRPr="00004879">
        <w:rPr>
          <w:i/>
          <w:iCs/>
        </w:rPr>
        <w:t>Evolution and Empire</w:t>
      </w:r>
      <w:r>
        <w:t xml:space="preserve"> (1912))</w:t>
      </w:r>
    </w:p>
    <w:p w14:paraId="7060A5D5" w14:textId="46C6BD30" w:rsidR="0045095A" w:rsidRDefault="0045095A" w:rsidP="0045095A">
      <w:pPr>
        <w:spacing w:line="360" w:lineRule="auto"/>
        <w:ind w:left="720"/>
      </w:pPr>
    </w:p>
    <w:p w14:paraId="5154A7FD" w14:textId="532A39D9" w:rsidR="0045095A" w:rsidRDefault="0045095A" w:rsidP="0045095A">
      <w:pPr>
        <w:spacing w:line="360" w:lineRule="auto"/>
      </w:pPr>
      <w:r w:rsidRPr="001914C5">
        <w:t xml:space="preserve">The widow who takes in washing fails or succeeds according to her skill in choosing starch or soda or a wringing-machine under the influence of half-a-dozen competing world schemes of advertisement.  The boys playing football on the village green think of themselves as possible members of a champion English team.  The spectacled young schoolmaster who looks on is brooding, with all his future happiness consciously at stake, on his chances of advancement in the Transvaal or West Australia, or on the relation between his own religious opinions and an analysis of Hebrew eschatology by a German professor. </w:t>
      </w:r>
      <w:r>
        <w:t xml:space="preserve">(Graham Wallas, </w:t>
      </w:r>
      <w:r w:rsidRPr="006B30F8">
        <w:rPr>
          <w:i/>
          <w:iCs/>
        </w:rPr>
        <w:t>The Great Society</w:t>
      </w:r>
      <w:r>
        <w:t xml:space="preserve"> (1914))</w:t>
      </w:r>
    </w:p>
    <w:p w14:paraId="15FA18D8" w14:textId="3697D63C" w:rsidR="0045095A" w:rsidRDefault="0045095A" w:rsidP="0045095A">
      <w:pPr>
        <w:spacing w:line="360" w:lineRule="auto"/>
      </w:pPr>
    </w:p>
    <w:p w14:paraId="740BCA7C" w14:textId="47BEC24E" w:rsidR="0045095A" w:rsidRPr="00971004" w:rsidRDefault="0045095A" w:rsidP="0045095A">
      <w:pPr>
        <w:spacing w:line="360" w:lineRule="auto"/>
      </w:pPr>
      <w:r w:rsidRPr="00971004">
        <w:t xml:space="preserve">At times </w:t>
      </w:r>
      <w:r w:rsidRPr="00971004">
        <w:rPr>
          <w:b/>
          <w:bCs/>
        </w:rPr>
        <w:t>the Great North Road accompanied her, more suggestive of infinity than any railway</w:t>
      </w:r>
      <w:r w:rsidRPr="00971004">
        <w:t xml:space="preserve">, awakening, after a nap of a hundred years, to such life as is conferred by the stench of </w:t>
      </w:r>
      <w:proofErr w:type="gramStart"/>
      <w:r w:rsidRPr="00971004">
        <w:t>motor-cars</w:t>
      </w:r>
      <w:proofErr w:type="gramEnd"/>
      <w:r w:rsidRPr="00971004">
        <w:t xml:space="preserve">, and to such culture as is implied by the advertisements of </w:t>
      </w:r>
      <w:proofErr w:type="spellStart"/>
      <w:r w:rsidRPr="00971004">
        <w:t>antibilious</w:t>
      </w:r>
      <w:proofErr w:type="spellEnd"/>
      <w:r w:rsidRPr="00971004">
        <w:t xml:space="preserve"> pills.</w:t>
      </w:r>
      <w:r>
        <w:t xml:space="preserve"> (E. M. Forster, </w:t>
      </w:r>
      <w:r w:rsidRPr="00971004">
        <w:rPr>
          <w:i/>
          <w:iCs/>
        </w:rPr>
        <w:t>Howards End</w:t>
      </w:r>
      <w:r>
        <w:t xml:space="preserve"> (1910), ch.3)</w:t>
      </w:r>
    </w:p>
    <w:p w14:paraId="7A028560" w14:textId="52CFFAED" w:rsidR="0045095A" w:rsidRDefault="0045095A" w:rsidP="0045095A">
      <w:pPr>
        <w:spacing w:line="360" w:lineRule="auto"/>
        <w:ind w:left="720"/>
      </w:pPr>
    </w:p>
    <w:p w14:paraId="6E33F9E7" w14:textId="5396282E" w:rsidR="0045095A" w:rsidRDefault="0045095A" w:rsidP="0045095A">
      <w:pPr>
        <w:spacing w:line="360" w:lineRule="auto"/>
      </w:pPr>
      <w:r w:rsidRPr="00971004">
        <w:lastRenderedPageBreak/>
        <w:t>One sees what is meant, of course, and the reader dutifully recomposes some inner film around the visual properties of the highway, its great sweep and curve away from the train tracks; its empty endlessness, on which a few (multiple) vehicles reinforce the investment of the observer by a single massive conveyance; its desolation, finally, denuded and thereby closer to the Idea than the unavoidable contamination of the railway interior by a modernizing and commercial history. This is at least what the</w:t>
      </w:r>
      <w:r>
        <w:t xml:space="preserve"> </w:t>
      </w:r>
      <w:r w:rsidRPr="00971004">
        <w:t>figure gives us to see;</w:t>
      </w:r>
      <w:r>
        <w:t xml:space="preserve"> </w:t>
      </w:r>
      <w:proofErr w:type="gramStart"/>
      <w:r w:rsidRPr="00971004">
        <w:t>but,</w:t>
      </w:r>
      <w:proofErr w:type="gramEnd"/>
      <w:r w:rsidRPr="00971004">
        <w:t xml:space="preserve"> particularly when you come to know that Forster continues to use the word "infinity" as though it really means something, the meaning itself grows </w:t>
      </w:r>
      <w:proofErr w:type="gramStart"/>
      <w:r w:rsidRPr="00971004">
        <w:t>less and less</w:t>
      </w:r>
      <w:proofErr w:type="gramEnd"/>
      <w:r w:rsidRPr="00971004">
        <w:t xml:space="preserve"> evident.</w:t>
      </w:r>
      <w:r>
        <w:t xml:space="preserve"> (Jameson, ‘Modernism and Imperialism,’ p.54)</w:t>
      </w:r>
    </w:p>
    <w:p w14:paraId="44127DD5" w14:textId="77777777" w:rsidR="0045095A" w:rsidRDefault="0045095A" w:rsidP="0045095A">
      <w:pPr>
        <w:spacing w:line="360" w:lineRule="auto"/>
        <w:ind w:left="720"/>
      </w:pPr>
    </w:p>
    <w:p w14:paraId="5B06FBBE" w14:textId="1C4B6F80" w:rsidR="0045095A" w:rsidRDefault="0045095A" w:rsidP="0045095A">
      <w:pPr>
        <w:spacing w:line="360" w:lineRule="auto"/>
      </w:pPr>
      <w:r>
        <w:t>T</w:t>
      </w:r>
      <w:r w:rsidRPr="00971004">
        <w:t>he reading problem turns on the objective uncertainty as to the structure of this figure: it is undecidable whether the Great</w:t>
      </w:r>
      <w:r>
        <w:t xml:space="preserve"> </w:t>
      </w:r>
      <w:r w:rsidRPr="00971004">
        <w:t>North Road is the tenor or the vehicle</w:t>
      </w:r>
      <w:r>
        <w:t>. (Jameson, pp.54-55)</w:t>
      </w:r>
    </w:p>
    <w:p w14:paraId="0FDA3782" w14:textId="6D28CC29" w:rsidR="0045095A" w:rsidRDefault="0045095A" w:rsidP="0045095A">
      <w:pPr>
        <w:spacing w:line="360" w:lineRule="auto"/>
        <w:ind w:left="720"/>
      </w:pPr>
    </w:p>
    <w:p w14:paraId="4B2AE740" w14:textId="50F37434" w:rsidR="0045095A" w:rsidRDefault="0045095A" w:rsidP="0045095A">
      <w:pPr>
        <w:spacing w:line="360" w:lineRule="auto"/>
      </w:pPr>
      <w:r w:rsidRPr="0064205C">
        <w:t>She rang under my feet like an empty Huntley &amp; Palmer biscuit-tin kicked along a gutter; she was nothing so solid in make, and rather less pretty in shape, but I had expended enough hard work on her to make me love her.</w:t>
      </w:r>
      <w:r>
        <w:t xml:space="preserve"> (Conrad, </w:t>
      </w:r>
      <w:r w:rsidRPr="0045095A">
        <w:rPr>
          <w:i/>
          <w:iCs/>
        </w:rPr>
        <w:t>Heart of Darkness</w:t>
      </w:r>
      <w:r>
        <w:t>)</w:t>
      </w:r>
    </w:p>
    <w:p w14:paraId="74C93D38" w14:textId="77777777" w:rsidR="0045095A" w:rsidRDefault="0045095A" w:rsidP="0045095A">
      <w:pPr>
        <w:spacing w:line="360" w:lineRule="auto"/>
      </w:pPr>
    </w:p>
    <w:p w14:paraId="777C1465" w14:textId="107A8D50" w:rsidR="0045095A" w:rsidRPr="000F66FA" w:rsidRDefault="0045095A" w:rsidP="0045095A">
      <w:pPr>
        <w:spacing w:line="360" w:lineRule="auto"/>
      </w:pPr>
      <w:r w:rsidRPr="000F66FA">
        <w:rPr>
          <w:lang w:val="en-US"/>
        </w:rPr>
        <w:t>I am alone; I am alone! she cried, by the fountain in Regent's Park (staring at the Indian and his cross), as perhaps at midnight, when all boundaries are lost, the country reverts to its ancient shape, as the Romans saw it, lying cloudy, when they landed, and the hills had no names and rivers wound they knew not where -- such was her darkness</w:t>
      </w:r>
      <w:r>
        <w:rPr>
          <w:lang w:val="en-US"/>
        </w:rPr>
        <w:t xml:space="preserve"> (Woolf, </w:t>
      </w:r>
      <w:proofErr w:type="spellStart"/>
      <w:r w:rsidRPr="0045095A">
        <w:rPr>
          <w:i/>
          <w:iCs/>
          <w:lang w:val="en-US"/>
        </w:rPr>
        <w:t>Mrs</w:t>
      </w:r>
      <w:proofErr w:type="spellEnd"/>
      <w:r w:rsidRPr="0045095A">
        <w:rPr>
          <w:i/>
          <w:iCs/>
          <w:lang w:val="en-US"/>
        </w:rPr>
        <w:t xml:space="preserve"> Dalloway</w:t>
      </w:r>
      <w:r>
        <w:rPr>
          <w:lang w:val="en-US"/>
        </w:rPr>
        <w:t>)</w:t>
      </w:r>
    </w:p>
    <w:p w14:paraId="2451D7D4" w14:textId="72D199B5" w:rsidR="0045095A" w:rsidRDefault="0045095A" w:rsidP="0045095A">
      <w:pPr>
        <w:spacing w:line="360" w:lineRule="auto"/>
      </w:pPr>
    </w:p>
    <w:p w14:paraId="6E02AFB5" w14:textId="2D2A6A8C" w:rsidR="0045095A" w:rsidRDefault="0045095A" w:rsidP="0045095A">
      <w:pPr>
        <w:spacing w:line="360" w:lineRule="auto"/>
      </w:pPr>
      <w:r w:rsidRPr="003937C0">
        <w:t>On and on she went, across Piccadilly, and up Regent Street, ahead of him, her cloak, her gloves, her shoulders combining with the fringes and the laces and the feather boas in the windows to make the spirit of finery and whimsy which dwindled out of the shops on to the pavement, as the light of a lamp goes wavering at night over hedges in the darkness.</w:t>
      </w:r>
      <w:r>
        <w:t xml:space="preserve"> (Woolf, </w:t>
      </w:r>
      <w:r w:rsidRPr="0045095A">
        <w:rPr>
          <w:i/>
          <w:iCs/>
        </w:rPr>
        <w:t>Mrs Dalloway</w:t>
      </w:r>
      <w:r>
        <w:t>)</w:t>
      </w:r>
    </w:p>
    <w:p w14:paraId="341CC3DC" w14:textId="77777777" w:rsidR="0045095A" w:rsidRDefault="0045095A" w:rsidP="0045095A">
      <w:pPr>
        <w:spacing w:line="360" w:lineRule="auto"/>
      </w:pPr>
    </w:p>
    <w:p w14:paraId="43142F0A" w14:textId="029D39FD" w:rsidR="0045095A" w:rsidRDefault="0045095A" w:rsidP="0045095A">
      <w:pPr>
        <w:spacing w:line="360" w:lineRule="auto"/>
      </w:pPr>
      <w:r w:rsidRPr="000F66FA">
        <w:t>Trees, trees, millions of trees, massive, immense, running up high; and at their foot, hugging the bank against the stream, crept the little begrimed steamboat, like a sluggish beetle crawling on the floor of a lofty portico.</w:t>
      </w:r>
      <w:r>
        <w:t xml:space="preserve"> (Conrad, </w:t>
      </w:r>
      <w:r w:rsidRPr="0045095A">
        <w:rPr>
          <w:i/>
          <w:iCs/>
        </w:rPr>
        <w:t>Heart of Darkness</w:t>
      </w:r>
      <w:r>
        <w:t>)</w:t>
      </w:r>
    </w:p>
    <w:p w14:paraId="64C652C2" w14:textId="2761D0FF" w:rsidR="007F685D" w:rsidRDefault="007F685D" w:rsidP="0045095A">
      <w:pPr>
        <w:spacing w:line="360" w:lineRule="auto"/>
      </w:pPr>
    </w:p>
    <w:p w14:paraId="6E9B7C0F" w14:textId="6B31254E" w:rsidR="007F685D" w:rsidRDefault="007F685D" w:rsidP="0045095A">
      <w:pPr>
        <w:spacing w:line="360" w:lineRule="auto"/>
      </w:pPr>
      <w:r w:rsidRPr="007F685D">
        <w:t xml:space="preserve">It is a symbol of Irish art. The cracked </w:t>
      </w:r>
      <w:proofErr w:type="spellStart"/>
      <w:r w:rsidRPr="007F685D">
        <w:t>lookingglass</w:t>
      </w:r>
      <w:proofErr w:type="spellEnd"/>
      <w:r w:rsidRPr="007F685D">
        <w:t xml:space="preserve"> of a servant.</w:t>
      </w:r>
      <w:r>
        <w:t xml:space="preserve"> (James Joyce, </w:t>
      </w:r>
      <w:r w:rsidRPr="007F685D">
        <w:rPr>
          <w:i/>
          <w:iCs/>
        </w:rPr>
        <w:t>Ulysses</w:t>
      </w:r>
      <w:r>
        <w:t>)</w:t>
      </w:r>
    </w:p>
    <w:p w14:paraId="268A1EC2" w14:textId="1BCAD0D2" w:rsidR="0045095A" w:rsidRDefault="0045095A" w:rsidP="0045095A">
      <w:pPr>
        <w:spacing w:line="360" w:lineRule="auto"/>
      </w:pPr>
    </w:p>
    <w:p w14:paraId="66A4EBDD" w14:textId="2FAFABF7" w:rsidR="0045095A" w:rsidRDefault="0045095A" w:rsidP="0045095A">
      <w:pPr>
        <w:spacing w:line="360" w:lineRule="auto"/>
      </w:pPr>
      <w:r>
        <w:t xml:space="preserve">What T. S. Eliot did for Caribbean poetry and Caribbean literature was to introduce the notion of the speaking voice, the conversational tone. […] </w:t>
      </w:r>
    </w:p>
    <w:p w14:paraId="5FF95F37" w14:textId="17EFFD17" w:rsidR="0045095A" w:rsidRPr="007A512B" w:rsidRDefault="0045095A" w:rsidP="0045095A">
      <w:pPr>
        <w:spacing w:line="360" w:lineRule="auto"/>
      </w:pPr>
      <w:r>
        <w:t xml:space="preserve">In that dry deadpan delivery, the riddims of St Louis (though we didn’t know the source then) were stark and clear for those of us who at the same time were listening to the dislocations of Bird, Dizzy, and </w:t>
      </w:r>
      <w:proofErr w:type="spellStart"/>
      <w:r>
        <w:t>Klook</w:t>
      </w:r>
      <w:proofErr w:type="spellEnd"/>
      <w:r>
        <w:t xml:space="preserve">.  (Edward Kamau Brathwaite, </w:t>
      </w:r>
      <w:r w:rsidRPr="0045095A">
        <w:rPr>
          <w:i/>
          <w:iCs/>
        </w:rPr>
        <w:t>History of the Voice</w:t>
      </w:r>
      <w:r>
        <w:t>, pp.30-31).</w:t>
      </w:r>
    </w:p>
    <w:p w14:paraId="4EB9C1AF" w14:textId="77777777" w:rsidR="0045095A" w:rsidRDefault="0045095A" w:rsidP="0045095A">
      <w:pPr>
        <w:spacing w:line="360" w:lineRule="auto"/>
      </w:pPr>
    </w:p>
    <w:p w14:paraId="5B25BE04" w14:textId="77777777" w:rsidR="0045095A" w:rsidRDefault="0045095A"/>
    <w:p w14:paraId="0903F1C8" w14:textId="77777777" w:rsidR="002D2158" w:rsidRPr="00777619" w:rsidRDefault="002D2158" w:rsidP="002D2158">
      <w:pPr>
        <w:rPr>
          <w:b/>
          <w:bCs/>
        </w:rPr>
      </w:pPr>
      <w:r w:rsidRPr="00777619">
        <w:rPr>
          <w:b/>
          <w:bCs/>
        </w:rPr>
        <w:t>FURTHER READING</w:t>
      </w:r>
    </w:p>
    <w:p w14:paraId="775F4139" w14:textId="77777777" w:rsidR="002D2158" w:rsidRPr="008772AB" w:rsidRDefault="002D2158" w:rsidP="002D2158">
      <w:pPr>
        <w:spacing w:line="360" w:lineRule="auto"/>
        <w:ind w:left="709" w:hanging="709"/>
        <w:rPr>
          <w:rFonts w:ascii="Calibri" w:hAnsi="Calibri" w:cs="Calibri"/>
        </w:rPr>
      </w:pPr>
      <w:r w:rsidRPr="008772AB">
        <w:rPr>
          <w:rFonts w:ascii="Calibri" w:hAnsi="Calibri" w:cs="Calibri"/>
        </w:rPr>
        <w:t xml:space="preserve">Barrows, Adam. </w:t>
      </w:r>
      <w:r w:rsidRPr="008772AB">
        <w:rPr>
          <w:rFonts w:ascii="Calibri" w:hAnsi="Calibri" w:cs="Calibri"/>
          <w:i/>
          <w:iCs/>
        </w:rPr>
        <w:t>The cosmic time of empire: modern Britain and world literature</w:t>
      </w:r>
      <w:r w:rsidRPr="008772AB">
        <w:rPr>
          <w:rFonts w:ascii="Calibri" w:hAnsi="Calibri" w:cs="Calibri"/>
        </w:rPr>
        <w:t>. Berkeley: University of California Press, 2011</w:t>
      </w:r>
    </w:p>
    <w:p w14:paraId="1C56110F" w14:textId="77777777" w:rsidR="002D2158" w:rsidRPr="008772AB" w:rsidRDefault="002D2158" w:rsidP="002D2158">
      <w:pPr>
        <w:spacing w:line="360" w:lineRule="auto"/>
        <w:ind w:left="709" w:hanging="709"/>
        <w:rPr>
          <w:rFonts w:ascii="Calibri" w:hAnsi="Calibri" w:cs="Calibri"/>
        </w:rPr>
      </w:pPr>
      <w:r w:rsidRPr="008772AB">
        <w:rPr>
          <w:rFonts w:ascii="Calibri" w:hAnsi="Calibri" w:cs="Calibri"/>
        </w:rPr>
        <w:t xml:space="preserve">Begam, Richard, and Michael Valdez Moses. </w:t>
      </w:r>
      <w:r w:rsidRPr="008772AB">
        <w:rPr>
          <w:rFonts w:ascii="Calibri" w:hAnsi="Calibri" w:cs="Calibri"/>
          <w:i/>
          <w:iCs/>
        </w:rPr>
        <w:t>Modernism and colonialism: British and Irish literature, 1899-1939</w:t>
      </w:r>
      <w:r>
        <w:rPr>
          <w:rFonts w:ascii="Calibri" w:hAnsi="Calibri" w:cs="Calibri"/>
        </w:rPr>
        <w:t xml:space="preserve">. Durham, NC: Duke University Press, </w:t>
      </w:r>
      <w:r w:rsidRPr="008772AB">
        <w:rPr>
          <w:rFonts w:ascii="Calibri" w:hAnsi="Calibri" w:cs="Calibri"/>
        </w:rPr>
        <w:t>200</w:t>
      </w:r>
      <w:r>
        <w:rPr>
          <w:rFonts w:ascii="Calibri" w:hAnsi="Calibri" w:cs="Calibri"/>
        </w:rPr>
        <w:t>7</w:t>
      </w:r>
      <w:r w:rsidRPr="008772AB">
        <w:rPr>
          <w:rFonts w:ascii="Calibri" w:hAnsi="Calibri" w:cs="Calibri"/>
        </w:rPr>
        <w:t>.</w:t>
      </w:r>
    </w:p>
    <w:p w14:paraId="2CD92EEA" w14:textId="77777777" w:rsidR="002D2158" w:rsidRDefault="002D2158" w:rsidP="002D2158">
      <w:pPr>
        <w:spacing w:line="360" w:lineRule="auto"/>
        <w:ind w:left="709" w:hanging="709"/>
        <w:rPr>
          <w:rFonts w:ascii="Calibri" w:hAnsi="Calibri" w:cs="Calibri"/>
        </w:rPr>
      </w:pPr>
      <w:r w:rsidRPr="008772AB">
        <w:rPr>
          <w:rFonts w:ascii="Calibri" w:hAnsi="Calibri" w:cs="Calibri"/>
        </w:rPr>
        <w:t xml:space="preserve">Boehmer, </w:t>
      </w:r>
      <w:proofErr w:type="spellStart"/>
      <w:r w:rsidRPr="008772AB">
        <w:rPr>
          <w:rFonts w:ascii="Calibri" w:hAnsi="Calibri" w:cs="Calibri"/>
        </w:rPr>
        <w:t>Elleke</w:t>
      </w:r>
      <w:proofErr w:type="spellEnd"/>
      <w:r>
        <w:rPr>
          <w:rFonts w:ascii="Calibri" w:hAnsi="Calibri" w:cs="Calibri"/>
        </w:rPr>
        <w:t>.</w:t>
      </w:r>
      <w:r w:rsidRPr="008772AB">
        <w:t xml:space="preserve"> </w:t>
      </w:r>
      <w:r w:rsidRPr="008772AB">
        <w:rPr>
          <w:rFonts w:ascii="Calibri" w:hAnsi="Calibri" w:cs="Calibri"/>
          <w:i/>
          <w:iCs/>
        </w:rPr>
        <w:t>Empire, the National, and the Postcolonial, 1890-1920: Resistance in Interaction</w:t>
      </w:r>
      <w:r>
        <w:rPr>
          <w:rFonts w:ascii="Calibri" w:hAnsi="Calibri" w:cs="Calibri"/>
        </w:rPr>
        <w:t>. Oxford: OUP, 2005.</w:t>
      </w:r>
    </w:p>
    <w:p w14:paraId="22E97EE8" w14:textId="127752D3" w:rsidR="002D2158" w:rsidRPr="00BF7B90" w:rsidRDefault="002D2158" w:rsidP="002D2158">
      <w:pPr>
        <w:spacing w:line="360" w:lineRule="auto"/>
        <w:ind w:left="709" w:hanging="709"/>
        <w:rPr>
          <w:rFonts w:ascii="Calibri" w:hAnsi="Calibri" w:cs="Calibri"/>
        </w:rPr>
      </w:pPr>
      <w:r>
        <w:rPr>
          <w:rFonts w:ascii="Calibri" w:hAnsi="Calibri" w:cs="Calibri"/>
        </w:rPr>
        <w:t xml:space="preserve">---, </w:t>
      </w:r>
      <w:r w:rsidRPr="008772AB">
        <w:rPr>
          <w:rFonts w:ascii="Calibri" w:hAnsi="Calibri" w:cs="Calibri"/>
        </w:rPr>
        <w:t xml:space="preserve">and Steven Matthews. ‘Modernism and Colonialism’ in </w:t>
      </w:r>
      <w:r w:rsidRPr="008772AB">
        <w:rPr>
          <w:rFonts w:ascii="Calibri" w:hAnsi="Calibri" w:cs="Calibri"/>
          <w:i/>
          <w:iCs/>
        </w:rPr>
        <w:t>The Cambridge Companion to Modernism</w:t>
      </w:r>
      <w:r w:rsidR="00BF7B90">
        <w:rPr>
          <w:rFonts w:ascii="Calibri" w:hAnsi="Calibri" w:cs="Calibri"/>
        </w:rPr>
        <w:t>, ed. Michael Levenson, 2</w:t>
      </w:r>
      <w:r w:rsidR="00BF7B90" w:rsidRPr="00BF7B90">
        <w:rPr>
          <w:rFonts w:ascii="Calibri" w:hAnsi="Calibri" w:cs="Calibri"/>
          <w:vertAlign w:val="superscript"/>
        </w:rPr>
        <w:t>nd</w:t>
      </w:r>
      <w:r w:rsidR="00BF7B90">
        <w:rPr>
          <w:rFonts w:ascii="Calibri" w:hAnsi="Calibri" w:cs="Calibri"/>
        </w:rPr>
        <w:t xml:space="preserve"> edition (Cambridge: Cambridge University Press, 2011).</w:t>
      </w:r>
    </w:p>
    <w:p w14:paraId="72B65116" w14:textId="77777777" w:rsidR="002D2158" w:rsidRDefault="002D2158" w:rsidP="002D2158">
      <w:pPr>
        <w:pStyle w:val="BodyText"/>
        <w:ind w:left="720" w:hanging="720"/>
        <w:rPr>
          <w:rFonts w:ascii="Calibri" w:hAnsi="Calibri" w:cs="Calibri"/>
        </w:rPr>
      </w:pPr>
      <w:r w:rsidRPr="008772AB">
        <w:rPr>
          <w:rFonts w:ascii="Calibri" w:hAnsi="Calibri" w:cs="Calibri"/>
        </w:rPr>
        <w:t xml:space="preserve">Booth, Howard J., and Nigel Rigby, eds. </w:t>
      </w:r>
      <w:r w:rsidRPr="008772AB">
        <w:rPr>
          <w:rFonts w:ascii="Calibri" w:hAnsi="Calibri" w:cs="Calibri"/>
          <w:i/>
          <w:iCs/>
        </w:rPr>
        <w:t>Modernism and Empire</w:t>
      </w:r>
      <w:r w:rsidRPr="008772AB">
        <w:rPr>
          <w:rFonts w:ascii="Calibri" w:hAnsi="Calibri" w:cs="Calibri"/>
        </w:rPr>
        <w:t xml:space="preserve"> (Manchester: Manchester University Press, 2000).  A response to Jameson’s 1988 pamphlet (see below), which the editors criticize for being narrow in its canon and restrictive in its causality.</w:t>
      </w:r>
    </w:p>
    <w:p w14:paraId="5751ABC8" w14:textId="645F899D" w:rsidR="002D2158" w:rsidRDefault="002D2158" w:rsidP="002D2158">
      <w:pPr>
        <w:pStyle w:val="BodyText"/>
        <w:ind w:left="720" w:hanging="720"/>
        <w:rPr>
          <w:rFonts w:ascii="Calibri" w:hAnsi="Calibri" w:cs="Calibri"/>
        </w:rPr>
      </w:pPr>
      <w:r>
        <w:rPr>
          <w:rFonts w:ascii="Calibri" w:hAnsi="Calibri" w:cs="Calibri"/>
        </w:rPr>
        <w:t xml:space="preserve">Bradshaw, David. </w:t>
      </w:r>
      <w:r w:rsidRPr="00664027">
        <w:rPr>
          <w:rFonts w:ascii="Calibri" w:hAnsi="Calibri" w:cs="Calibri"/>
        </w:rPr>
        <w:t>‘</w:t>
      </w:r>
      <w:r>
        <w:rPr>
          <w:rFonts w:ascii="Calibri" w:hAnsi="Calibri" w:cs="Calibri"/>
        </w:rPr>
        <w:t>“</w:t>
      </w:r>
      <w:r w:rsidRPr="00664027">
        <w:rPr>
          <w:rFonts w:ascii="Calibri" w:hAnsi="Calibri" w:cs="Calibri"/>
        </w:rPr>
        <w:t>Perished Alive</w:t>
      </w:r>
      <w:r>
        <w:rPr>
          <w:rFonts w:ascii="Calibri" w:hAnsi="Calibri" w:cs="Calibri"/>
        </w:rPr>
        <w:t>”</w:t>
      </w:r>
      <w:r w:rsidRPr="00664027">
        <w:rPr>
          <w:rFonts w:ascii="Calibri" w:hAnsi="Calibri" w:cs="Calibri"/>
        </w:rPr>
        <w:t xml:space="preserve">: </w:t>
      </w:r>
      <w:r w:rsidRPr="00664027">
        <w:rPr>
          <w:rFonts w:ascii="Calibri" w:hAnsi="Calibri" w:cs="Calibri"/>
          <w:i/>
          <w:iCs/>
        </w:rPr>
        <w:t>Dubliners</w:t>
      </w:r>
      <w:r w:rsidRPr="00664027">
        <w:rPr>
          <w:rFonts w:ascii="Calibri" w:hAnsi="Calibri" w:cs="Calibri"/>
        </w:rPr>
        <w:t xml:space="preserve"> and the Reek of Rubber</w:t>
      </w:r>
      <w:r>
        <w:rPr>
          <w:rFonts w:ascii="Calibri" w:hAnsi="Calibri" w:cs="Calibri"/>
        </w:rPr>
        <w:t>.’</w:t>
      </w:r>
      <w:r w:rsidRPr="00664027">
        <w:rPr>
          <w:rFonts w:ascii="Calibri" w:hAnsi="Calibri" w:cs="Calibri"/>
        </w:rPr>
        <w:t xml:space="preserve"> </w:t>
      </w:r>
      <w:r w:rsidRPr="00664027">
        <w:rPr>
          <w:rFonts w:ascii="Calibri" w:hAnsi="Calibri" w:cs="Calibri"/>
          <w:i/>
          <w:iCs/>
        </w:rPr>
        <w:t>Essays in Criticism</w:t>
      </w:r>
      <w:r w:rsidRPr="00664027">
        <w:rPr>
          <w:rFonts w:ascii="Calibri" w:hAnsi="Calibri" w:cs="Calibri"/>
        </w:rPr>
        <w:t xml:space="preserve">, 67, </w:t>
      </w:r>
      <w:r>
        <w:rPr>
          <w:rFonts w:ascii="Calibri" w:hAnsi="Calibri" w:cs="Calibri"/>
        </w:rPr>
        <w:t>no.</w:t>
      </w:r>
      <w:r w:rsidRPr="00664027">
        <w:rPr>
          <w:rFonts w:ascii="Calibri" w:hAnsi="Calibri" w:cs="Calibri"/>
        </w:rPr>
        <w:t>1</w:t>
      </w:r>
      <w:r>
        <w:rPr>
          <w:rFonts w:ascii="Calibri" w:hAnsi="Calibri" w:cs="Calibri"/>
        </w:rPr>
        <w:t xml:space="preserve"> (</w:t>
      </w:r>
      <w:r w:rsidRPr="00664027">
        <w:rPr>
          <w:rFonts w:ascii="Calibri" w:hAnsi="Calibri" w:cs="Calibri"/>
        </w:rPr>
        <w:t>2017</w:t>
      </w:r>
      <w:r>
        <w:rPr>
          <w:rFonts w:ascii="Calibri" w:hAnsi="Calibri" w:cs="Calibri"/>
        </w:rPr>
        <w:t>),</w:t>
      </w:r>
      <w:r w:rsidRPr="00664027">
        <w:rPr>
          <w:rFonts w:ascii="Calibri" w:hAnsi="Calibri" w:cs="Calibri"/>
        </w:rPr>
        <w:t xml:space="preserve"> 20–36</w:t>
      </w:r>
    </w:p>
    <w:p w14:paraId="7337FBFC" w14:textId="77777777" w:rsidR="002D2158" w:rsidRDefault="002D2158" w:rsidP="002D2158">
      <w:pPr>
        <w:pStyle w:val="BodyText"/>
        <w:ind w:left="720" w:hanging="720"/>
        <w:rPr>
          <w:rFonts w:ascii="Calibri" w:hAnsi="Calibri" w:cs="Calibri"/>
        </w:rPr>
      </w:pPr>
      <w:r>
        <w:rPr>
          <w:rFonts w:ascii="Calibri" w:hAnsi="Calibri" w:cs="Calibri"/>
        </w:rPr>
        <w:t xml:space="preserve">Cheng, Vincent. </w:t>
      </w:r>
      <w:r w:rsidRPr="0057310A">
        <w:rPr>
          <w:rFonts w:ascii="Calibri" w:hAnsi="Calibri" w:cs="Calibri"/>
          <w:i/>
          <w:iCs/>
        </w:rPr>
        <w:t>Joyce, Race, and Empire</w:t>
      </w:r>
      <w:r>
        <w:rPr>
          <w:rFonts w:ascii="Calibri" w:hAnsi="Calibri" w:cs="Calibri"/>
        </w:rPr>
        <w:t>. Cambridge: CUP, 1995.</w:t>
      </w:r>
    </w:p>
    <w:p w14:paraId="45CAD4B4" w14:textId="77777777" w:rsidR="002D2158" w:rsidRPr="008772AB" w:rsidRDefault="002D2158" w:rsidP="002D2158">
      <w:pPr>
        <w:pStyle w:val="BodyText"/>
        <w:ind w:left="720" w:hanging="720"/>
        <w:rPr>
          <w:rFonts w:ascii="Calibri" w:hAnsi="Calibri" w:cs="Calibri"/>
        </w:rPr>
      </w:pPr>
      <w:r>
        <w:rPr>
          <w:rFonts w:ascii="Calibri" w:hAnsi="Calibri" w:cs="Calibri"/>
        </w:rPr>
        <w:t xml:space="preserve">Douglass, Paul. ‘Reading the Wreckage: De-Encrypting Eliot’s Aesthetics of Empire.’ </w:t>
      </w:r>
      <w:r w:rsidRPr="007A512B">
        <w:rPr>
          <w:rFonts w:ascii="Calibri" w:hAnsi="Calibri" w:cs="Calibri"/>
          <w:i/>
          <w:iCs/>
        </w:rPr>
        <w:t>Twentieth-Century Literature</w:t>
      </w:r>
      <w:r>
        <w:rPr>
          <w:rFonts w:ascii="Calibri" w:hAnsi="Calibri" w:cs="Calibri"/>
        </w:rPr>
        <w:t>, 43 no.1 (1997): 1-26.</w:t>
      </w:r>
    </w:p>
    <w:p w14:paraId="114ED56F" w14:textId="77777777" w:rsidR="002D2158" w:rsidRPr="008772AB" w:rsidRDefault="002D2158" w:rsidP="002D2158">
      <w:pPr>
        <w:pStyle w:val="BodyText"/>
        <w:ind w:left="720" w:hanging="720"/>
        <w:rPr>
          <w:rFonts w:ascii="Calibri" w:hAnsi="Calibri" w:cs="Calibri"/>
        </w:rPr>
      </w:pPr>
      <w:r w:rsidRPr="008772AB">
        <w:rPr>
          <w:rFonts w:ascii="Calibri" w:hAnsi="Calibri" w:cs="Calibri"/>
        </w:rPr>
        <w:t xml:space="preserve">Doyle, Laura, and Laura A. </w:t>
      </w:r>
      <w:proofErr w:type="spellStart"/>
      <w:r w:rsidRPr="008772AB">
        <w:rPr>
          <w:rFonts w:ascii="Calibri" w:hAnsi="Calibri" w:cs="Calibri"/>
        </w:rPr>
        <w:t>Winkiel</w:t>
      </w:r>
      <w:proofErr w:type="spellEnd"/>
      <w:r w:rsidRPr="008772AB">
        <w:rPr>
          <w:rFonts w:ascii="Calibri" w:hAnsi="Calibri" w:cs="Calibri"/>
        </w:rPr>
        <w:t xml:space="preserve">. </w:t>
      </w:r>
      <w:proofErr w:type="spellStart"/>
      <w:r w:rsidRPr="008772AB">
        <w:rPr>
          <w:rFonts w:ascii="Calibri" w:hAnsi="Calibri" w:cs="Calibri"/>
          <w:i/>
          <w:iCs/>
        </w:rPr>
        <w:t>Geomodernisms</w:t>
      </w:r>
      <w:proofErr w:type="spellEnd"/>
      <w:r w:rsidRPr="008772AB">
        <w:rPr>
          <w:rFonts w:ascii="Calibri" w:hAnsi="Calibri" w:cs="Calibri"/>
          <w:i/>
          <w:iCs/>
        </w:rPr>
        <w:t>: race, modernism, modernity</w:t>
      </w:r>
      <w:r w:rsidRPr="008772AB">
        <w:rPr>
          <w:rFonts w:ascii="Calibri" w:hAnsi="Calibri" w:cs="Calibri"/>
        </w:rPr>
        <w:t xml:space="preserve"> (2005).</w:t>
      </w:r>
    </w:p>
    <w:p w14:paraId="185EC736" w14:textId="77777777" w:rsidR="002D2158" w:rsidRPr="008772AB" w:rsidRDefault="002D2158" w:rsidP="002D2158">
      <w:pPr>
        <w:pStyle w:val="BodyText"/>
        <w:ind w:left="720" w:hanging="720"/>
        <w:rPr>
          <w:rFonts w:ascii="Calibri" w:hAnsi="Calibri" w:cs="Calibri"/>
        </w:rPr>
      </w:pPr>
      <w:r w:rsidRPr="008772AB">
        <w:rPr>
          <w:rFonts w:ascii="Calibri" w:hAnsi="Calibri" w:cs="Calibri"/>
        </w:rPr>
        <w:lastRenderedPageBreak/>
        <w:t xml:space="preserve">Esty, Joshua. </w:t>
      </w:r>
      <w:r w:rsidRPr="008772AB">
        <w:rPr>
          <w:rFonts w:ascii="Calibri" w:hAnsi="Calibri" w:cs="Calibri"/>
          <w:i/>
          <w:iCs/>
        </w:rPr>
        <w:t>A Shrinking Island: Modernism and National Culture in England</w:t>
      </w:r>
      <w:r w:rsidRPr="008772AB">
        <w:rPr>
          <w:rFonts w:ascii="Calibri" w:hAnsi="Calibri" w:cs="Calibri"/>
        </w:rPr>
        <w:t xml:space="preserve"> (Princeton: Princeton University Press, 2004).  On the relation of ‘late modernism’ (by which Esty means the period 1930-60) and the contraction of the British empire.</w:t>
      </w:r>
    </w:p>
    <w:p w14:paraId="070D2BD3" w14:textId="77777777" w:rsidR="002D2158" w:rsidRDefault="002D2158" w:rsidP="002D2158">
      <w:pPr>
        <w:pStyle w:val="BodyText"/>
        <w:ind w:left="720" w:hanging="720"/>
        <w:rPr>
          <w:rFonts w:ascii="Calibri" w:hAnsi="Calibri" w:cs="Calibri"/>
        </w:rPr>
      </w:pPr>
      <w:proofErr w:type="spellStart"/>
      <w:r w:rsidRPr="008772AB">
        <w:rPr>
          <w:rFonts w:ascii="Calibri" w:hAnsi="Calibri" w:cs="Calibri"/>
        </w:rPr>
        <w:t>Gikandi</w:t>
      </w:r>
      <w:proofErr w:type="spellEnd"/>
      <w:r w:rsidRPr="008772AB">
        <w:rPr>
          <w:rFonts w:ascii="Calibri" w:hAnsi="Calibri" w:cs="Calibri"/>
        </w:rPr>
        <w:t xml:space="preserve">, Simon. </w:t>
      </w:r>
      <w:r w:rsidRPr="008772AB">
        <w:rPr>
          <w:rFonts w:ascii="Calibri" w:hAnsi="Calibri" w:cs="Calibri"/>
          <w:i/>
          <w:iCs/>
        </w:rPr>
        <w:t>Maps of Englishness: Writing Identity in the Culture of Colonialism</w:t>
      </w:r>
      <w:r>
        <w:rPr>
          <w:rFonts w:ascii="Calibri" w:hAnsi="Calibri" w:cs="Calibri"/>
        </w:rPr>
        <w:t xml:space="preserve">. </w:t>
      </w:r>
      <w:r w:rsidRPr="008772AB">
        <w:rPr>
          <w:rFonts w:ascii="Calibri" w:hAnsi="Calibri" w:cs="Calibri"/>
        </w:rPr>
        <w:t>New York: Columbia UP, 1996</w:t>
      </w:r>
      <w:r>
        <w:rPr>
          <w:rFonts w:ascii="Calibri" w:hAnsi="Calibri" w:cs="Calibri"/>
        </w:rPr>
        <w:t>.</w:t>
      </w:r>
    </w:p>
    <w:p w14:paraId="1F5702E3" w14:textId="56EC6D13" w:rsidR="002D2158" w:rsidRDefault="002D2158" w:rsidP="002D2158">
      <w:pPr>
        <w:pStyle w:val="BodyText"/>
        <w:ind w:left="720" w:hanging="720"/>
        <w:rPr>
          <w:rFonts w:ascii="Calibri" w:hAnsi="Calibri" w:cs="Calibri"/>
        </w:rPr>
      </w:pPr>
      <w:r>
        <w:rPr>
          <w:rFonts w:ascii="Calibri" w:hAnsi="Calibri" w:cs="Calibri"/>
        </w:rPr>
        <w:t xml:space="preserve">---. </w:t>
      </w:r>
      <w:r w:rsidRPr="007A512B">
        <w:rPr>
          <w:rFonts w:ascii="Calibri" w:hAnsi="Calibri" w:cs="Calibri"/>
          <w:i/>
          <w:iCs/>
        </w:rPr>
        <w:t>Writing in Limbo: Modernism and Cari</w:t>
      </w:r>
      <w:r w:rsidR="007F685D">
        <w:rPr>
          <w:rFonts w:ascii="Calibri" w:hAnsi="Calibri" w:cs="Calibri"/>
          <w:i/>
          <w:iCs/>
        </w:rPr>
        <w:t>b</w:t>
      </w:r>
      <w:r w:rsidRPr="007A512B">
        <w:rPr>
          <w:rFonts w:ascii="Calibri" w:hAnsi="Calibri" w:cs="Calibri"/>
          <w:i/>
          <w:iCs/>
        </w:rPr>
        <w:t>bean Literature</w:t>
      </w:r>
      <w:r>
        <w:rPr>
          <w:rFonts w:ascii="Calibri" w:hAnsi="Calibri" w:cs="Calibri"/>
        </w:rPr>
        <w:t>. Ithaca, NY: Cornell University Press, 1992.</w:t>
      </w:r>
    </w:p>
    <w:p w14:paraId="68169202" w14:textId="77777777" w:rsidR="002D2158" w:rsidRDefault="002D2158" w:rsidP="002D2158">
      <w:pPr>
        <w:pStyle w:val="BodyText"/>
        <w:ind w:left="720" w:hanging="720"/>
        <w:rPr>
          <w:rFonts w:ascii="Calibri" w:hAnsi="Calibri" w:cs="Calibri"/>
        </w:rPr>
      </w:pPr>
      <w:r w:rsidRPr="00170FDD">
        <w:rPr>
          <w:rFonts w:ascii="Calibri" w:hAnsi="Calibri" w:cs="Calibri"/>
        </w:rPr>
        <w:t xml:space="preserve">Hart, Matthew. </w:t>
      </w:r>
      <w:r w:rsidRPr="00170FDD">
        <w:rPr>
          <w:rFonts w:ascii="Calibri" w:hAnsi="Calibri" w:cs="Calibri"/>
          <w:i/>
          <w:iCs/>
        </w:rPr>
        <w:t>Nations of nothing but poetry: modernism, transnationalism, and synthetic vernacular writing</w:t>
      </w:r>
      <w:r w:rsidRPr="00170FDD">
        <w:rPr>
          <w:rFonts w:ascii="Calibri" w:hAnsi="Calibri" w:cs="Calibri"/>
        </w:rPr>
        <w:t>. New York, N.Y.: Oxford University Press, 2010.</w:t>
      </w:r>
    </w:p>
    <w:p w14:paraId="44EC44DF" w14:textId="77777777" w:rsidR="002D2158" w:rsidRDefault="002D2158" w:rsidP="002D2158">
      <w:pPr>
        <w:pStyle w:val="BodyText"/>
        <w:ind w:left="720" w:hanging="720"/>
        <w:rPr>
          <w:rFonts w:ascii="Calibri" w:hAnsi="Calibri" w:cs="Calibri"/>
        </w:rPr>
      </w:pPr>
      <w:r w:rsidRPr="008772AB">
        <w:rPr>
          <w:rFonts w:ascii="Calibri" w:hAnsi="Calibri" w:cs="Calibri"/>
        </w:rPr>
        <w:t xml:space="preserve">Jameson, Fredric. ‘Modernism and Imperialism’ (1988), in </w:t>
      </w:r>
      <w:r w:rsidRPr="008772AB">
        <w:rPr>
          <w:rFonts w:ascii="Calibri" w:hAnsi="Calibri" w:cs="Calibri"/>
          <w:i/>
          <w:iCs/>
        </w:rPr>
        <w:t>Nationalism, Colonialism, and Literature</w:t>
      </w:r>
      <w:r w:rsidRPr="008772AB">
        <w:rPr>
          <w:rFonts w:ascii="Calibri" w:hAnsi="Calibri" w:cs="Calibri"/>
        </w:rPr>
        <w:t>, by Terry Eagleton, et al. (Minneapolis: University of Minnesota Press, 1990), 43-65.</w:t>
      </w:r>
    </w:p>
    <w:p w14:paraId="5B554B2C" w14:textId="67D4B4C4" w:rsidR="007C123F" w:rsidRDefault="002D2158" w:rsidP="007C123F">
      <w:pPr>
        <w:pStyle w:val="BodyText"/>
        <w:ind w:left="720" w:hanging="720"/>
        <w:rPr>
          <w:rFonts w:ascii="Calibri" w:hAnsi="Calibri" w:cs="Calibri"/>
        </w:rPr>
      </w:pPr>
      <w:r w:rsidRPr="00BF5CB8">
        <w:rPr>
          <w:rFonts w:ascii="Calibri" w:hAnsi="Calibri" w:cs="Calibri"/>
        </w:rPr>
        <w:t>Ramazani</w:t>
      </w:r>
      <w:r>
        <w:rPr>
          <w:rFonts w:ascii="Calibri" w:hAnsi="Calibri" w:cs="Calibri"/>
        </w:rPr>
        <w:t>,</w:t>
      </w:r>
      <w:r w:rsidRPr="00BF5CB8">
        <w:rPr>
          <w:rFonts w:ascii="Calibri" w:hAnsi="Calibri" w:cs="Calibri"/>
        </w:rPr>
        <w:t xml:space="preserve"> Jahan</w:t>
      </w:r>
      <w:r>
        <w:rPr>
          <w:rFonts w:ascii="Calibri" w:hAnsi="Calibri" w:cs="Calibri"/>
        </w:rPr>
        <w:t xml:space="preserve">. </w:t>
      </w:r>
      <w:r w:rsidR="007C123F" w:rsidRPr="007C123F">
        <w:rPr>
          <w:rFonts w:ascii="Calibri" w:hAnsi="Calibri" w:cs="Calibri"/>
          <w:i/>
          <w:iCs/>
        </w:rPr>
        <w:t xml:space="preserve">The </w:t>
      </w:r>
      <w:r w:rsidR="007C123F">
        <w:rPr>
          <w:rFonts w:ascii="Calibri" w:hAnsi="Calibri" w:cs="Calibri"/>
          <w:i/>
          <w:iCs/>
        </w:rPr>
        <w:t>H</w:t>
      </w:r>
      <w:r w:rsidR="007C123F" w:rsidRPr="007C123F">
        <w:rPr>
          <w:rFonts w:ascii="Calibri" w:hAnsi="Calibri" w:cs="Calibri"/>
          <w:i/>
          <w:iCs/>
        </w:rPr>
        <w:t>ybrid</w:t>
      </w:r>
      <w:r w:rsidR="007C123F">
        <w:rPr>
          <w:rFonts w:ascii="Calibri" w:hAnsi="Calibri" w:cs="Calibri"/>
          <w:i/>
          <w:iCs/>
        </w:rPr>
        <w:t xml:space="preserve"> M</w:t>
      </w:r>
      <w:r w:rsidR="007C123F" w:rsidRPr="007C123F">
        <w:rPr>
          <w:rFonts w:ascii="Calibri" w:hAnsi="Calibri" w:cs="Calibri"/>
          <w:i/>
          <w:iCs/>
        </w:rPr>
        <w:t xml:space="preserve">use: </w:t>
      </w:r>
      <w:r w:rsidR="007C123F">
        <w:rPr>
          <w:rFonts w:ascii="Calibri" w:hAnsi="Calibri" w:cs="Calibri"/>
          <w:i/>
          <w:iCs/>
        </w:rPr>
        <w:t>P</w:t>
      </w:r>
      <w:r w:rsidR="007C123F" w:rsidRPr="007C123F">
        <w:rPr>
          <w:rFonts w:ascii="Calibri" w:hAnsi="Calibri" w:cs="Calibri"/>
          <w:i/>
          <w:iCs/>
        </w:rPr>
        <w:t xml:space="preserve">ostcolonial </w:t>
      </w:r>
      <w:r w:rsidR="007C123F">
        <w:rPr>
          <w:rFonts w:ascii="Calibri" w:hAnsi="Calibri" w:cs="Calibri"/>
          <w:i/>
          <w:iCs/>
        </w:rPr>
        <w:t>P</w:t>
      </w:r>
      <w:r w:rsidR="007C123F" w:rsidRPr="007C123F">
        <w:rPr>
          <w:rFonts w:ascii="Calibri" w:hAnsi="Calibri" w:cs="Calibri"/>
          <w:i/>
          <w:iCs/>
        </w:rPr>
        <w:t>oetry in English</w:t>
      </w:r>
      <w:r w:rsidR="007C123F">
        <w:rPr>
          <w:rFonts w:ascii="Calibri" w:hAnsi="Calibri" w:cs="Calibri"/>
        </w:rPr>
        <w:t xml:space="preserve">. </w:t>
      </w:r>
      <w:r w:rsidR="007C123F" w:rsidRPr="007C123F">
        <w:rPr>
          <w:rFonts w:ascii="Calibri" w:hAnsi="Calibri" w:cs="Calibri"/>
        </w:rPr>
        <w:t>Chicago: University of Chicago Press</w:t>
      </w:r>
      <w:r w:rsidR="007C123F">
        <w:rPr>
          <w:rFonts w:ascii="Calibri" w:hAnsi="Calibri" w:cs="Calibri"/>
        </w:rPr>
        <w:t>, 2001.</w:t>
      </w:r>
    </w:p>
    <w:p w14:paraId="371AF94D" w14:textId="1AD975E2" w:rsidR="002D2158" w:rsidRDefault="007C123F" w:rsidP="002D2158">
      <w:pPr>
        <w:pStyle w:val="BodyText"/>
        <w:ind w:left="720" w:hanging="720"/>
        <w:rPr>
          <w:rFonts w:ascii="Calibri" w:hAnsi="Calibri" w:cs="Calibri"/>
        </w:rPr>
      </w:pPr>
      <w:r>
        <w:rPr>
          <w:rFonts w:ascii="Calibri" w:hAnsi="Calibri" w:cs="Calibri"/>
        </w:rPr>
        <w:t xml:space="preserve">---. </w:t>
      </w:r>
      <w:r w:rsidR="002D2158">
        <w:rPr>
          <w:rFonts w:ascii="Calibri" w:hAnsi="Calibri" w:cs="Calibri"/>
        </w:rPr>
        <w:t>‘</w:t>
      </w:r>
      <w:r w:rsidR="002D2158" w:rsidRPr="00BF5CB8">
        <w:rPr>
          <w:rFonts w:ascii="Calibri" w:hAnsi="Calibri" w:cs="Calibri"/>
        </w:rPr>
        <w:t>Modernist Bricolage, Postcolonial Hybridity,</w:t>
      </w:r>
      <w:r w:rsidR="002D2158">
        <w:rPr>
          <w:rFonts w:ascii="Calibri" w:hAnsi="Calibri" w:cs="Calibri"/>
        </w:rPr>
        <w:t xml:space="preserve">’ in </w:t>
      </w:r>
      <w:r w:rsidR="002D2158" w:rsidRPr="008772AB">
        <w:rPr>
          <w:rFonts w:ascii="Calibri" w:hAnsi="Calibri" w:cs="Calibri"/>
          <w:i/>
          <w:iCs/>
        </w:rPr>
        <w:t>Modernism and colonialism</w:t>
      </w:r>
      <w:r w:rsidR="002D2158" w:rsidRPr="00BF5CB8">
        <w:rPr>
          <w:rFonts w:ascii="Calibri" w:hAnsi="Calibri" w:cs="Calibri"/>
        </w:rPr>
        <w:t xml:space="preserve"> </w:t>
      </w:r>
      <w:r w:rsidR="002D2158">
        <w:rPr>
          <w:rFonts w:ascii="Calibri" w:hAnsi="Calibri" w:cs="Calibri"/>
        </w:rPr>
        <w:t xml:space="preserve">ed. Begam and Moses, </w:t>
      </w:r>
      <w:r w:rsidR="002D2158" w:rsidRPr="00BF5CB8">
        <w:rPr>
          <w:rFonts w:ascii="Calibri" w:hAnsi="Calibri" w:cs="Calibri"/>
        </w:rPr>
        <w:t>pp. 288–314</w:t>
      </w:r>
      <w:r w:rsidR="002D2158">
        <w:rPr>
          <w:rFonts w:ascii="Calibri" w:hAnsi="Calibri" w:cs="Calibri"/>
        </w:rPr>
        <w:t>.</w:t>
      </w:r>
    </w:p>
    <w:p w14:paraId="18480028" w14:textId="4CB7A55D" w:rsidR="007C123F" w:rsidRPr="008772AB" w:rsidRDefault="007C123F" w:rsidP="007C123F">
      <w:pPr>
        <w:pStyle w:val="BodyText"/>
        <w:ind w:left="720" w:hanging="720"/>
        <w:rPr>
          <w:rFonts w:ascii="Calibri" w:hAnsi="Calibri" w:cs="Calibri"/>
        </w:rPr>
      </w:pPr>
      <w:r>
        <w:rPr>
          <w:rFonts w:ascii="Calibri" w:hAnsi="Calibri" w:cs="Calibri"/>
        </w:rPr>
        <w:t xml:space="preserve">---. </w:t>
      </w:r>
      <w:r w:rsidRPr="007C123F">
        <w:rPr>
          <w:rFonts w:ascii="Calibri" w:hAnsi="Calibri" w:cs="Calibri"/>
          <w:i/>
          <w:iCs/>
        </w:rPr>
        <w:t>A Transnational Poetics</w:t>
      </w:r>
      <w:r>
        <w:rPr>
          <w:rFonts w:ascii="Calibri" w:hAnsi="Calibri" w:cs="Calibri"/>
        </w:rPr>
        <w:t xml:space="preserve">. </w:t>
      </w:r>
      <w:r w:rsidRPr="007C123F">
        <w:rPr>
          <w:rFonts w:ascii="Calibri" w:hAnsi="Calibri" w:cs="Calibri"/>
        </w:rPr>
        <w:t>Chicago: University of Chicago Press</w:t>
      </w:r>
      <w:r>
        <w:rPr>
          <w:rFonts w:ascii="Calibri" w:hAnsi="Calibri" w:cs="Calibri"/>
        </w:rPr>
        <w:t>, 2009.</w:t>
      </w:r>
    </w:p>
    <w:p w14:paraId="20DAD418" w14:textId="77777777" w:rsidR="002D2158" w:rsidRPr="008772AB" w:rsidRDefault="002D2158" w:rsidP="002D2158">
      <w:pPr>
        <w:pStyle w:val="BodyText"/>
        <w:ind w:left="720" w:hanging="720"/>
        <w:rPr>
          <w:rFonts w:ascii="Calibri" w:hAnsi="Calibri" w:cs="Calibri"/>
          <w:lang w:eastAsia="ja-JP"/>
        </w:rPr>
      </w:pPr>
      <w:r w:rsidRPr="008772AB">
        <w:rPr>
          <w:rFonts w:ascii="Calibri" w:hAnsi="Calibri" w:cs="Calibri"/>
          <w:lang w:eastAsia="ja-JP"/>
        </w:rPr>
        <w:t xml:space="preserve">Said, Edward.   ‘Representing the Colonized’, </w:t>
      </w:r>
      <w:r w:rsidRPr="008772AB">
        <w:rPr>
          <w:rFonts w:ascii="Calibri" w:hAnsi="Calibri" w:cs="Calibri"/>
          <w:i/>
          <w:iCs/>
          <w:lang w:eastAsia="ja-JP"/>
        </w:rPr>
        <w:t>Critical Inquiry</w:t>
      </w:r>
      <w:r w:rsidRPr="008772AB">
        <w:rPr>
          <w:rFonts w:ascii="Calibri" w:hAnsi="Calibri" w:cs="Calibri"/>
          <w:lang w:eastAsia="ja-JP"/>
        </w:rPr>
        <w:t>, 15 (Winter 1989), 205-25.  Mostly concerned with anthropology, but influential.</w:t>
      </w:r>
    </w:p>
    <w:p w14:paraId="06075D63" w14:textId="77777777" w:rsidR="002D2158" w:rsidRDefault="002D2158" w:rsidP="002D2158">
      <w:pPr>
        <w:pStyle w:val="BodyText"/>
        <w:ind w:left="720" w:hanging="720"/>
        <w:rPr>
          <w:rFonts w:ascii="Calibri" w:hAnsi="Calibri" w:cs="Calibri"/>
          <w:lang w:eastAsia="ja-JP"/>
        </w:rPr>
      </w:pPr>
      <w:r w:rsidRPr="008772AB">
        <w:rPr>
          <w:rFonts w:ascii="Calibri" w:hAnsi="Calibri" w:cs="Calibri"/>
          <w:lang w:eastAsia="ja-JP"/>
        </w:rPr>
        <w:t xml:space="preserve">Snaith, Anna. </w:t>
      </w:r>
      <w:r w:rsidRPr="008772AB">
        <w:rPr>
          <w:rFonts w:ascii="Calibri" w:hAnsi="Calibri" w:cs="Calibri"/>
          <w:i/>
          <w:iCs/>
          <w:lang w:eastAsia="ja-JP"/>
        </w:rPr>
        <w:t>Modernist voyages: colonial women writers in London, 1890-1945</w:t>
      </w:r>
      <w:r w:rsidRPr="008772AB">
        <w:rPr>
          <w:rFonts w:ascii="Calibri" w:hAnsi="Calibri" w:cs="Calibri"/>
          <w:lang w:eastAsia="ja-JP"/>
        </w:rPr>
        <w:t>. Cambridge: Cambridge University Press, 2014.  Considers Olive Schreiner, Sarojini Naidu, Sara Jeannette Duncan, Katherine Mansfield, Jean Rhys, Una Marson and Christina Stead.</w:t>
      </w:r>
    </w:p>
    <w:p w14:paraId="39185B41" w14:textId="64DFDFFD" w:rsidR="00BF7B90" w:rsidRDefault="002D2158" w:rsidP="002D2158">
      <w:pPr>
        <w:pStyle w:val="BodyText"/>
        <w:ind w:left="720" w:hanging="720"/>
        <w:rPr>
          <w:rFonts w:ascii="Calibri" w:hAnsi="Calibri" w:cs="Calibri"/>
          <w:lang w:eastAsia="ja-JP"/>
        </w:rPr>
      </w:pPr>
      <w:r>
        <w:rPr>
          <w:rFonts w:ascii="Calibri" w:hAnsi="Calibri" w:cs="Calibri"/>
          <w:lang w:eastAsia="ja-JP"/>
        </w:rPr>
        <w:t xml:space="preserve">---. ‘Leonard and Virginia Woolf: Writing Against Empire.’ </w:t>
      </w:r>
      <w:r w:rsidR="00BF7B90" w:rsidRPr="00BF7B90">
        <w:rPr>
          <w:rFonts w:ascii="Calibri" w:hAnsi="Calibri" w:cs="Calibri"/>
          <w:i/>
          <w:iCs/>
          <w:lang w:eastAsia="ja-JP"/>
        </w:rPr>
        <w:t>The Journal of Commonwealth Literature,</w:t>
      </w:r>
      <w:r w:rsidR="00BF7B90" w:rsidRPr="00BF7B90">
        <w:rPr>
          <w:rFonts w:ascii="Calibri" w:hAnsi="Calibri" w:cs="Calibri"/>
          <w:lang w:eastAsia="ja-JP"/>
        </w:rPr>
        <w:t xml:space="preserve"> 50</w:t>
      </w:r>
      <w:r w:rsidR="00BF7B90">
        <w:rPr>
          <w:rFonts w:ascii="Calibri" w:hAnsi="Calibri" w:cs="Calibri"/>
          <w:lang w:eastAsia="ja-JP"/>
        </w:rPr>
        <w:t xml:space="preserve"> no.</w:t>
      </w:r>
      <w:r w:rsidR="00BF7B90" w:rsidRPr="00BF7B90">
        <w:rPr>
          <w:rFonts w:ascii="Calibri" w:hAnsi="Calibri" w:cs="Calibri"/>
          <w:lang w:eastAsia="ja-JP"/>
        </w:rPr>
        <w:t>1</w:t>
      </w:r>
      <w:r w:rsidR="00BF7B90">
        <w:rPr>
          <w:rFonts w:ascii="Calibri" w:hAnsi="Calibri" w:cs="Calibri"/>
          <w:lang w:eastAsia="ja-JP"/>
        </w:rPr>
        <w:t xml:space="preserve"> (2015</w:t>
      </w:r>
      <w:r w:rsidR="00BF7B90" w:rsidRPr="00BF7B90">
        <w:rPr>
          <w:rFonts w:ascii="Calibri" w:hAnsi="Calibri" w:cs="Calibri"/>
          <w:lang w:eastAsia="ja-JP"/>
        </w:rPr>
        <w:t>), 19-32</w:t>
      </w:r>
      <w:r w:rsidR="00BF7B90">
        <w:rPr>
          <w:rFonts w:ascii="Calibri" w:hAnsi="Calibri" w:cs="Calibri"/>
          <w:lang w:eastAsia="ja-JP"/>
        </w:rPr>
        <w:t>.</w:t>
      </w:r>
    </w:p>
    <w:p w14:paraId="177E3AE4" w14:textId="2B574355" w:rsidR="002D2158" w:rsidRDefault="002D2158" w:rsidP="002D2158">
      <w:pPr>
        <w:pStyle w:val="BodyText"/>
        <w:ind w:left="720" w:hanging="720"/>
        <w:rPr>
          <w:rFonts w:ascii="Calibri" w:hAnsi="Calibri" w:cs="Calibri"/>
          <w:lang w:eastAsia="ja-JP"/>
        </w:rPr>
      </w:pPr>
      <w:r>
        <w:rPr>
          <w:rFonts w:ascii="Calibri" w:hAnsi="Calibri" w:cs="Calibri"/>
          <w:lang w:eastAsia="ja-JP"/>
        </w:rPr>
        <w:t xml:space="preserve">Trivedi, Harish. ‘Ganga was Sunken”: T. S. Eliot’s Use of India.” In </w:t>
      </w:r>
      <w:r w:rsidRPr="007A512B">
        <w:rPr>
          <w:rFonts w:ascii="Calibri" w:hAnsi="Calibri" w:cs="Calibri"/>
          <w:i/>
          <w:iCs/>
          <w:lang w:eastAsia="ja-JP"/>
        </w:rPr>
        <w:t>The Fire and the Rose: New Essays on T. S. Eliot</w:t>
      </w:r>
      <w:r>
        <w:rPr>
          <w:rFonts w:ascii="Calibri" w:hAnsi="Calibri" w:cs="Calibri"/>
          <w:lang w:eastAsia="ja-JP"/>
        </w:rPr>
        <w:t>, ed. Vinod Sena and Rajiva Verma (Delhi: Oxford University Press, 1992), 44-62.</w:t>
      </w:r>
    </w:p>
    <w:p w14:paraId="4DBED178" w14:textId="4EB0EDDF" w:rsidR="007C123F" w:rsidRPr="008772AB" w:rsidRDefault="007C123F" w:rsidP="002D2158">
      <w:pPr>
        <w:pStyle w:val="BodyText"/>
        <w:ind w:left="720" w:hanging="720"/>
        <w:rPr>
          <w:rFonts w:ascii="Calibri" w:hAnsi="Calibri" w:cs="Calibri"/>
          <w:lang w:eastAsia="ja-JP"/>
        </w:rPr>
      </w:pPr>
      <w:r>
        <w:rPr>
          <w:rFonts w:ascii="Calibri" w:hAnsi="Calibri" w:cs="Calibri"/>
          <w:lang w:eastAsia="ja-JP"/>
        </w:rPr>
        <w:t>Williams, Raymond. ‘Metropolitan Perceptions and the Emergence of Modernism’ (1985)</w:t>
      </w:r>
      <w:r w:rsidR="0045095A">
        <w:rPr>
          <w:rFonts w:ascii="Calibri" w:hAnsi="Calibri" w:cs="Calibri"/>
          <w:lang w:eastAsia="ja-JP"/>
        </w:rPr>
        <w:t xml:space="preserve">, reprinted in </w:t>
      </w:r>
      <w:r w:rsidR="0045095A" w:rsidRPr="0045095A">
        <w:rPr>
          <w:rFonts w:ascii="Calibri" w:hAnsi="Calibri" w:cs="Calibri"/>
          <w:i/>
          <w:iCs/>
          <w:lang w:eastAsia="ja-JP"/>
        </w:rPr>
        <w:t>The Politics of Modernism</w:t>
      </w:r>
      <w:r w:rsidR="0045095A">
        <w:rPr>
          <w:rFonts w:ascii="Calibri" w:hAnsi="Calibri" w:cs="Calibri"/>
          <w:lang w:eastAsia="ja-JP"/>
        </w:rPr>
        <w:t xml:space="preserve"> (London: Verso, 1989)</w:t>
      </w:r>
    </w:p>
    <w:p w14:paraId="35A15343" w14:textId="77777777" w:rsidR="002D2158" w:rsidRDefault="002D2158"/>
    <w:sectPr w:rsidR="002D21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w:panose1 w:val="00000000000000000000"/>
    <w:charset w:val="4D"/>
    <w:family w:val="auto"/>
    <w:pitch w:val="variable"/>
    <w:sig w:usb0="A00002FF" w:usb1="7800205A" w:usb2="14600000" w:usb3="00000000" w:csb0="00000193"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158"/>
    <w:rsid w:val="00036D47"/>
    <w:rsid w:val="00182E8E"/>
    <w:rsid w:val="00251A91"/>
    <w:rsid w:val="002703D6"/>
    <w:rsid w:val="002D2158"/>
    <w:rsid w:val="0045095A"/>
    <w:rsid w:val="00494FD7"/>
    <w:rsid w:val="006D6749"/>
    <w:rsid w:val="007C123F"/>
    <w:rsid w:val="007F685D"/>
    <w:rsid w:val="00BF7B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478EB6E"/>
  <w15:chartTrackingRefBased/>
  <w15:docId w15:val="{B4331748-86C8-0D49-86A2-11D655E34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2D2158"/>
    <w:pPr>
      <w:spacing w:line="360" w:lineRule="auto"/>
    </w:pPr>
    <w:rPr>
      <w:rFonts w:ascii="Palatino" w:eastAsia="Times New Roman" w:hAnsi="Palatino" w:cs="Times New Roman"/>
      <w:szCs w:val="20"/>
      <w:lang w:eastAsia="en-GB"/>
    </w:rPr>
  </w:style>
  <w:style w:type="character" w:customStyle="1" w:styleId="BodyTextChar">
    <w:name w:val="Body Text Char"/>
    <w:basedOn w:val="DefaultParagraphFont"/>
    <w:link w:val="BodyText"/>
    <w:semiHidden/>
    <w:rsid w:val="002D2158"/>
    <w:rPr>
      <w:rFonts w:ascii="Palatino" w:eastAsia="Times New Roman" w:hAnsi="Palatino" w:cs="Times New Roman"/>
      <w:szCs w:val="20"/>
      <w:lang w:eastAsia="en-GB"/>
    </w:rPr>
  </w:style>
  <w:style w:type="character" w:styleId="CommentReference">
    <w:name w:val="annotation reference"/>
    <w:basedOn w:val="DefaultParagraphFont"/>
    <w:uiPriority w:val="99"/>
    <w:semiHidden/>
    <w:unhideWhenUsed/>
    <w:rsid w:val="0045095A"/>
    <w:rPr>
      <w:sz w:val="16"/>
      <w:szCs w:val="16"/>
    </w:rPr>
  </w:style>
  <w:style w:type="paragraph" w:styleId="CommentText">
    <w:name w:val="annotation text"/>
    <w:basedOn w:val="Normal"/>
    <w:link w:val="CommentTextChar"/>
    <w:uiPriority w:val="99"/>
    <w:semiHidden/>
    <w:unhideWhenUsed/>
    <w:rsid w:val="0045095A"/>
    <w:rPr>
      <w:sz w:val="20"/>
      <w:szCs w:val="20"/>
    </w:rPr>
  </w:style>
  <w:style w:type="character" w:customStyle="1" w:styleId="CommentTextChar">
    <w:name w:val="Comment Text Char"/>
    <w:basedOn w:val="DefaultParagraphFont"/>
    <w:link w:val="CommentText"/>
    <w:uiPriority w:val="99"/>
    <w:semiHidden/>
    <w:rsid w:val="0045095A"/>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3026523">
      <w:bodyDiv w:val="1"/>
      <w:marLeft w:val="0"/>
      <w:marRight w:val="0"/>
      <w:marTop w:val="0"/>
      <w:marBottom w:val="0"/>
      <w:divBdr>
        <w:top w:val="none" w:sz="0" w:space="0" w:color="auto"/>
        <w:left w:val="none" w:sz="0" w:space="0" w:color="auto"/>
        <w:bottom w:val="none" w:sz="0" w:space="0" w:color="auto"/>
        <w:right w:val="none" w:sz="0" w:space="0" w:color="auto"/>
      </w:divBdr>
    </w:div>
    <w:div w:id="1474253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1170</Words>
  <Characters>6672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Whitworth</dc:creator>
  <cp:keywords/>
  <dc:description/>
  <cp:lastModifiedBy>Michael Whitworth</cp:lastModifiedBy>
  <cp:revision>6</cp:revision>
  <cp:lastPrinted>2023-01-27T09:31:00Z</cp:lastPrinted>
  <dcterms:created xsi:type="dcterms:W3CDTF">2021-01-14T16:04:00Z</dcterms:created>
  <dcterms:modified xsi:type="dcterms:W3CDTF">2026-04-27T13:36:00Z</dcterms:modified>
</cp:coreProperties>
</file>