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6308955E" w:rsidR="00E6175A" w:rsidRPr="00FD140C" w:rsidRDefault="005509CA" w:rsidP="00316ED3">
      <w:pPr>
        <w:spacing w:before="2400"/>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116EF1">
        <w:rPr>
          <w:rFonts w:cs="Arial"/>
          <w:color w:val="FFFFFF" w:themeColor="background1"/>
          <w:sz w:val="80"/>
          <w:szCs w:val="80"/>
        </w:rPr>
        <w:t xml:space="preserve">Security Awareness </w:t>
      </w:r>
      <w:r w:rsidR="00316ED3">
        <w:rPr>
          <w:rFonts w:cs="Arial"/>
          <w:color w:val="FFFFFF" w:themeColor="background1"/>
          <w:sz w:val="80"/>
          <w:szCs w:val="80"/>
        </w:rPr>
        <w:br/>
      </w:r>
      <w:r w:rsidR="007E27A8">
        <w:rPr>
          <w:rFonts w:cs="Arial"/>
          <w:color w:val="FFFFFF" w:themeColor="background1"/>
          <w:sz w:val="80"/>
          <w:szCs w:val="80"/>
        </w:rPr>
        <w:t xml:space="preserve">Skills </w:t>
      </w:r>
      <w:r w:rsidR="00116EF1">
        <w:rPr>
          <w:rFonts w:cs="Arial"/>
          <w:color w:val="FFFFFF" w:themeColor="background1"/>
          <w:sz w:val="80"/>
          <w:szCs w:val="80"/>
        </w:rPr>
        <w:t xml:space="preserve">Training </w:t>
      </w:r>
      <w:r w:rsidR="00316ED3">
        <w:rPr>
          <w:rFonts w:cs="Arial"/>
          <w:color w:val="FFFFFF" w:themeColor="background1"/>
          <w:sz w:val="80"/>
          <w:szCs w:val="80"/>
        </w:rPr>
        <w:br/>
      </w:r>
      <w:r w:rsidR="00116EF1">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0165AE53" w:rsidR="005509CA" w:rsidRDefault="00E95C74" w:rsidP="00316ED3">
      <w:pPr>
        <w:spacing w:before="480"/>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45DF5D10" w:rsidR="004F33BC" w:rsidRPr="004F33BC" w:rsidRDefault="00E415B5" w:rsidP="00316ED3">
      <w:pPr>
        <w:spacing w:before="480"/>
        <w:rPr>
          <w:rFonts w:cs="Arial"/>
          <w:b/>
          <w:bCs/>
          <w:color w:val="FFFFFF" w:themeColor="background1"/>
          <w:sz w:val="28"/>
          <w:szCs w:val="28"/>
        </w:rPr>
      </w:pPr>
      <w:r>
        <w:rPr>
          <w:rFonts w:cs="Arial"/>
          <w:b/>
          <w:bCs/>
          <w:color w:val="FFFFFF" w:themeColor="background1"/>
          <w:sz w:val="28"/>
          <w:szCs w:val="28"/>
        </w:rPr>
        <w:t>March</w:t>
      </w:r>
      <w:r w:rsidRPr="004F33BC">
        <w:rPr>
          <w:rFonts w:cs="Arial"/>
          <w:b/>
          <w:bCs/>
          <w:color w:val="FFFFFF" w:themeColor="background1"/>
          <w:sz w:val="28"/>
          <w:szCs w:val="28"/>
        </w:rPr>
        <w:t xml:space="preserve"> </w:t>
      </w:r>
      <w:r w:rsidR="004F33BC" w:rsidRPr="004F33BC">
        <w:rPr>
          <w:rFonts w:cs="Arial"/>
          <w:b/>
          <w:bCs/>
          <w:color w:val="FFFFFF" w:themeColor="background1"/>
          <w:sz w:val="28"/>
          <w:szCs w:val="28"/>
        </w:rPr>
        <w:t>202</w:t>
      </w:r>
      <w:r w:rsidR="00E03991">
        <w:rPr>
          <w:rFonts w:cs="Arial"/>
          <w:b/>
          <w:bCs/>
          <w:color w:val="FFFFFF" w:themeColor="background1"/>
          <w:sz w:val="28"/>
          <w:szCs w:val="28"/>
        </w:rPr>
        <w:t>3</w:t>
      </w:r>
    </w:p>
    <w:bookmarkStart w:id="0" w:name="_Toc104374264" w:displacedByCustomXml="next"/>
    <w:bookmarkStart w:id="1" w:name="_Toc128322011"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659EBEBF" w14:textId="1D0DEEC4" w:rsidR="003A2970" w:rsidRDefault="00E6175A" w:rsidP="00316ED3">
          <w:pPr>
            <w:pStyle w:val="TOC1"/>
            <w:tabs>
              <w:tab w:val="clear" w:pos="9350"/>
              <w:tab w:val="right" w:leader="dot" w:pos="10080"/>
            </w:tabs>
            <w:rPr>
              <w:rFonts w:asciiTheme="minorHAnsi" w:eastAsiaTheme="minorEastAsia" w:hAnsiTheme="minorHAnsi" w:cstheme="minorBidi"/>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28322011" w:history="1">
            <w:r w:rsidR="003A2970" w:rsidRPr="00E01BDC">
              <w:rPr>
                <w:rStyle w:val="Hyperlink"/>
                <w:noProof/>
              </w:rPr>
              <w:t>Contents</w:t>
            </w:r>
            <w:r w:rsidR="003A2970">
              <w:rPr>
                <w:noProof/>
                <w:webHidden/>
              </w:rPr>
              <w:tab/>
            </w:r>
            <w:r w:rsidR="003A2970">
              <w:rPr>
                <w:noProof/>
                <w:webHidden/>
              </w:rPr>
              <w:fldChar w:fldCharType="begin"/>
            </w:r>
            <w:r w:rsidR="003A2970">
              <w:rPr>
                <w:noProof/>
                <w:webHidden/>
              </w:rPr>
              <w:instrText xml:space="preserve"> PAGEREF _Toc128322011 \h </w:instrText>
            </w:r>
            <w:r w:rsidR="003A2970">
              <w:rPr>
                <w:noProof/>
                <w:webHidden/>
              </w:rPr>
            </w:r>
            <w:r w:rsidR="003A2970">
              <w:rPr>
                <w:noProof/>
                <w:webHidden/>
              </w:rPr>
              <w:fldChar w:fldCharType="separate"/>
            </w:r>
            <w:r w:rsidR="003A2970">
              <w:rPr>
                <w:noProof/>
                <w:webHidden/>
              </w:rPr>
              <w:t>2</w:t>
            </w:r>
            <w:r w:rsidR="003A2970">
              <w:rPr>
                <w:noProof/>
                <w:webHidden/>
              </w:rPr>
              <w:fldChar w:fldCharType="end"/>
            </w:r>
          </w:hyperlink>
        </w:p>
        <w:p w14:paraId="16089376" w14:textId="577FD5C0"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12" w:history="1">
            <w:r w:rsidR="003A2970" w:rsidRPr="00E01BDC">
              <w:rPr>
                <w:rStyle w:val="Hyperlink"/>
                <w:noProof/>
              </w:rPr>
              <w:t>Acknowledgments</w:t>
            </w:r>
            <w:r w:rsidR="003A2970">
              <w:rPr>
                <w:noProof/>
                <w:webHidden/>
              </w:rPr>
              <w:tab/>
            </w:r>
            <w:r w:rsidR="003A2970">
              <w:rPr>
                <w:noProof/>
                <w:webHidden/>
              </w:rPr>
              <w:fldChar w:fldCharType="begin"/>
            </w:r>
            <w:r w:rsidR="003A2970">
              <w:rPr>
                <w:noProof/>
                <w:webHidden/>
              </w:rPr>
              <w:instrText xml:space="preserve"> PAGEREF _Toc128322012 \h </w:instrText>
            </w:r>
            <w:r w:rsidR="003A2970">
              <w:rPr>
                <w:noProof/>
                <w:webHidden/>
              </w:rPr>
            </w:r>
            <w:r w:rsidR="003A2970">
              <w:rPr>
                <w:noProof/>
                <w:webHidden/>
              </w:rPr>
              <w:fldChar w:fldCharType="separate"/>
            </w:r>
            <w:r w:rsidR="003A2970">
              <w:rPr>
                <w:noProof/>
                <w:webHidden/>
              </w:rPr>
              <w:t>3</w:t>
            </w:r>
            <w:r w:rsidR="003A2970">
              <w:rPr>
                <w:noProof/>
                <w:webHidden/>
              </w:rPr>
              <w:fldChar w:fldCharType="end"/>
            </w:r>
          </w:hyperlink>
        </w:p>
        <w:p w14:paraId="620DC2D3" w14:textId="03AE5CA5"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13" w:history="1">
            <w:r w:rsidR="003A2970" w:rsidRPr="00E01BDC">
              <w:rPr>
                <w:rStyle w:val="Hyperlink"/>
                <w:rFonts w:eastAsia="Times New Roman"/>
                <w:noProof/>
              </w:rPr>
              <w:t>Introduction</w:t>
            </w:r>
            <w:r w:rsidR="003A2970">
              <w:rPr>
                <w:noProof/>
                <w:webHidden/>
              </w:rPr>
              <w:tab/>
            </w:r>
            <w:r w:rsidR="003A2970">
              <w:rPr>
                <w:noProof/>
                <w:webHidden/>
              </w:rPr>
              <w:fldChar w:fldCharType="begin"/>
            </w:r>
            <w:r w:rsidR="003A2970">
              <w:rPr>
                <w:noProof/>
                <w:webHidden/>
              </w:rPr>
              <w:instrText xml:space="preserve"> PAGEREF _Toc128322013 \h </w:instrText>
            </w:r>
            <w:r w:rsidR="003A2970">
              <w:rPr>
                <w:noProof/>
                <w:webHidden/>
              </w:rPr>
            </w:r>
            <w:r w:rsidR="003A2970">
              <w:rPr>
                <w:noProof/>
                <w:webHidden/>
              </w:rPr>
              <w:fldChar w:fldCharType="separate"/>
            </w:r>
            <w:r w:rsidR="003A2970">
              <w:rPr>
                <w:noProof/>
                <w:webHidden/>
              </w:rPr>
              <w:t>4</w:t>
            </w:r>
            <w:r w:rsidR="003A2970">
              <w:rPr>
                <w:noProof/>
                <w:webHidden/>
              </w:rPr>
              <w:fldChar w:fldCharType="end"/>
            </w:r>
          </w:hyperlink>
        </w:p>
        <w:p w14:paraId="44F7F1E4" w14:textId="2592B2DE"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14" w:history="1">
            <w:r w:rsidR="003A2970" w:rsidRPr="00E01BDC">
              <w:rPr>
                <w:rStyle w:val="Hyperlink"/>
                <w:noProof/>
              </w:rPr>
              <w:t>Purpose</w:t>
            </w:r>
            <w:r w:rsidR="003A2970">
              <w:rPr>
                <w:noProof/>
                <w:webHidden/>
              </w:rPr>
              <w:tab/>
            </w:r>
            <w:r w:rsidR="003A2970">
              <w:rPr>
                <w:noProof/>
                <w:webHidden/>
              </w:rPr>
              <w:fldChar w:fldCharType="begin"/>
            </w:r>
            <w:r w:rsidR="003A2970">
              <w:rPr>
                <w:noProof/>
                <w:webHidden/>
              </w:rPr>
              <w:instrText xml:space="preserve"> PAGEREF _Toc128322014 \h </w:instrText>
            </w:r>
            <w:r w:rsidR="003A2970">
              <w:rPr>
                <w:noProof/>
                <w:webHidden/>
              </w:rPr>
            </w:r>
            <w:r w:rsidR="003A2970">
              <w:rPr>
                <w:noProof/>
                <w:webHidden/>
              </w:rPr>
              <w:fldChar w:fldCharType="separate"/>
            </w:r>
            <w:r w:rsidR="003A2970">
              <w:rPr>
                <w:noProof/>
                <w:webHidden/>
              </w:rPr>
              <w:t>4</w:t>
            </w:r>
            <w:r w:rsidR="003A2970">
              <w:rPr>
                <w:noProof/>
                <w:webHidden/>
              </w:rPr>
              <w:fldChar w:fldCharType="end"/>
            </w:r>
          </w:hyperlink>
        </w:p>
        <w:p w14:paraId="77079E7A" w14:textId="26F004CC"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15" w:history="1">
            <w:r w:rsidR="003A2970" w:rsidRPr="00E01BDC">
              <w:rPr>
                <w:rStyle w:val="Hyperlink"/>
                <w:noProof/>
              </w:rPr>
              <w:t>Types of Training</w:t>
            </w:r>
            <w:r w:rsidR="003A2970">
              <w:rPr>
                <w:noProof/>
                <w:webHidden/>
              </w:rPr>
              <w:tab/>
            </w:r>
            <w:r w:rsidR="003A2970">
              <w:rPr>
                <w:noProof/>
                <w:webHidden/>
              </w:rPr>
              <w:fldChar w:fldCharType="begin"/>
            </w:r>
            <w:r w:rsidR="003A2970">
              <w:rPr>
                <w:noProof/>
                <w:webHidden/>
              </w:rPr>
              <w:instrText xml:space="preserve"> PAGEREF _Toc128322015 \h </w:instrText>
            </w:r>
            <w:r w:rsidR="003A2970">
              <w:rPr>
                <w:noProof/>
                <w:webHidden/>
              </w:rPr>
            </w:r>
            <w:r w:rsidR="003A2970">
              <w:rPr>
                <w:noProof/>
                <w:webHidden/>
              </w:rPr>
              <w:fldChar w:fldCharType="separate"/>
            </w:r>
            <w:r w:rsidR="003A2970">
              <w:rPr>
                <w:noProof/>
                <w:webHidden/>
              </w:rPr>
              <w:t>4</w:t>
            </w:r>
            <w:r w:rsidR="003A2970">
              <w:rPr>
                <w:noProof/>
                <w:webHidden/>
              </w:rPr>
              <w:fldChar w:fldCharType="end"/>
            </w:r>
          </w:hyperlink>
        </w:p>
        <w:p w14:paraId="7A57A8AD" w14:textId="013A6C9B"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16" w:history="1">
            <w:r w:rsidR="003A2970" w:rsidRPr="00E01BDC">
              <w:rPr>
                <w:rStyle w:val="Hyperlink"/>
                <w:noProof/>
              </w:rPr>
              <w:t>Scope</w:t>
            </w:r>
            <w:r w:rsidR="003A2970">
              <w:rPr>
                <w:noProof/>
                <w:webHidden/>
              </w:rPr>
              <w:tab/>
            </w:r>
            <w:r w:rsidR="003A2970">
              <w:rPr>
                <w:noProof/>
                <w:webHidden/>
              </w:rPr>
              <w:fldChar w:fldCharType="begin"/>
            </w:r>
            <w:r w:rsidR="003A2970">
              <w:rPr>
                <w:noProof/>
                <w:webHidden/>
              </w:rPr>
              <w:instrText xml:space="preserve"> PAGEREF _Toc128322016 \h </w:instrText>
            </w:r>
            <w:r w:rsidR="003A2970">
              <w:rPr>
                <w:noProof/>
                <w:webHidden/>
              </w:rPr>
            </w:r>
            <w:r w:rsidR="003A2970">
              <w:rPr>
                <w:noProof/>
                <w:webHidden/>
              </w:rPr>
              <w:fldChar w:fldCharType="separate"/>
            </w:r>
            <w:r w:rsidR="003A2970">
              <w:rPr>
                <w:noProof/>
                <w:webHidden/>
              </w:rPr>
              <w:t>4</w:t>
            </w:r>
            <w:r w:rsidR="003A2970">
              <w:rPr>
                <w:noProof/>
                <w:webHidden/>
              </w:rPr>
              <w:fldChar w:fldCharType="end"/>
            </w:r>
          </w:hyperlink>
        </w:p>
        <w:p w14:paraId="0FEEE684" w14:textId="16BDA5CB"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17" w:history="1">
            <w:r w:rsidR="003A2970" w:rsidRPr="00E01BDC">
              <w:rPr>
                <w:rStyle w:val="Hyperlink"/>
                <w:rFonts w:eastAsia="Times New Roman"/>
                <w:noProof/>
              </w:rPr>
              <w:t>Security Awareness Training Lifecycle</w:t>
            </w:r>
            <w:r w:rsidR="003A2970">
              <w:rPr>
                <w:noProof/>
                <w:webHidden/>
              </w:rPr>
              <w:tab/>
            </w:r>
            <w:r w:rsidR="003A2970">
              <w:rPr>
                <w:noProof/>
                <w:webHidden/>
              </w:rPr>
              <w:fldChar w:fldCharType="begin"/>
            </w:r>
            <w:r w:rsidR="003A2970">
              <w:rPr>
                <w:noProof/>
                <w:webHidden/>
              </w:rPr>
              <w:instrText xml:space="preserve"> PAGEREF _Toc128322017 \h </w:instrText>
            </w:r>
            <w:r w:rsidR="003A2970">
              <w:rPr>
                <w:noProof/>
                <w:webHidden/>
              </w:rPr>
            </w:r>
            <w:r w:rsidR="003A2970">
              <w:rPr>
                <w:noProof/>
                <w:webHidden/>
              </w:rPr>
              <w:fldChar w:fldCharType="separate"/>
            </w:r>
            <w:r w:rsidR="003A2970">
              <w:rPr>
                <w:noProof/>
                <w:webHidden/>
              </w:rPr>
              <w:t>6</w:t>
            </w:r>
            <w:r w:rsidR="003A2970">
              <w:rPr>
                <w:noProof/>
                <w:webHidden/>
              </w:rPr>
              <w:fldChar w:fldCharType="end"/>
            </w:r>
          </w:hyperlink>
        </w:p>
        <w:p w14:paraId="5B0E1E8F" w14:textId="30143962"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18" w:history="1">
            <w:r w:rsidR="003A2970" w:rsidRPr="00E01BDC">
              <w:rPr>
                <w:rStyle w:val="Hyperlink"/>
                <w:rFonts w:eastAsia="Times New Roman"/>
                <w:noProof/>
              </w:rPr>
              <w:t xml:space="preserve">Security Awareness Training </w:t>
            </w:r>
            <w:r w:rsidR="003A2970" w:rsidRPr="00E01BDC">
              <w:rPr>
                <w:rStyle w:val="Hyperlink"/>
                <w:noProof/>
              </w:rPr>
              <w:t>Policy</w:t>
            </w:r>
            <w:r w:rsidR="003A2970" w:rsidRPr="00E01BDC">
              <w:rPr>
                <w:rStyle w:val="Hyperlink"/>
                <w:rFonts w:eastAsia="Times New Roman"/>
                <w:noProof/>
              </w:rPr>
              <w:t xml:space="preserve"> Template</w:t>
            </w:r>
            <w:r w:rsidR="003A2970">
              <w:rPr>
                <w:noProof/>
                <w:webHidden/>
              </w:rPr>
              <w:tab/>
            </w:r>
            <w:r w:rsidR="003A2970">
              <w:rPr>
                <w:noProof/>
                <w:webHidden/>
              </w:rPr>
              <w:fldChar w:fldCharType="begin"/>
            </w:r>
            <w:r w:rsidR="003A2970">
              <w:rPr>
                <w:noProof/>
                <w:webHidden/>
              </w:rPr>
              <w:instrText xml:space="preserve"> PAGEREF _Toc128322018 \h </w:instrText>
            </w:r>
            <w:r w:rsidR="003A2970">
              <w:rPr>
                <w:noProof/>
                <w:webHidden/>
              </w:rPr>
            </w:r>
            <w:r w:rsidR="003A2970">
              <w:rPr>
                <w:noProof/>
                <w:webHidden/>
              </w:rPr>
              <w:fldChar w:fldCharType="separate"/>
            </w:r>
            <w:r w:rsidR="003A2970">
              <w:rPr>
                <w:noProof/>
                <w:webHidden/>
              </w:rPr>
              <w:t>9</w:t>
            </w:r>
            <w:r w:rsidR="003A2970">
              <w:rPr>
                <w:noProof/>
                <w:webHidden/>
              </w:rPr>
              <w:fldChar w:fldCharType="end"/>
            </w:r>
          </w:hyperlink>
        </w:p>
        <w:p w14:paraId="47B72E2A" w14:textId="7BB56148"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19" w:history="1">
            <w:r w:rsidR="003A2970" w:rsidRPr="00E01BDC">
              <w:rPr>
                <w:rStyle w:val="Hyperlink"/>
                <w:noProof/>
              </w:rPr>
              <w:t>Purpose</w:t>
            </w:r>
            <w:r w:rsidR="003A2970">
              <w:rPr>
                <w:noProof/>
                <w:webHidden/>
              </w:rPr>
              <w:tab/>
            </w:r>
            <w:r w:rsidR="003A2970">
              <w:rPr>
                <w:noProof/>
                <w:webHidden/>
              </w:rPr>
              <w:fldChar w:fldCharType="begin"/>
            </w:r>
            <w:r w:rsidR="003A2970">
              <w:rPr>
                <w:noProof/>
                <w:webHidden/>
              </w:rPr>
              <w:instrText xml:space="preserve"> PAGEREF _Toc128322019 \h </w:instrText>
            </w:r>
            <w:r w:rsidR="003A2970">
              <w:rPr>
                <w:noProof/>
                <w:webHidden/>
              </w:rPr>
            </w:r>
            <w:r w:rsidR="003A2970">
              <w:rPr>
                <w:noProof/>
                <w:webHidden/>
              </w:rPr>
              <w:fldChar w:fldCharType="separate"/>
            </w:r>
            <w:r w:rsidR="003A2970">
              <w:rPr>
                <w:noProof/>
                <w:webHidden/>
              </w:rPr>
              <w:t>9</w:t>
            </w:r>
            <w:r w:rsidR="003A2970">
              <w:rPr>
                <w:noProof/>
                <w:webHidden/>
              </w:rPr>
              <w:fldChar w:fldCharType="end"/>
            </w:r>
          </w:hyperlink>
        </w:p>
        <w:p w14:paraId="5972CF68" w14:textId="45520683"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20" w:history="1">
            <w:r w:rsidR="003A2970" w:rsidRPr="00E01BDC">
              <w:rPr>
                <w:rStyle w:val="Hyperlink"/>
                <w:noProof/>
              </w:rPr>
              <w:t>Responsibility</w:t>
            </w:r>
            <w:r w:rsidR="003A2970">
              <w:rPr>
                <w:noProof/>
                <w:webHidden/>
              </w:rPr>
              <w:tab/>
            </w:r>
            <w:r w:rsidR="003A2970">
              <w:rPr>
                <w:noProof/>
                <w:webHidden/>
              </w:rPr>
              <w:fldChar w:fldCharType="begin"/>
            </w:r>
            <w:r w:rsidR="003A2970">
              <w:rPr>
                <w:noProof/>
                <w:webHidden/>
              </w:rPr>
              <w:instrText xml:space="preserve"> PAGEREF _Toc128322020 \h </w:instrText>
            </w:r>
            <w:r w:rsidR="003A2970">
              <w:rPr>
                <w:noProof/>
                <w:webHidden/>
              </w:rPr>
            </w:r>
            <w:r w:rsidR="003A2970">
              <w:rPr>
                <w:noProof/>
                <w:webHidden/>
              </w:rPr>
              <w:fldChar w:fldCharType="separate"/>
            </w:r>
            <w:r w:rsidR="003A2970">
              <w:rPr>
                <w:noProof/>
                <w:webHidden/>
              </w:rPr>
              <w:t>9</w:t>
            </w:r>
            <w:r w:rsidR="003A2970">
              <w:rPr>
                <w:noProof/>
                <w:webHidden/>
              </w:rPr>
              <w:fldChar w:fldCharType="end"/>
            </w:r>
          </w:hyperlink>
        </w:p>
        <w:p w14:paraId="248BB3EE" w14:textId="434E3D77"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21" w:history="1">
            <w:r w:rsidR="003A2970" w:rsidRPr="00E01BDC">
              <w:rPr>
                <w:rStyle w:val="Hyperlink"/>
                <w:noProof/>
              </w:rPr>
              <w:t>Exceptions</w:t>
            </w:r>
            <w:r w:rsidR="003A2970">
              <w:rPr>
                <w:noProof/>
                <w:webHidden/>
              </w:rPr>
              <w:tab/>
            </w:r>
            <w:r w:rsidR="003A2970">
              <w:rPr>
                <w:noProof/>
                <w:webHidden/>
              </w:rPr>
              <w:fldChar w:fldCharType="begin"/>
            </w:r>
            <w:r w:rsidR="003A2970">
              <w:rPr>
                <w:noProof/>
                <w:webHidden/>
              </w:rPr>
              <w:instrText xml:space="preserve"> PAGEREF _Toc128322021 \h </w:instrText>
            </w:r>
            <w:r w:rsidR="003A2970">
              <w:rPr>
                <w:noProof/>
                <w:webHidden/>
              </w:rPr>
            </w:r>
            <w:r w:rsidR="003A2970">
              <w:rPr>
                <w:noProof/>
                <w:webHidden/>
              </w:rPr>
              <w:fldChar w:fldCharType="separate"/>
            </w:r>
            <w:r w:rsidR="003A2970">
              <w:rPr>
                <w:noProof/>
                <w:webHidden/>
              </w:rPr>
              <w:t>9</w:t>
            </w:r>
            <w:r w:rsidR="003A2970">
              <w:rPr>
                <w:noProof/>
                <w:webHidden/>
              </w:rPr>
              <w:fldChar w:fldCharType="end"/>
            </w:r>
          </w:hyperlink>
        </w:p>
        <w:p w14:paraId="1E828190" w14:textId="4E82877D"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22" w:history="1">
            <w:r w:rsidR="003A2970" w:rsidRPr="00E01BDC">
              <w:rPr>
                <w:rStyle w:val="Hyperlink"/>
                <w:noProof/>
              </w:rPr>
              <w:t>Policy</w:t>
            </w:r>
            <w:r w:rsidR="003A2970">
              <w:rPr>
                <w:noProof/>
                <w:webHidden/>
              </w:rPr>
              <w:tab/>
            </w:r>
            <w:r w:rsidR="003A2970">
              <w:rPr>
                <w:noProof/>
                <w:webHidden/>
              </w:rPr>
              <w:fldChar w:fldCharType="begin"/>
            </w:r>
            <w:r w:rsidR="003A2970">
              <w:rPr>
                <w:noProof/>
                <w:webHidden/>
              </w:rPr>
              <w:instrText xml:space="preserve"> PAGEREF _Toc128322022 \h </w:instrText>
            </w:r>
            <w:r w:rsidR="003A2970">
              <w:rPr>
                <w:noProof/>
                <w:webHidden/>
              </w:rPr>
            </w:r>
            <w:r w:rsidR="003A2970">
              <w:rPr>
                <w:noProof/>
                <w:webHidden/>
              </w:rPr>
              <w:fldChar w:fldCharType="separate"/>
            </w:r>
            <w:r w:rsidR="003A2970">
              <w:rPr>
                <w:noProof/>
                <w:webHidden/>
              </w:rPr>
              <w:t>9</w:t>
            </w:r>
            <w:r w:rsidR="003A2970">
              <w:rPr>
                <w:noProof/>
                <w:webHidden/>
              </w:rPr>
              <w:fldChar w:fldCharType="end"/>
            </w:r>
          </w:hyperlink>
        </w:p>
        <w:p w14:paraId="0FB12B76" w14:textId="4E647E81"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3" w:history="1">
            <w:r w:rsidR="003A2970" w:rsidRPr="00E01BDC">
              <w:rPr>
                <w:rStyle w:val="Hyperlink"/>
                <w:noProof/>
              </w:rPr>
              <w:t>Revision History</w:t>
            </w:r>
            <w:r w:rsidR="003A2970">
              <w:rPr>
                <w:noProof/>
                <w:webHidden/>
              </w:rPr>
              <w:tab/>
            </w:r>
            <w:r w:rsidR="003A2970">
              <w:rPr>
                <w:noProof/>
                <w:webHidden/>
              </w:rPr>
              <w:fldChar w:fldCharType="begin"/>
            </w:r>
            <w:r w:rsidR="003A2970">
              <w:rPr>
                <w:noProof/>
                <w:webHidden/>
              </w:rPr>
              <w:instrText xml:space="preserve"> PAGEREF _Toc128322023 \h </w:instrText>
            </w:r>
            <w:r w:rsidR="003A2970">
              <w:rPr>
                <w:noProof/>
                <w:webHidden/>
              </w:rPr>
            </w:r>
            <w:r w:rsidR="003A2970">
              <w:rPr>
                <w:noProof/>
                <w:webHidden/>
              </w:rPr>
              <w:fldChar w:fldCharType="separate"/>
            </w:r>
            <w:r w:rsidR="003A2970">
              <w:rPr>
                <w:noProof/>
                <w:webHidden/>
              </w:rPr>
              <w:t>11</w:t>
            </w:r>
            <w:r w:rsidR="003A2970">
              <w:rPr>
                <w:noProof/>
                <w:webHidden/>
              </w:rPr>
              <w:fldChar w:fldCharType="end"/>
            </w:r>
          </w:hyperlink>
        </w:p>
        <w:p w14:paraId="1ADCFF8C" w14:textId="1CF0534F"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4" w:history="1">
            <w:r w:rsidR="003A2970" w:rsidRPr="00E01BDC">
              <w:rPr>
                <w:rStyle w:val="Hyperlink"/>
                <w:rFonts w:eastAsia="Times New Roman"/>
                <w:noProof/>
              </w:rPr>
              <w:t xml:space="preserve">Appendix A: Acronyms and </w:t>
            </w:r>
            <w:r w:rsidR="003A2970" w:rsidRPr="00E01BDC">
              <w:rPr>
                <w:rStyle w:val="Hyperlink"/>
                <w:noProof/>
              </w:rPr>
              <w:t>Abbreviations</w:t>
            </w:r>
            <w:r w:rsidR="003A2970">
              <w:rPr>
                <w:noProof/>
                <w:webHidden/>
              </w:rPr>
              <w:tab/>
            </w:r>
            <w:r w:rsidR="003A2970">
              <w:rPr>
                <w:noProof/>
                <w:webHidden/>
              </w:rPr>
              <w:fldChar w:fldCharType="begin"/>
            </w:r>
            <w:r w:rsidR="003A2970">
              <w:rPr>
                <w:noProof/>
                <w:webHidden/>
              </w:rPr>
              <w:instrText xml:space="preserve"> PAGEREF _Toc128322024 \h </w:instrText>
            </w:r>
            <w:r w:rsidR="003A2970">
              <w:rPr>
                <w:noProof/>
                <w:webHidden/>
              </w:rPr>
            </w:r>
            <w:r w:rsidR="003A2970">
              <w:rPr>
                <w:noProof/>
                <w:webHidden/>
              </w:rPr>
              <w:fldChar w:fldCharType="separate"/>
            </w:r>
            <w:r w:rsidR="003A2970">
              <w:rPr>
                <w:noProof/>
                <w:webHidden/>
              </w:rPr>
              <w:t>12</w:t>
            </w:r>
            <w:r w:rsidR="003A2970">
              <w:rPr>
                <w:noProof/>
                <w:webHidden/>
              </w:rPr>
              <w:fldChar w:fldCharType="end"/>
            </w:r>
          </w:hyperlink>
        </w:p>
        <w:p w14:paraId="2B4461BF" w14:textId="0855CF88"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5" w:history="1">
            <w:r w:rsidR="003A2970" w:rsidRPr="00E01BDC">
              <w:rPr>
                <w:rStyle w:val="Hyperlink"/>
                <w:rFonts w:eastAsia="Times New Roman"/>
                <w:noProof/>
              </w:rPr>
              <w:t xml:space="preserve">Appendix B: </w:t>
            </w:r>
            <w:r w:rsidR="003A2970" w:rsidRPr="00E01BDC">
              <w:rPr>
                <w:rStyle w:val="Hyperlink"/>
                <w:noProof/>
              </w:rPr>
              <w:t>Glossary</w:t>
            </w:r>
            <w:r w:rsidR="003A2970">
              <w:rPr>
                <w:noProof/>
                <w:webHidden/>
              </w:rPr>
              <w:tab/>
            </w:r>
            <w:r w:rsidR="003A2970">
              <w:rPr>
                <w:noProof/>
                <w:webHidden/>
              </w:rPr>
              <w:fldChar w:fldCharType="begin"/>
            </w:r>
            <w:r w:rsidR="003A2970">
              <w:rPr>
                <w:noProof/>
                <w:webHidden/>
              </w:rPr>
              <w:instrText xml:space="preserve"> PAGEREF _Toc128322025 \h </w:instrText>
            </w:r>
            <w:r w:rsidR="003A2970">
              <w:rPr>
                <w:noProof/>
                <w:webHidden/>
              </w:rPr>
            </w:r>
            <w:r w:rsidR="003A2970">
              <w:rPr>
                <w:noProof/>
                <w:webHidden/>
              </w:rPr>
              <w:fldChar w:fldCharType="separate"/>
            </w:r>
            <w:r w:rsidR="003A2970">
              <w:rPr>
                <w:noProof/>
                <w:webHidden/>
              </w:rPr>
              <w:t>13</w:t>
            </w:r>
            <w:r w:rsidR="003A2970">
              <w:rPr>
                <w:noProof/>
                <w:webHidden/>
              </w:rPr>
              <w:fldChar w:fldCharType="end"/>
            </w:r>
          </w:hyperlink>
        </w:p>
        <w:p w14:paraId="7966A597" w14:textId="0782CCD7"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6" w:history="1">
            <w:r w:rsidR="003A2970" w:rsidRPr="00E01BDC">
              <w:rPr>
                <w:rStyle w:val="Hyperlink"/>
                <w:rFonts w:eastAsia="Times New Roman"/>
                <w:noProof/>
              </w:rPr>
              <w:t>Appendix C: Implementation Groups</w:t>
            </w:r>
            <w:r w:rsidR="003A2970">
              <w:rPr>
                <w:noProof/>
                <w:webHidden/>
              </w:rPr>
              <w:tab/>
            </w:r>
            <w:r w:rsidR="003A2970">
              <w:rPr>
                <w:noProof/>
                <w:webHidden/>
              </w:rPr>
              <w:fldChar w:fldCharType="begin"/>
            </w:r>
            <w:r w:rsidR="003A2970">
              <w:rPr>
                <w:noProof/>
                <w:webHidden/>
              </w:rPr>
              <w:instrText xml:space="preserve"> PAGEREF _Toc128322026 \h </w:instrText>
            </w:r>
            <w:r w:rsidR="003A2970">
              <w:rPr>
                <w:noProof/>
                <w:webHidden/>
              </w:rPr>
            </w:r>
            <w:r w:rsidR="003A2970">
              <w:rPr>
                <w:noProof/>
                <w:webHidden/>
              </w:rPr>
              <w:fldChar w:fldCharType="separate"/>
            </w:r>
            <w:r w:rsidR="003A2970">
              <w:rPr>
                <w:noProof/>
                <w:webHidden/>
              </w:rPr>
              <w:t>16</w:t>
            </w:r>
            <w:r w:rsidR="003A2970">
              <w:rPr>
                <w:noProof/>
                <w:webHidden/>
              </w:rPr>
              <w:fldChar w:fldCharType="end"/>
            </w:r>
          </w:hyperlink>
        </w:p>
        <w:p w14:paraId="71EB7D73" w14:textId="05E03066"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7" w:history="1">
            <w:r w:rsidR="003A2970" w:rsidRPr="00E01BDC">
              <w:rPr>
                <w:rStyle w:val="Hyperlink"/>
                <w:rFonts w:eastAsia="Times New Roman"/>
                <w:noProof/>
              </w:rPr>
              <w:t xml:space="preserve">Appendix D: CIS Safeguards </w:t>
            </w:r>
            <w:r w:rsidR="003A2970" w:rsidRPr="00E01BDC">
              <w:rPr>
                <w:rStyle w:val="Hyperlink"/>
                <w:noProof/>
              </w:rPr>
              <w:t>Mapping</w:t>
            </w:r>
            <w:r w:rsidR="003A2970">
              <w:rPr>
                <w:noProof/>
                <w:webHidden/>
              </w:rPr>
              <w:tab/>
            </w:r>
            <w:r w:rsidR="003A2970">
              <w:rPr>
                <w:noProof/>
                <w:webHidden/>
              </w:rPr>
              <w:fldChar w:fldCharType="begin"/>
            </w:r>
            <w:r w:rsidR="003A2970">
              <w:rPr>
                <w:noProof/>
                <w:webHidden/>
              </w:rPr>
              <w:instrText xml:space="preserve"> PAGEREF _Toc128322027 \h </w:instrText>
            </w:r>
            <w:r w:rsidR="003A2970">
              <w:rPr>
                <w:noProof/>
                <w:webHidden/>
              </w:rPr>
            </w:r>
            <w:r w:rsidR="003A2970">
              <w:rPr>
                <w:noProof/>
                <w:webHidden/>
              </w:rPr>
              <w:fldChar w:fldCharType="separate"/>
            </w:r>
            <w:r w:rsidR="003A2970">
              <w:rPr>
                <w:noProof/>
                <w:webHidden/>
              </w:rPr>
              <w:t>17</w:t>
            </w:r>
            <w:r w:rsidR="003A2970">
              <w:rPr>
                <w:noProof/>
                <w:webHidden/>
              </w:rPr>
              <w:fldChar w:fldCharType="end"/>
            </w:r>
          </w:hyperlink>
        </w:p>
        <w:p w14:paraId="72389EAF" w14:textId="18B87745"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8" w:history="1">
            <w:r w:rsidR="003A2970" w:rsidRPr="00E01BDC">
              <w:rPr>
                <w:rStyle w:val="Hyperlink"/>
                <w:rFonts w:eastAsia="Times New Roman"/>
                <w:noProof/>
              </w:rPr>
              <w:t xml:space="preserve">Appendix E: References </w:t>
            </w:r>
            <w:r w:rsidR="003A2970" w:rsidRPr="00E01BDC">
              <w:rPr>
                <w:rStyle w:val="Hyperlink"/>
                <w:noProof/>
              </w:rPr>
              <w:t>and</w:t>
            </w:r>
            <w:r w:rsidR="003A2970" w:rsidRPr="00E01BDC">
              <w:rPr>
                <w:rStyle w:val="Hyperlink"/>
                <w:rFonts w:eastAsia="Times New Roman"/>
                <w:noProof/>
              </w:rPr>
              <w:t xml:space="preserve"> </w:t>
            </w:r>
            <w:r w:rsidR="003A2970" w:rsidRPr="00E01BDC">
              <w:rPr>
                <w:rStyle w:val="Hyperlink"/>
                <w:noProof/>
              </w:rPr>
              <w:t>Resources</w:t>
            </w:r>
            <w:r w:rsidR="003A2970">
              <w:rPr>
                <w:noProof/>
                <w:webHidden/>
              </w:rPr>
              <w:tab/>
            </w:r>
            <w:r w:rsidR="003A2970">
              <w:rPr>
                <w:noProof/>
                <w:webHidden/>
              </w:rPr>
              <w:fldChar w:fldCharType="begin"/>
            </w:r>
            <w:r w:rsidR="003A2970">
              <w:rPr>
                <w:noProof/>
                <w:webHidden/>
              </w:rPr>
              <w:instrText xml:space="preserve"> PAGEREF _Toc128322028 \h </w:instrText>
            </w:r>
            <w:r w:rsidR="003A2970">
              <w:rPr>
                <w:noProof/>
                <w:webHidden/>
              </w:rPr>
            </w:r>
            <w:r w:rsidR="003A2970">
              <w:rPr>
                <w:noProof/>
                <w:webHidden/>
              </w:rPr>
              <w:fldChar w:fldCharType="separate"/>
            </w:r>
            <w:r w:rsidR="003A2970">
              <w:rPr>
                <w:noProof/>
                <w:webHidden/>
              </w:rPr>
              <w:t>19</w:t>
            </w:r>
            <w:r w:rsidR="003A2970">
              <w:rPr>
                <w:noProof/>
                <w:webHidden/>
              </w:rPr>
              <w:fldChar w:fldCharType="end"/>
            </w:r>
          </w:hyperlink>
        </w:p>
        <w:p w14:paraId="737EB8F1" w14:textId="012C8DCC"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28322012"/>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643D80C9" w14:textId="77777777" w:rsidR="004F33BC"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4F7B589C" w:rsidR="004F33BC" w:rsidRPr="00C26D54" w:rsidRDefault="00AC20BF" w:rsidP="004F33BC">
      <w:r w:rsidRPr="00E77C18">
        <w:rPr>
          <w:rFonts w:cs="Arial"/>
          <w:szCs w:val="18"/>
        </w:rPr>
        <w:t>Tony Krzyzewski</w:t>
      </w:r>
      <w:r>
        <w:rPr>
          <w:rFonts w:cs="Arial"/>
          <w:szCs w:val="18"/>
        </w:rPr>
        <w:t>, SAM for Compliance Ltd</w:t>
      </w:r>
      <w:bookmarkStart w:id="3" w:name="_Hlk99457748"/>
      <w:r>
        <w:rPr>
          <w:rFonts w:cs="Arial"/>
          <w:szCs w:val="18"/>
        </w:rPr>
        <w:br/>
      </w:r>
      <w:proofErr w:type="spellStart"/>
      <w:r w:rsidRPr="00E77C18">
        <w:rPr>
          <w:rFonts w:cs="Arial"/>
          <w:szCs w:val="18"/>
        </w:rPr>
        <w:t>Staffan</w:t>
      </w:r>
      <w:proofErr w:type="spellEnd"/>
      <w:r w:rsidRPr="00E77C18">
        <w:rPr>
          <w:rFonts w:cs="Arial"/>
          <w:szCs w:val="18"/>
        </w:rPr>
        <w:t xml:space="preserve"> </w:t>
      </w:r>
      <w:proofErr w:type="spellStart"/>
      <w:r w:rsidRPr="00E77C18">
        <w:rPr>
          <w:rFonts w:cs="Arial"/>
          <w:szCs w:val="18"/>
        </w:rPr>
        <w:t>Huslid</w:t>
      </w:r>
      <w:proofErr w:type="spellEnd"/>
      <w:r w:rsidRPr="00E77C18">
        <w:rPr>
          <w:rFonts w:cs="Arial"/>
          <w:szCs w:val="18"/>
        </w:rPr>
        <w:t xml:space="preserve">,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w:t>
      </w:r>
      <w:proofErr w:type="spellStart"/>
      <w:r w:rsidRPr="00E77C18">
        <w:rPr>
          <w:rFonts w:cs="Arial"/>
          <w:szCs w:val="18"/>
        </w:rPr>
        <w:t>Bolatti</w:t>
      </w:r>
      <w:proofErr w:type="spellEnd"/>
      <w:r w:rsidRPr="00E77C18">
        <w:rPr>
          <w:rFonts w:cs="Arial"/>
          <w:szCs w:val="18"/>
        </w:rPr>
        <w:t xml:space="preserve">,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6758E8">
        <w:rPr>
          <w:rFonts w:cs="Arial"/>
          <w:szCs w:val="18"/>
        </w:rPr>
        <w:t>Jon Matthies</w:t>
      </w:r>
      <w:r>
        <w:rPr>
          <w:rFonts w:cs="Arial"/>
          <w:szCs w:val="18"/>
        </w:rPr>
        <w:br/>
      </w:r>
      <w:r w:rsidR="00AC5B09">
        <w:rPr>
          <w:rFonts w:cs="Arial"/>
          <w:szCs w:val="18"/>
        </w:rPr>
        <w:t xml:space="preserve">Ginger Anderson, CIS </w:t>
      </w:r>
      <w:r w:rsidR="00AC5B09">
        <w:rPr>
          <w:rFonts w:cs="Arial"/>
          <w:szCs w:val="18"/>
        </w:rPr>
        <w:br/>
      </w:r>
      <w:r w:rsidRPr="00E77C18">
        <w:rPr>
          <w:rFonts w:cs="Arial"/>
          <w:szCs w:val="18"/>
        </w:rPr>
        <w:t>Robin Regnier, CIS</w:t>
      </w:r>
      <w:r w:rsidR="00FC781D">
        <w:rPr>
          <w:rFonts w:cs="Arial"/>
          <w:szCs w:val="18"/>
        </w:rPr>
        <w:br/>
        <w:t>Valecia Stocchetti, CIS</w:t>
      </w:r>
      <w:r w:rsidR="004F33BC">
        <w:rPr>
          <w:rFonts w:cs="Arial"/>
          <w:szCs w:val="18"/>
        </w:rPr>
        <w:br/>
      </w:r>
    </w:p>
    <w:p w14:paraId="225B49F3" w14:textId="77777777" w:rsidR="004F33BC" w:rsidRDefault="004F33BC" w:rsidP="00623FE1"/>
    <w:p w14:paraId="1CCF2D0E" w14:textId="77777777" w:rsidR="004F33BC" w:rsidRDefault="004F33BC" w:rsidP="00623FE1"/>
    <w:p w14:paraId="7939ABCD" w14:textId="77777777" w:rsidR="00316ED3" w:rsidRDefault="00316ED3" w:rsidP="00623FE1"/>
    <w:p w14:paraId="4AEADB88" w14:textId="77777777" w:rsidR="00316ED3" w:rsidRDefault="00316ED3" w:rsidP="00623FE1"/>
    <w:p w14:paraId="016134A8" w14:textId="77777777" w:rsidR="00316ED3" w:rsidRDefault="00316ED3" w:rsidP="00623FE1"/>
    <w:p w14:paraId="3A8DEFC6" w14:textId="77777777" w:rsidR="00316ED3" w:rsidRDefault="00316ED3" w:rsidP="00623FE1"/>
    <w:p w14:paraId="08952D4C" w14:textId="77777777" w:rsidR="00316ED3" w:rsidRDefault="00316ED3"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28322013"/>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2BC73C31" w14:textId="571320E7" w:rsidR="002354A2" w:rsidRDefault="002354A2" w:rsidP="00D7300C">
      <w:pPr>
        <w:rPr>
          <w:b/>
          <w:bCs/>
        </w:rPr>
      </w:pPr>
      <w:r w:rsidRPr="002354A2">
        <w:t xml:space="preserve">The actions of </w:t>
      </w:r>
      <w:r w:rsidR="00D7300C">
        <w:t xml:space="preserve">employees, contractors, and other users </w:t>
      </w:r>
      <w:r w:rsidRPr="002354A2">
        <w:t xml:space="preserve">play a critical part in the success or failure of an enterprise’s security program. It is </w:t>
      </w:r>
      <w:r w:rsidR="00D7300C">
        <w:t xml:space="preserve">sometimes </w:t>
      </w:r>
      <w:r w:rsidRPr="002354A2">
        <w:t>easier for an attacker to entice a user to click a link or open an email attachment to install malware in order to get into an enterprise, than to find a network exploit to do it directly.</w:t>
      </w:r>
      <w:r w:rsidR="00D7300C">
        <w:t xml:space="preserve"> </w:t>
      </w:r>
      <w:r w:rsidRPr="002354A2">
        <w:t>Users themselves, both intentionally and unintentionally, can cause incidents as a result of mishandling sensitive data, sending an email with sensitive data to the wrong recipient, losing a portable end-user device, using weak passwords, or using the same password they use on public sites.</w:t>
      </w:r>
      <w:r w:rsidR="00D7300C">
        <w:t xml:space="preserve"> </w:t>
      </w:r>
      <w:r w:rsidRPr="002354A2">
        <w:t xml:space="preserve">No security program can effectively address cyber risk without a means to address this fundamental human vulnerability. </w:t>
      </w:r>
    </w:p>
    <w:p w14:paraId="5911F328" w14:textId="4D5AB464" w:rsidR="0096052D" w:rsidRPr="00E77C18" w:rsidRDefault="0096052D" w:rsidP="002354A2">
      <w:pPr>
        <w:pStyle w:val="Heading2"/>
        <w:spacing w:after="0" w:afterAutospacing="0"/>
      </w:pPr>
      <w:bookmarkStart w:id="15" w:name="_Toc128322014"/>
      <w:r w:rsidRPr="00E77C18">
        <w:t>Purpose</w:t>
      </w:r>
      <w:bookmarkEnd w:id="15"/>
    </w:p>
    <w:p w14:paraId="739B5075" w14:textId="0CA99C3B" w:rsidR="00C7638C" w:rsidRDefault="002A38E1" w:rsidP="00015AC5">
      <w:r w:rsidRPr="00E77C18">
        <w:t xml:space="preserve">The </w:t>
      </w:r>
      <w:r w:rsidR="00C21AB6">
        <w:t>Center for Internet Security</w:t>
      </w:r>
      <w:r w:rsidR="00C21AB6" w:rsidRPr="00E77C18">
        <w:rPr>
          <w:vertAlign w:val="superscript"/>
        </w:rPr>
        <w:t>®</w:t>
      </w:r>
      <w:r w:rsidR="00C21AB6">
        <w:t xml:space="preserve"> (CIS</w:t>
      </w:r>
      <w:r w:rsidR="00C21AB6" w:rsidRPr="00E77C18">
        <w:rPr>
          <w:vertAlign w:val="superscript"/>
        </w:rPr>
        <w:t>®</w:t>
      </w:r>
      <w:r w:rsidR="00C21AB6">
        <w:t>)</w:t>
      </w:r>
      <w:r w:rsidR="00F66E4B" w:rsidRPr="00E77C18">
        <w:t xml:space="preserve"> </w:t>
      </w:r>
      <w:r w:rsidR="00C21AB6">
        <w:t>recommends</w:t>
      </w:r>
      <w:r w:rsidR="005D752C">
        <w:t xml:space="preserve"> several</w:t>
      </w:r>
      <w:r w:rsidRPr="00E77C18">
        <w:t xml:space="preserve"> policies </w:t>
      </w:r>
      <w:r w:rsidR="00F81923" w:rsidRPr="00E77C18">
        <w:t xml:space="preserve">that an </w:t>
      </w:r>
      <w:r w:rsidR="00560B56" w:rsidRPr="00E77C18">
        <w:t>enterprise</w:t>
      </w:r>
      <w:r w:rsidR="00F81923" w:rsidRPr="00E77C18">
        <w:t xml:space="preserve"> should have in place. </w:t>
      </w:r>
      <w:r w:rsidR="00D85CD2">
        <w:t>Th</w:t>
      </w:r>
      <w:r w:rsidR="00F92563">
        <w:t>is</w:t>
      </w:r>
      <w:r w:rsidR="00D85CD2">
        <w:t xml:space="preserve"> </w:t>
      </w:r>
      <w:r w:rsidR="006332EA">
        <w:rPr>
          <w:i/>
        </w:rPr>
        <w:t>Security Awareness Training</w:t>
      </w:r>
      <w:r w:rsidR="00F604F0">
        <w:rPr>
          <w:i/>
        </w:rPr>
        <w:t xml:space="preserve"> </w:t>
      </w:r>
      <w:r w:rsidR="00DC2BB7" w:rsidRPr="005D752C">
        <w:rPr>
          <w:i/>
        </w:rPr>
        <w:t>P</w:t>
      </w:r>
      <w:r w:rsidR="00F81923" w:rsidRPr="005D752C">
        <w:rPr>
          <w:i/>
        </w:rPr>
        <w:t>olicy</w:t>
      </w:r>
      <w:r w:rsidR="00F92563">
        <w:t xml:space="preserve"> </w:t>
      </w:r>
      <w:r w:rsidR="002C2A6E" w:rsidRPr="00E77C18">
        <w:t xml:space="preserve">is meant as a “jumping off point” for </w:t>
      </w:r>
      <w:r w:rsidR="001D6A9D">
        <w:t>enterprises</w:t>
      </w:r>
      <w:r w:rsidR="002C2A6E" w:rsidRPr="00E77C18">
        <w:t xml:space="preserve"> </w:t>
      </w:r>
      <w:r w:rsidR="00C6439F">
        <w:t>that need help</w:t>
      </w:r>
      <w:r w:rsidR="002C2A6E" w:rsidRPr="00E77C18">
        <w:t xml:space="preserve"> draft</w:t>
      </w:r>
      <w:r w:rsidR="00C6439F">
        <w:t>ing</w:t>
      </w:r>
      <w:r w:rsidR="002C2A6E" w:rsidRPr="00E77C18">
        <w:t xml:space="preserve"> their own polic</w:t>
      </w:r>
      <w:r w:rsidR="00FE34CD">
        <w:t>y</w:t>
      </w:r>
      <w:r w:rsidR="002C2A6E" w:rsidRPr="00E77C18">
        <w:t xml:space="preserve">. </w:t>
      </w:r>
      <w:r w:rsidR="00D7300C" w:rsidRPr="00D7300C">
        <w:t>Enterprises</w:t>
      </w:r>
      <w:r w:rsidR="00D7300C" w:rsidRPr="00936875">
        <w:t xml:space="preserve"> are encouraged to use this policy template in whole or in part. With that said, there are multiple decision points and areas that must be tailored to </w:t>
      </w:r>
      <w:r w:rsidR="0019633A">
        <w:t>an</w:t>
      </w:r>
      <w:r w:rsidR="0019633A" w:rsidRPr="00936875">
        <w:t xml:space="preserve"> </w:t>
      </w:r>
      <w:r w:rsidR="00D7300C" w:rsidRPr="00936875">
        <w:t>enterprise</w:t>
      </w:r>
      <w:r w:rsidR="0019633A">
        <w:t>’s specific needs</w:t>
      </w:r>
      <w:r w:rsidR="00D7300C">
        <w:t>, such as the best way to deliver training and educate your users</w:t>
      </w:r>
      <w:r w:rsidR="008B031A">
        <w:t xml:space="preserve">, and </w:t>
      </w:r>
      <w:r w:rsidR="000D4F50">
        <w:t xml:space="preserve">which </w:t>
      </w:r>
      <w:r w:rsidR="008B031A">
        <w:t>specific topics to cover</w:t>
      </w:r>
      <w:r w:rsidR="00A9703F">
        <w:t xml:space="preserve">. </w:t>
      </w:r>
    </w:p>
    <w:p w14:paraId="46CE4170" w14:textId="607F1853" w:rsidR="00E854AC" w:rsidRDefault="00865F3A" w:rsidP="00015AC5">
      <w:r>
        <w:t xml:space="preserve">In CIS Controls v8, Control </w:t>
      </w:r>
      <w:r w:rsidR="00831912">
        <w:t>1</w:t>
      </w:r>
      <w:r w:rsidR="006332EA">
        <w:t>4</w:t>
      </w:r>
      <w:r>
        <w:t xml:space="preserve"> states:</w:t>
      </w:r>
    </w:p>
    <w:p w14:paraId="0C96A74A" w14:textId="36668773" w:rsidR="00865F3A" w:rsidRPr="00316ED3" w:rsidRDefault="00831912" w:rsidP="00316ED3">
      <w:pPr>
        <w:pStyle w:val="IntenseQuote"/>
        <w:ind w:right="720"/>
        <w:jc w:val="left"/>
        <w:rPr>
          <w:rFonts w:ascii="Arial" w:hAnsi="Arial" w:cs="Arial"/>
          <w:color w:val="0086BF"/>
          <w:sz w:val="18"/>
          <w:szCs w:val="18"/>
        </w:rPr>
      </w:pPr>
      <w:r w:rsidRPr="00316ED3">
        <w:rPr>
          <w:rFonts w:cs="Arial"/>
          <w:noProof/>
          <w:color w:val="0086BF"/>
          <w:szCs w:val="18"/>
        </w:rPr>
        <w:drawing>
          <wp:anchor distT="0" distB="0" distL="114300" distR="114300" simplePos="0" relativeHeight="251692032" behindDoc="1" locked="0" layoutInCell="1" allowOverlap="1" wp14:anchorId="0A9C82B3" wp14:editId="06AF20D3">
            <wp:simplePos x="0" y="0"/>
            <wp:positionH relativeFrom="margin">
              <wp:align>left</wp:align>
            </wp:positionH>
            <wp:positionV relativeFrom="paragraph">
              <wp:posOffset>80010</wp:posOffset>
            </wp:positionV>
            <wp:extent cx="496570" cy="695325"/>
            <wp:effectExtent l="0" t="0" r="0" b="9525"/>
            <wp:wrapTight wrapText="bothSides">
              <wp:wrapPolygon edited="0">
                <wp:start x="4972" y="0"/>
                <wp:lineTo x="0" y="4734"/>
                <wp:lineTo x="0" y="21304"/>
                <wp:lineTo x="20716" y="21304"/>
                <wp:lineTo x="20716" y="4734"/>
                <wp:lineTo x="15744" y="0"/>
                <wp:lineTo x="497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Pr="00316ED3">
        <w:rPr>
          <w:rFonts w:ascii="Arial" w:hAnsi="Arial" w:cs="Arial"/>
          <w:b/>
          <w:bCs/>
          <w:color w:val="0086BF"/>
          <w:sz w:val="18"/>
          <w:szCs w:val="18"/>
        </w:rPr>
        <w:t>Control 1</w:t>
      </w:r>
      <w:r w:rsidR="00340899" w:rsidRPr="00316ED3">
        <w:rPr>
          <w:rFonts w:ascii="Arial" w:hAnsi="Arial" w:cs="Arial"/>
          <w:b/>
          <w:bCs/>
          <w:color w:val="0086BF"/>
          <w:sz w:val="18"/>
          <w:szCs w:val="18"/>
        </w:rPr>
        <w:t>4</w:t>
      </w:r>
      <w:r w:rsidR="00865F3A" w:rsidRPr="00316ED3">
        <w:rPr>
          <w:rFonts w:ascii="Arial" w:hAnsi="Arial" w:cs="Arial"/>
          <w:b/>
          <w:bCs/>
          <w:color w:val="0086BF"/>
          <w:sz w:val="18"/>
          <w:szCs w:val="18"/>
        </w:rPr>
        <w:t xml:space="preserve"> –</w:t>
      </w:r>
      <w:r w:rsidRPr="00316ED3">
        <w:rPr>
          <w:rFonts w:ascii="Arial" w:hAnsi="Arial" w:cs="Arial"/>
          <w:b/>
          <w:bCs/>
          <w:color w:val="0086BF"/>
          <w:sz w:val="18"/>
          <w:szCs w:val="18"/>
        </w:rPr>
        <w:t xml:space="preserve"> </w:t>
      </w:r>
      <w:r w:rsidR="00340899" w:rsidRPr="00316ED3">
        <w:rPr>
          <w:rFonts w:ascii="Arial" w:hAnsi="Arial" w:cs="Arial"/>
          <w:b/>
          <w:bCs/>
          <w:color w:val="0086BF"/>
          <w:sz w:val="18"/>
          <w:szCs w:val="18"/>
        </w:rPr>
        <w:t xml:space="preserve">Security Awareness and Skills Training </w:t>
      </w:r>
      <w:r w:rsidR="00865F3A" w:rsidRPr="00316ED3">
        <w:rPr>
          <w:rFonts w:ascii="Arial" w:hAnsi="Arial" w:cs="Arial"/>
          <w:b/>
          <w:bCs/>
          <w:color w:val="0086BF"/>
          <w:sz w:val="18"/>
          <w:szCs w:val="18"/>
        </w:rPr>
        <w:t>–</w:t>
      </w:r>
      <w:r w:rsidRPr="00316ED3">
        <w:rPr>
          <w:rFonts w:ascii="Arial" w:hAnsi="Arial" w:cs="Arial"/>
          <w:color w:val="0086BF"/>
          <w:sz w:val="18"/>
          <w:szCs w:val="18"/>
        </w:rPr>
        <w:t xml:space="preserve"> A</w:t>
      </w:r>
      <w:r w:rsidR="00340899" w:rsidRPr="00316ED3">
        <w:rPr>
          <w:rFonts w:ascii="Arial" w:hAnsi="Arial" w:cs="Arial"/>
          <w:color w:val="0086BF"/>
          <w:sz w:val="18"/>
          <w:szCs w:val="18"/>
        </w:rPr>
        <w:t xml:space="preserve"> Establish and maintain a security awareness program to influence behavior among the workforce to be security conscious and properly skilled to reduce cybersecurity risks to the enterprise.</w:t>
      </w:r>
    </w:p>
    <w:p w14:paraId="5D7210E6" w14:textId="61DB4764" w:rsidR="00831912" w:rsidRPr="00B97DFD" w:rsidRDefault="00831912" w:rsidP="008277E2">
      <w:pPr>
        <w:pStyle w:val="NormalWeb"/>
        <w:spacing w:after="0"/>
        <w:rPr>
          <w:rFonts w:cs="Arial"/>
          <w:szCs w:val="18"/>
        </w:rPr>
      </w:pPr>
      <w:r w:rsidRPr="008277E2">
        <w:rPr>
          <w:rFonts w:cs="Arial"/>
          <w:szCs w:val="18"/>
        </w:rPr>
        <w:t xml:space="preserve">To support this Safeguard, it is important for an enterprise to develop </w:t>
      </w:r>
      <w:r w:rsidR="008277E2" w:rsidRPr="008277E2">
        <w:rPr>
          <w:rFonts w:cs="Arial"/>
          <w:szCs w:val="18"/>
        </w:rPr>
        <w:t xml:space="preserve">a robust security </w:t>
      </w:r>
      <w:r w:rsidR="003926FF">
        <w:rPr>
          <w:rFonts w:cs="Arial"/>
          <w:szCs w:val="18"/>
        </w:rPr>
        <w:t xml:space="preserve">awareness </w:t>
      </w:r>
      <w:r w:rsidR="008277E2" w:rsidRPr="008277E2">
        <w:rPr>
          <w:rFonts w:cs="Arial"/>
          <w:szCs w:val="18"/>
        </w:rPr>
        <w:t>training program</w:t>
      </w:r>
      <w:r w:rsidRPr="008277E2">
        <w:rPr>
          <w:rFonts w:cs="Arial"/>
          <w:szCs w:val="18"/>
        </w:rPr>
        <w:t xml:space="preserve">. </w:t>
      </w:r>
      <w:r w:rsidR="008277E2" w:rsidRPr="008277E2">
        <w:rPr>
          <w:rFonts w:cs="Arial"/>
          <w:szCs w:val="18"/>
        </w:rPr>
        <w:t xml:space="preserve">An effective security awareness training program should not just be a canned, once-a-year training video coupled with regular phishing testing. While annual training is needed, there should also be more frequent, topical messages and notifications about security. This might include messages about: strong password-use that coincides with a media report of password dump, the rise of phishing during tax time, or increased awareness of malicious package delivery emails during the holidays. </w:t>
      </w:r>
      <w:r w:rsidRPr="008277E2">
        <w:rPr>
          <w:rFonts w:cs="Arial"/>
          <w:szCs w:val="18"/>
        </w:rPr>
        <w:t>This document supports the development of a process for managing enterprise assets and the implementation of Safeguards in this CIS Control.</w:t>
      </w:r>
    </w:p>
    <w:p w14:paraId="4C4B5FBC" w14:textId="40BD55E8" w:rsidR="006F3822" w:rsidRPr="00E77C18" w:rsidRDefault="006F3822" w:rsidP="001C023B">
      <w:pPr>
        <w:pStyle w:val="Heading2"/>
        <w:spacing w:before="0" w:after="0" w:afterAutospacing="0"/>
      </w:pPr>
      <w:bookmarkStart w:id="16" w:name="_Toc128322015"/>
      <w:r w:rsidRPr="00E77C18">
        <w:t xml:space="preserve">Types of </w:t>
      </w:r>
      <w:r w:rsidR="00AC0E13">
        <w:t>Training</w:t>
      </w:r>
      <w:bookmarkEnd w:id="16"/>
      <w:r w:rsidR="00AC0E13">
        <w:t xml:space="preserve"> </w:t>
      </w:r>
    </w:p>
    <w:p w14:paraId="1DA2EC53" w14:textId="6A21B3D6" w:rsidR="00AC0E13" w:rsidRPr="00800F9A" w:rsidRDefault="00D7300C" w:rsidP="00AC0E13">
      <w:r w:rsidRPr="00800F9A">
        <w:t xml:space="preserve">There are many </w:t>
      </w:r>
      <w:r w:rsidR="00457358" w:rsidRPr="00800F9A">
        <w:t>methods that can be used to educate users on cybersecurity. A major decision point include</w:t>
      </w:r>
      <w:r w:rsidR="00800F9A" w:rsidRPr="00800F9A">
        <w:t>s</w:t>
      </w:r>
      <w:r w:rsidR="00457358" w:rsidRPr="00800F9A">
        <w:t xml:space="preserve"> whether </w:t>
      </w:r>
      <w:r w:rsidR="00800F9A" w:rsidRPr="00800F9A">
        <w:t>training will be provided by a person or if users will be taking training on their own time via digital means.</w:t>
      </w:r>
      <w:r w:rsidR="000A7A4C">
        <w:t xml:space="preserve"> </w:t>
      </w:r>
      <w:r w:rsidR="00800F9A" w:rsidRPr="00800F9A">
        <w:t xml:space="preserve"> </w:t>
      </w:r>
      <w:r w:rsidR="000A7A4C">
        <w:t>T</w:t>
      </w:r>
      <w:r w:rsidR="00800F9A" w:rsidRPr="00800F9A">
        <w:t xml:space="preserve">hese options are not mutually exclusive, and a combination of these methods may be leveraged. Additionally, ancillary methods such as posters, signs, and email reminders may be used to remind users of their information security responsibilities. </w:t>
      </w:r>
    </w:p>
    <w:p w14:paraId="60AFA483" w14:textId="67543813" w:rsidR="00D75650" w:rsidRPr="00E77C18" w:rsidRDefault="00D75650" w:rsidP="00D75650">
      <w:pPr>
        <w:pStyle w:val="Heading2"/>
        <w:spacing w:before="0" w:after="0" w:afterAutospacing="0"/>
      </w:pPr>
      <w:bookmarkStart w:id="17" w:name="_Toc128322016"/>
      <w:r>
        <w:t>Scope</w:t>
      </w:r>
      <w:bookmarkEnd w:id="17"/>
    </w:p>
    <w:p w14:paraId="7BEE7883" w14:textId="5E99EE81" w:rsidR="00A73B54" w:rsidRPr="00F92E2C" w:rsidRDefault="00A73B54" w:rsidP="00A73B54">
      <w:r w:rsidRPr="000E6516">
        <w:t xml:space="preserve">This </w:t>
      </w:r>
      <w:r w:rsidR="006F207A">
        <w:rPr>
          <w:i/>
        </w:rPr>
        <w:t xml:space="preserve">Security Awareness Training Policy </w:t>
      </w:r>
      <w:r w:rsidRPr="000E6516">
        <w:t xml:space="preserve">is divided into multiple sections based on how enterprise will practically </w:t>
      </w:r>
      <w:r w:rsidR="004A4993">
        <w:t>plan, develop, and deliver training</w:t>
      </w:r>
      <w:r w:rsidRPr="000E6516">
        <w:t xml:space="preserve">. </w:t>
      </w:r>
      <w:r w:rsidR="004A4993">
        <w:t>This</w:t>
      </w:r>
      <w:r w:rsidRPr="00E77C18">
        <w:t xml:space="preserve">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rsidR="004A4993" w:rsidRPr="00E77C18">
        <w:t xml:space="preserve">Depending on an enterprise’s sector or mission, other policy statements may also need to be added or removed.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w:t>
      </w:r>
    </w:p>
    <w:p w14:paraId="46FDA528" w14:textId="52BB7118" w:rsidR="00B7119F" w:rsidRDefault="00B7119F" w:rsidP="00B7119F"/>
    <w:p w14:paraId="1D0C116A" w14:textId="7EB4A7D6" w:rsidR="00272582" w:rsidRPr="00E77C18" w:rsidRDefault="00AC0E13" w:rsidP="00B7119F">
      <w:pPr>
        <w:pStyle w:val="Heading1"/>
        <w:spacing w:after="0"/>
        <w:rPr>
          <w:rFonts w:eastAsia="Times New Roman"/>
          <w:kern w:val="0"/>
        </w:rPr>
      </w:pPr>
      <w:bookmarkStart w:id="18" w:name="_Toc128322017"/>
      <w:r>
        <w:rPr>
          <w:rFonts w:eastAsia="Times New Roman"/>
          <w:kern w:val="0"/>
        </w:rPr>
        <w:lastRenderedPageBreak/>
        <w:t xml:space="preserve">Security </w:t>
      </w:r>
      <w:r w:rsidR="00121597">
        <w:rPr>
          <w:rFonts w:eastAsia="Times New Roman"/>
          <w:kern w:val="0"/>
        </w:rPr>
        <w:t xml:space="preserve">Awareness </w:t>
      </w:r>
      <w:r>
        <w:rPr>
          <w:rFonts w:eastAsia="Times New Roman"/>
          <w:kern w:val="0"/>
        </w:rPr>
        <w:t xml:space="preserve">Training </w:t>
      </w:r>
      <w:r w:rsidR="00A01238">
        <w:rPr>
          <w:rFonts w:eastAsia="Times New Roman"/>
          <w:kern w:val="0"/>
        </w:rPr>
        <w:t>Lifecycle</w:t>
      </w:r>
      <w:bookmarkEnd w:id="18"/>
      <w:r>
        <w:rPr>
          <w:rFonts w:eastAsia="Times New Roman"/>
          <w:kern w:val="0"/>
        </w:rPr>
        <w:t xml:space="preserve"> </w:t>
      </w:r>
    </w:p>
    <w:p w14:paraId="712ECC03" w14:textId="1C5CB0A5" w:rsidR="00B43369" w:rsidRPr="00D27611" w:rsidRDefault="00B43369" w:rsidP="00B43369">
      <w:r w:rsidRPr="00B43369">
        <w:t xml:space="preserve">Not all security trainings are made equal. The enterprise that takes the time and resources to develop and provide high quality security training to their users will have the best chance at defending themselves from some of the most pernicious and persistent threats. Shown below in Figure 1 are the high-level aspects of the </w:t>
      </w:r>
      <w:r w:rsidRPr="00B43369">
        <w:rPr>
          <w:i/>
        </w:rPr>
        <w:t>Security Awareness Training Lifecycle</w:t>
      </w:r>
      <w:r w:rsidRPr="00B43369">
        <w:t>, followed by a detailed description of what each step entails. This is not the only way to run a program, but this can act as a foundation to build your own program upon.</w:t>
      </w:r>
      <w:r>
        <w:t xml:space="preserve"> </w:t>
      </w:r>
    </w:p>
    <w:p w14:paraId="7A3BFCD1" w14:textId="609AB202" w:rsidR="009A267F" w:rsidRDefault="00A01238" w:rsidP="00A01238">
      <w:pPr>
        <w:keepNext/>
        <w:jc w:val="center"/>
      </w:pPr>
      <w:r>
        <w:rPr>
          <w:noProof/>
        </w:rPr>
        <w:drawing>
          <wp:inline distT="0" distB="0" distL="0" distR="0" wp14:anchorId="29ABD0F1" wp14:editId="534F9CE7">
            <wp:extent cx="4308653" cy="39866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21036" t="4205" r="22586" b="3057"/>
                    <a:stretch/>
                  </pic:blipFill>
                  <pic:spPr bwMode="auto">
                    <a:xfrm>
                      <a:off x="0" y="0"/>
                      <a:ext cx="4332692" cy="4008902"/>
                    </a:xfrm>
                    <a:prstGeom prst="rect">
                      <a:avLst/>
                    </a:prstGeom>
                    <a:ln>
                      <a:noFill/>
                    </a:ln>
                    <a:extLst>
                      <a:ext uri="{53640926-AAD7-44D8-BBD7-CCE9431645EC}">
                        <a14:shadowObscured xmlns:a14="http://schemas.microsoft.com/office/drawing/2010/main"/>
                      </a:ext>
                    </a:extLst>
                  </pic:spPr>
                </pic:pic>
              </a:graphicData>
            </a:graphic>
          </wp:inline>
        </w:drawing>
      </w:r>
    </w:p>
    <w:p w14:paraId="2A2AFFCE" w14:textId="7005E7AD" w:rsidR="009A267F" w:rsidRDefault="009A267F" w:rsidP="009A267F">
      <w:pPr>
        <w:pStyle w:val="Caption"/>
        <w:spacing w:before="0"/>
        <w:jc w:val="center"/>
      </w:pPr>
      <w:r>
        <w:t>Figure</w:t>
      </w:r>
      <w:r w:rsidR="00BE49A8">
        <w:t xml:space="preserve"> 1</w:t>
      </w:r>
      <w:r>
        <w:t xml:space="preserve">. </w:t>
      </w:r>
      <w:r w:rsidR="00A01238">
        <w:t xml:space="preserve">Security </w:t>
      </w:r>
      <w:r w:rsidR="00BE49A8">
        <w:t xml:space="preserve">Awareness </w:t>
      </w:r>
      <w:r w:rsidR="00A01238">
        <w:t xml:space="preserve">Training </w:t>
      </w:r>
      <w:r>
        <w:t>Lifecycle</w:t>
      </w:r>
    </w:p>
    <w:p w14:paraId="4CEC2C0B" w14:textId="2629DCBE" w:rsidR="00726596" w:rsidRDefault="00AC0E13" w:rsidP="00015AC5">
      <w:pPr>
        <w:pStyle w:val="ListParagraph"/>
      </w:pPr>
      <w:r>
        <w:rPr>
          <w:b/>
        </w:rPr>
        <w:t>Assess</w:t>
      </w:r>
      <w:r w:rsidR="00726596" w:rsidRPr="00E77C18">
        <w:t xml:space="preserve"> </w:t>
      </w:r>
      <w:r w:rsidR="00465933">
        <w:t>–</w:t>
      </w:r>
      <w:r w:rsidR="00154430">
        <w:t xml:space="preserve"> </w:t>
      </w:r>
      <w:r w:rsidR="005710F9">
        <w:t>Perform requirements gathering and e</w:t>
      </w:r>
      <w:r w:rsidR="006C1C5D">
        <w:t>xplore the appropriate methods for providing training</w:t>
      </w:r>
      <w:r w:rsidR="00966809">
        <w:t>.</w:t>
      </w:r>
      <w:r w:rsidR="006C1C5D">
        <w:t xml:space="preserve"> </w:t>
      </w:r>
    </w:p>
    <w:p w14:paraId="1B628714" w14:textId="3A2BFE8A" w:rsidR="00726596" w:rsidRPr="00E77C18" w:rsidRDefault="00AC0E13" w:rsidP="00015AC5">
      <w:pPr>
        <w:pStyle w:val="ListParagraph"/>
      </w:pPr>
      <w:r>
        <w:rPr>
          <w:b/>
        </w:rPr>
        <w:t>Develop</w:t>
      </w:r>
      <w:r w:rsidR="00726596" w:rsidRPr="00E77C18">
        <w:t xml:space="preserve"> </w:t>
      </w:r>
      <w:r w:rsidR="00465933" w:rsidRPr="00E77C18">
        <w:t>–</w:t>
      </w:r>
      <w:r w:rsidR="006C1C5D">
        <w:t xml:space="preserve"> Build out a training program for your enterprise</w:t>
      </w:r>
      <w:r w:rsidR="00584659">
        <w:t xml:space="preserve">, to include purchasing an </w:t>
      </w:r>
      <w:r w:rsidR="005A0B77">
        <w:t>existing tool</w:t>
      </w:r>
      <w:r w:rsidR="00966809">
        <w:t>,</w:t>
      </w:r>
      <w:r w:rsidR="00584659">
        <w:t xml:space="preserve"> or creating </w:t>
      </w:r>
      <w:r w:rsidR="005710F9">
        <w:t>tailored</w:t>
      </w:r>
      <w:r w:rsidR="00584659">
        <w:t xml:space="preserve"> educational material</w:t>
      </w:r>
      <w:r w:rsidR="006C1C5D">
        <w:t>.</w:t>
      </w:r>
    </w:p>
    <w:p w14:paraId="2DE4BF04" w14:textId="6FB1F87F" w:rsidR="00726596" w:rsidRPr="00E77C18" w:rsidRDefault="00AC0E13" w:rsidP="00015AC5">
      <w:pPr>
        <w:pStyle w:val="ListParagraph"/>
      </w:pPr>
      <w:r>
        <w:rPr>
          <w:b/>
        </w:rPr>
        <w:t>Educate</w:t>
      </w:r>
      <w:r w:rsidR="00726596" w:rsidRPr="00E77C18">
        <w:t xml:space="preserve"> – </w:t>
      </w:r>
      <w:r w:rsidR="005D1A2F">
        <w:t xml:space="preserve">Deliver cybersecurity training content to users across the enterprise. </w:t>
      </w:r>
    </w:p>
    <w:p w14:paraId="4CF6B8C1" w14:textId="2AFA2EA4" w:rsidR="00925744" w:rsidRDefault="002118CF" w:rsidP="00925744">
      <w:pPr>
        <w:pStyle w:val="ListParagraph"/>
      </w:pPr>
      <w:r>
        <w:rPr>
          <w:b/>
        </w:rPr>
        <w:t>Validate</w:t>
      </w:r>
      <w:r w:rsidR="00726596" w:rsidRPr="00E77C18">
        <w:t xml:space="preserve"> – </w:t>
      </w:r>
      <w:r w:rsidR="005F543C">
        <w:t>Ensure that users are benefiting from the training and provide supplemental support</w:t>
      </w:r>
      <w:r w:rsidR="005710F9">
        <w:t xml:space="preserve"> to bolster training goals</w:t>
      </w:r>
      <w:r w:rsidR="005F543C">
        <w:t xml:space="preserve">. </w:t>
      </w:r>
    </w:p>
    <w:p w14:paraId="08398993" w14:textId="77777777" w:rsidR="005100DF" w:rsidRDefault="005100DF" w:rsidP="00232F4D">
      <w:pPr>
        <w:rPr>
          <w:b/>
        </w:rPr>
      </w:pPr>
      <w:bookmarkStart w:id="19" w:name="_Hlk99457838"/>
    </w:p>
    <w:p w14:paraId="62BD15F7" w14:textId="1D6123A8" w:rsidR="00A51F02" w:rsidRPr="00232F4D" w:rsidRDefault="00105869" w:rsidP="00316ED3">
      <w:pPr>
        <w:rPr>
          <w:b/>
        </w:rPr>
      </w:pPr>
      <w:r>
        <w:rPr>
          <w:b/>
        </w:rPr>
        <w:t xml:space="preserve">Assess </w:t>
      </w:r>
    </w:p>
    <w:p w14:paraId="75734136" w14:textId="20AE552C" w:rsidR="0097090A" w:rsidRDefault="0097090A" w:rsidP="00316ED3">
      <w:r>
        <w:t xml:space="preserve">Creating a security awareness program from scratch will take time and planning. Enterprises will approach this task with different starting points, styles, and goals in mind. At a high level, there are a few points that should be considered for all programs. That includes requirements gathering, training delivery method, and whether to use external tools and resources. </w:t>
      </w:r>
      <w:bookmarkStart w:id="20" w:name="_Hlk122339925"/>
      <w:r w:rsidR="00EB12CD" w:rsidRPr="00EB12CD">
        <w:rPr>
          <w:i/>
          <w:iCs/>
        </w:rPr>
        <w:t>NIST SP 800-50: Building an Information Technology Security Awareness and Training Program</w:t>
      </w:r>
      <w:r w:rsidR="0002087D">
        <w:rPr>
          <w:rStyle w:val="FootnoteReference"/>
          <w:i/>
          <w:iCs/>
        </w:rPr>
        <w:footnoteReference w:id="1"/>
      </w:r>
      <w:r w:rsidR="00EB12CD">
        <w:t xml:space="preserve"> </w:t>
      </w:r>
      <w:bookmarkEnd w:id="20"/>
      <w:r w:rsidR="00EB12CD">
        <w:t xml:space="preserve">can act as a comprehensive </w:t>
      </w:r>
      <w:r w:rsidR="00EB12CD">
        <w:lastRenderedPageBreak/>
        <w:t xml:space="preserve">guide to this subject. </w:t>
      </w:r>
      <w:r w:rsidR="00C16FAD">
        <w:t xml:space="preserve">Generally, enterprises are encouraged to create or use broad training programs that are then tailored to specific industries, roles, and employees. </w:t>
      </w:r>
    </w:p>
    <w:p w14:paraId="27C2EA7F" w14:textId="1C974320" w:rsidR="002E3E2C" w:rsidRDefault="002E3E2C" w:rsidP="00543885">
      <w:r>
        <w:t>Requirements gathering for security awareness training ultimately comes down to why an enterprise wants</w:t>
      </w:r>
      <w:r w:rsidR="00412BF5">
        <w:t xml:space="preserve"> or needs</w:t>
      </w:r>
      <w:r>
        <w:t xml:space="preserve"> training. </w:t>
      </w:r>
      <w:r w:rsidR="00412BF5">
        <w:t xml:space="preserve">The answer may simply be that the enterprise is required to by law or policy. Understanding your requirements ensures that an enterprise is fulfilling their obligations (legal, or otherwise), and can assist employees in getting the most out of the training they are receiving. </w:t>
      </w:r>
      <w:r w:rsidR="0027165B">
        <w:t xml:space="preserve">This can include making the training contextually relevant, in any spoken or written languages the employees need, and address threats that may be unique or more applicable to a vertical.  </w:t>
      </w:r>
    </w:p>
    <w:p w14:paraId="52E37F02" w14:textId="3A55ACE0" w:rsidR="004B0DB0" w:rsidRDefault="007141A0" w:rsidP="00543885">
      <w:r>
        <w:t xml:space="preserve">One </w:t>
      </w:r>
      <w:r w:rsidR="00543885">
        <w:t>of the first items an enterprise should consider is how the training will be delivered. In-person training is generally considered more effective than online training, but it is often more expensive to have a trainer physically at an office</w:t>
      </w:r>
      <w:r w:rsidR="004B0DB0">
        <w:t xml:space="preserve">, but the particulars vary. Collecting all employees into a single building, office, auditorium can be expensive. </w:t>
      </w:r>
      <w:r w:rsidR="00EB3E32">
        <w:t xml:space="preserve">The costs for an experienced external trainer or guest speaker can be expensive, </w:t>
      </w:r>
      <w:r w:rsidR="0085593E">
        <w:t xml:space="preserve">so it’s commonplace for </w:t>
      </w:r>
      <w:r w:rsidR="00EB3E32">
        <w:t xml:space="preserve">enterprises </w:t>
      </w:r>
      <w:r w:rsidR="0085593E">
        <w:t xml:space="preserve">with internal </w:t>
      </w:r>
      <w:r w:rsidR="00EB3E32">
        <w:t xml:space="preserve">cybersecurity expertise </w:t>
      </w:r>
      <w:r w:rsidR="0085593E">
        <w:t xml:space="preserve">to leverage </w:t>
      </w:r>
      <w:r w:rsidR="00EB3E32">
        <w:t xml:space="preserve">an employee </w:t>
      </w:r>
      <w:r w:rsidR="0085593E">
        <w:t>with cybersecurity expertise to deliver the training</w:t>
      </w:r>
      <w:r w:rsidR="00EB3E32">
        <w:t xml:space="preserve">. </w:t>
      </w:r>
    </w:p>
    <w:p w14:paraId="3980A2FF" w14:textId="11A6945B" w:rsidR="00BF2476" w:rsidRDefault="009D7C07" w:rsidP="00015AC5">
      <w:r>
        <w:t>Online training is often viewed as a resource</w:t>
      </w:r>
      <w:r w:rsidR="009F22B6">
        <w:t>-</w:t>
      </w:r>
      <w:r>
        <w:t>efficient method of providing training</w:t>
      </w:r>
      <w:r w:rsidR="00870681">
        <w:t xml:space="preserve">. Many types of online training exist, including trivia and tests, videos, games, and scenario-based experiences. These methods of training may work fantastically for an enterprise, but they are rarely </w:t>
      </w:r>
      <w:r w:rsidR="00B57749">
        <w:t>targeted to a specific enterprise’s needs</w:t>
      </w:r>
      <w:r>
        <w:t xml:space="preserve"> since much of the material is developed to be as broad a</w:t>
      </w:r>
      <w:r w:rsidR="001C76BB">
        <w:t xml:space="preserve">nd applicable as </w:t>
      </w:r>
      <w:r>
        <w:t>possible</w:t>
      </w:r>
      <w:r w:rsidR="001C76BB">
        <w:t xml:space="preserve"> for many types of customers</w:t>
      </w:r>
      <w:r>
        <w:t xml:space="preserve">. </w:t>
      </w:r>
      <w:r w:rsidR="004B0DB0">
        <w:t>A hybrid solution is sometimes</w:t>
      </w:r>
      <w:r w:rsidR="001C76BB">
        <w:t xml:space="preserve"> used, where employees must view presentations but also complete an online component such as a test.</w:t>
      </w:r>
    </w:p>
    <w:p w14:paraId="202E63D0" w14:textId="77777777" w:rsidR="00316ED3" w:rsidRPr="00E77C18" w:rsidRDefault="00316ED3" w:rsidP="00015AC5"/>
    <w:p w14:paraId="09AE3E23" w14:textId="64105F11" w:rsidR="00BF2476" w:rsidRPr="00232F4D" w:rsidRDefault="00AC0E13" w:rsidP="00232F4D">
      <w:pPr>
        <w:rPr>
          <w:b/>
          <w:sz w:val="22"/>
          <w:szCs w:val="22"/>
        </w:rPr>
      </w:pPr>
      <w:r>
        <w:rPr>
          <w:b/>
        </w:rPr>
        <w:t xml:space="preserve">Develop </w:t>
      </w:r>
    </w:p>
    <w:bookmarkEnd w:id="19"/>
    <w:p w14:paraId="15458CC6" w14:textId="782D5575" w:rsidR="003A1DD2" w:rsidRDefault="003A1DF7" w:rsidP="00057832">
      <w:r>
        <w:t xml:space="preserve">This part of the process assists enterprises in developing </w:t>
      </w:r>
      <w:r w:rsidR="007A622C">
        <w:t xml:space="preserve">a training program that meets the </w:t>
      </w:r>
      <w:r w:rsidR="004171F0">
        <w:t xml:space="preserve">enterprise’s </w:t>
      </w:r>
      <w:r w:rsidR="000600CF">
        <w:t xml:space="preserve">training </w:t>
      </w:r>
      <w:r w:rsidR="007A622C">
        <w:t>requirements</w:t>
      </w:r>
      <w:r w:rsidR="000600CF">
        <w:t xml:space="preserve">. </w:t>
      </w:r>
      <w:r w:rsidR="00A1269E">
        <w:t xml:space="preserve">Training must then be either developed or acquired that meets the requirements. This often occurs by purchasing a product after performing market research, developing training internally, or </w:t>
      </w:r>
      <w:r w:rsidR="00277A6C">
        <w:t xml:space="preserve">a </w:t>
      </w:r>
      <w:r w:rsidR="00A1269E">
        <w:t>hybrid of these two approaches. Many security awareness training modules are available freely online</w:t>
      </w:r>
      <w:r w:rsidR="006E3547">
        <w:t xml:space="preserve">, alongside videos on sites such as YouTube and Vimeo. </w:t>
      </w:r>
      <w:r w:rsidR="00A62C37">
        <w:t xml:space="preserve">Decisions must also be made such as how often training will be delivered, and when supplemental training will be required. At the very least, CIS recommends training be performed at the time of </w:t>
      </w:r>
      <w:r w:rsidR="001376E7">
        <w:t xml:space="preserve">user </w:t>
      </w:r>
      <w:r w:rsidR="009300CD">
        <w:t xml:space="preserve">onboarding </w:t>
      </w:r>
      <w:r w:rsidR="00DF7641">
        <w:t xml:space="preserve">and </w:t>
      </w:r>
      <w:r w:rsidR="00A62C37">
        <w:t>then at least</w:t>
      </w:r>
      <w:r w:rsidR="00DF7641">
        <w:t xml:space="preserve"> annually</w:t>
      </w:r>
      <w:r w:rsidR="00A62C37">
        <w:t>.</w:t>
      </w:r>
      <w:r w:rsidR="009E4521" w:rsidRPr="009E4521">
        <w:t xml:space="preserve"> The content of the security awareness training program must be updated when new threat</w:t>
      </w:r>
      <w:r w:rsidR="001144AD">
        <w:t xml:space="preserve">s </w:t>
      </w:r>
      <w:r w:rsidR="009E4521" w:rsidRPr="009E4521">
        <w:t xml:space="preserve">affecting </w:t>
      </w:r>
      <w:r w:rsidR="001144AD">
        <w:t>enterprise</w:t>
      </w:r>
      <w:r w:rsidR="009E4521" w:rsidRPr="009E4521">
        <w:t xml:space="preserve"> are identified. </w:t>
      </w:r>
    </w:p>
    <w:p w14:paraId="2C746676" w14:textId="77777777" w:rsidR="003A1DD2" w:rsidRPr="00E77C18" w:rsidRDefault="003A1DD2" w:rsidP="003A1DD2"/>
    <w:p w14:paraId="692A65C6" w14:textId="02FC6591" w:rsidR="00DC6F5B" w:rsidRPr="00232F4D" w:rsidRDefault="00AC0E13" w:rsidP="00232F4D">
      <w:pPr>
        <w:rPr>
          <w:b/>
        </w:rPr>
      </w:pPr>
      <w:r>
        <w:rPr>
          <w:b/>
        </w:rPr>
        <w:t xml:space="preserve">Educate </w:t>
      </w:r>
    </w:p>
    <w:p w14:paraId="5650BEBE" w14:textId="56754EB7" w:rsidR="0065581D" w:rsidRDefault="001D0A45" w:rsidP="00E16EB4">
      <w:pPr>
        <w:rPr>
          <w:rFonts w:eastAsia="Times New Roman"/>
        </w:rPr>
      </w:pPr>
      <w:r>
        <w:rPr>
          <w:rFonts w:eastAsia="Times New Roman"/>
        </w:rPr>
        <w:t>In this phase,</w:t>
      </w:r>
      <w:r w:rsidR="00096B17">
        <w:rPr>
          <w:rFonts w:eastAsia="Times New Roman"/>
        </w:rPr>
        <w:t xml:space="preserve"> training </w:t>
      </w:r>
      <w:r>
        <w:rPr>
          <w:rFonts w:eastAsia="Times New Roman"/>
        </w:rPr>
        <w:t>is delivered to all enterprise users that have access to enterprise systems and information.</w:t>
      </w:r>
      <w:r w:rsidR="00096B17">
        <w:rPr>
          <w:rFonts w:eastAsia="Times New Roman"/>
        </w:rPr>
        <w:t xml:space="preserve"> </w:t>
      </w:r>
      <w:r w:rsidR="00334224">
        <w:rPr>
          <w:rFonts w:eastAsia="Times New Roman"/>
        </w:rPr>
        <w:t>This should be performed i</w:t>
      </w:r>
      <w:r w:rsidR="00407A26" w:rsidRPr="00E16EB4">
        <w:rPr>
          <w:rFonts w:eastAsia="Times New Roman"/>
        </w:rPr>
        <w:t>n accordance</w:t>
      </w:r>
      <w:r w:rsidR="003A1DD2" w:rsidRPr="00E16EB4">
        <w:rPr>
          <w:rFonts w:eastAsia="Times New Roman"/>
        </w:rPr>
        <w:t xml:space="preserve"> with the</w:t>
      </w:r>
      <w:r w:rsidR="00407A26" w:rsidRPr="00E16EB4">
        <w:rPr>
          <w:rFonts w:eastAsia="Times New Roman"/>
        </w:rPr>
        <w:t xml:space="preserve"> cadence </w:t>
      </w:r>
      <w:r w:rsidR="003A1DD2" w:rsidRPr="00E16EB4">
        <w:rPr>
          <w:rFonts w:eastAsia="Times New Roman"/>
        </w:rPr>
        <w:t xml:space="preserve">dictated by </w:t>
      </w:r>
      <w:r w:rsidR="00334224">
        <w:rPr>
          <w:rFonts w:eastAsia="Times New Roman"/>
        </w:rPr>
        <w:t xml:space="preserve">internal </w:t>
      </w:r>
      <w:r w:rsidR="003A1DD2" w:rsidRPr="00E16EB4">
        <w:rPr>
          <w:rFonts w:eastAsia="Times New Roman"/>
        </w:rPr>
        <w:t xml:space="preserve">policy </w:t>
      </w:r>
      <w:r w:rsidR="00334224">
        <w:rPr>
          <w:rFonts w:eastAsia="Times New Roman"/>
        </w:rPr>
        <w:t xml:space="preserve">and any </w:t>
      </w:r>
      <w:r w:rsidR="003A1DD2" w:rsidRPr="00E16EB4">
        <w:rPr>
          <w:rFonts w:eastAsia="Times New Roman"/>
        </w:rPr>
        <w:t xml:space="preserve">outside requirements </w:t>
      </w:r>
      <w:r w:rsidR="00334224">
        <w:rPr>
          <w:rFonts w:eastAsia="Times New Roman"/>
        </w:rPr>
        <w:t xml:space="preserve">previously identified. For instance, if a security framework used by the enterprise recommends annual training on specific topics. </w:t>
      </w:r>
      <w:r w:rsidR="009517D3">
        <w:rPr>
          <w:rFonts w:eastAsia="Times New Roman"/>
        </w:rPr>
        <w:t xml:space="preserve">Users attending and completing the training should be tracked by </w:t>
      </w:r>
      <w:r w:rsidR="00F46329">
        <w:rPr>
          <w:rFonts w:eastAsia="Times New Roman"/>
        </w:rPr>
        <w:t xml:space="preserve">Information Technology (IT) or other relevant business unit (e.g., Information Security Office) </w:t>
      </w:r>
      <w:r w:rsidR="009517D3">
        <w:rPr>
          <w:rFonts w:eastAsia="Times New Roman"/>
        </w:rPr>
        <w:t>to ensure that the required users received training</w:t>
      </w:r>
      <w:r w:rsidR="00400EBA">
        <w:rPr>
          <w:rFonts w:eastAsia="Times New Roman"/>
        </w:rPr>
        <w:t xml:space="preserve"> and that the enterprise’s obligations are met</w:t>
      </w:r>
      <w:r w:rsidR="009517D3">
        <w:rPr>
          <w:rFonts w:eastAsia="Times New Roman"/>
        </w:rPr>
        <w:t xml:space="preserve">. </w:t>
      </w:r>
    </w:p>
    <w:p w14:paraId="3070B0B9" w14:textId="220F63F4" w:rsidR="006349FE" w:rsidRPr="00316ED3" w:rsidRDefault="009E4521" w:rsidP="00232F4D">
      <w:pPr>
        <w:rPr>
          <w:rFonts w:eastAsia="Times New Roman"/>
        </w:rPr>
      </w:pPr>
      <w:r>
        <w:rPr>
          <w:rFonts w:eastAsia="Times New Roman"/>
        </w:rPr>
        <w:t>The content</w:t>
      </w:r>
      <w:r w:rsidR="0065581D">
        <w:rPr>
          <w:rFonts w:eastAsia="Times New Roman"/>
        </w:rPr>
        <w:t xml:space="preserve"> of the training should meet requirements</w:t>
      </w:r>
      <w:r>
        <w:rPr>
          <w:rFonts w:eastAsia="Times New Roman"/>
        </w:rPr>
        <w:t xml:space="preserve"> identified during </w:t>
      </w:r>
      <w:r w:rsidR="0065581D">
        <w:rPr>
          <w:rFonts w:eastAsia="Times New Roman"/>
        </w:rPr>
        <w:t>the assessment phase</w:t>
      </w:r>
      <w:r>
        <w:rPr>
          <w:rFonts w:eastAsia="Times New Roman"/>
        </w:rPr>
        <w:t>. The CIS Controls suggests a variety of topics that an IG1 organization should train their users on</w:t>
      </w:r>
      <w:r w:rsidR="00873FB6">
        <w:rPr>
          <w:rFonts w:eastAsia="Times New Roman"/>
        </w:rPr>
        <w:t>,</w:t>
      </w:r>
      <w:r w:rsidR="002C642F">
        <w:rPr>
          <w:rFonts w:eastAsia="Times New Roman"/>
        </w:rPr>
        <w:t xml:space="preserve"> such as </w:t>
      </w:r>
      <w:r w:rsidR="00873FB6">
        <w:rPr>
          <w:rFonts w:eastAsia="Times New Roman"/>
        </w:rPr>
        <w:t xml:space="preserve">multi-factor authentication, </w:t>
      </w:r>
      <w:r w:rsidR="002C642F">
        <w:rPr>
          <w:rFonts w:eastAsia="Times New Roman"/>
        </w:rPr>
        <w:t>how to securely handle data</w:t>
      </w:r>
      <w:r w:rsidR="00873FB6">
        <w:rPr>
          <w:rFonts w:eastAsia="Times New Roman"/>
        </w:rPr>
        <w:t>,</w:t>
      </w:r>
      <w:r w:rsidR="002C642F">
        <w:rPr>
          <w:rFonts w:eastAsia="Times New Roman"/>
        </w:rPr>
        <w:t xml:space="preserve"> and report suspected security issues to the proper in-house authority</w:t>
      </w:r>
      <w:r>
        <w:rPr>
          <w:rFonts w:eastAsia="Times New Roman"/>
        </w:rPr>
        <w:t xml:space="preserve">. </w:t>
      </w:r>
      <w:r w:rsidR="002C642F">
        <w:rPr>
          <w:rFonts w:eastAsia="Times New Roman"/>
        </w:rPr>
        <w:t>Additionally</w:t>
      </w:r>
      <w:r w:rsidR="0065581D">
        <w:rPr>
          <w:rFonts w:eastAsia="Times New Roman"/>
        </w:rPr>
        <w:t>, the</w:t>
      </w:r>
      <w:r>
        <w:rPr>
          <w:rFonts w:eastAsia="Times New Roman"/>
        </w:rPr>
        <w:t xml:space="preserve"> training should include any necessary information needed to make security-aware decisions on the technology and applications used in the enterprise</w:t>
      </w:r>
      <w:r w:rsidR="002C642F">
        <w:rPr>
          <w:rFonts w:eastAsia="Times New Roman"/>
        </w:rPr>
        <w:t xml:space="preserve">. This could include things like </w:t>
      </w:r>
      <w:r>
        <w:rPr>
          <w:rFonts w:eastAsia="Times New Roman"/>
        </w:rPr>
        <w:t>understand</w:t>
      </w:r>
      <w:r w:rsidR="002C642F">
        <w:rPr>
          <w:rFonts w:eastAsia="Times New Roman"/>
        </w:rPr>
        <w:t>ing</w:t>
      </w:r>
      <w:r>
        <w:rPr>
          <w:rFonts w:eastAsia="Times New Roman"/>
        </w:rPr>
        <w:t xml:space="preserve"> what a dialog box from anti-malware program </w:t>
      </w:r>
      <w:r w:rsidR="00221EB1">
        <w:rPr>
          <w:rFonts w:eastAsia="Times New Roman"/>
        </w:rPr>
        <w:t xml:space="preserve">installed on your endpoints </w:t>
      </w:r>
      <w:r>
        <w:rPr>
          <w:rFonts w:eastAsia="Times New Roman"/>
        </w:rPr>
        <w:t>is suppose</w:t>
      </w:r>
      <w:r w:rsidR="00FB1F1D">
        <w:rPr>
          <w:rFonts w:eastAsia="Times New Roman"/>
        </w:rPr>
        <w:t>d</w:t>
      </w:r>
      <w:r>
        <w:rPr>
          <w:rFonts w:eastAsia="Times New Roman"/>
        </w:rPr>
        <w:t xml:space="preserve"> to look like. </w:t>
      </w:r>
      <w:r w:rsidR="00334224">
        <w:rPr>
          <w:rFonts w:eastAsia="Times New Roman"/>
        </w:rPr>
        <w:t xml:space="preserve"> </w:t>
      </w:r>
      <w:r w:rsidR="0065581D">
        <w:rPr>
          <w:rFonts w:eastAsia="Times New Roman"/>
        </w:rPr>
        <w:t>There are also topics that are outside of the scope of the CIS Controls that are commonly discussed, such as physical security topics. This includes policies and procedures relating to p</w:t>
      </w:r>
      <w:r w:rsidR="0065581D" w:rsidRPr="0065581D">
        <w:rPr>
          <w:rFonts w:eastAsia="Times New Roman"/>
        </w:rPr>
        <w:t xml:space="preserve">hysical access </w:t>
      </w:r>
      <w:r w:rsidR="0065581D">
        <w:rPr>
          <w:rFonts w:eastAsia="Times New Roman"/>
        </w:rPr>
        <w:t xml:space="preserve">to include entering and leaving the office, use of badges and IDs, physical security requirements for server rooms, and challenging unknown persons in a restricted area. </w:t>
      </w:r>
    </w:p>
    <w:p w14:paraId="18169ED1" w14:textId="77777777" w:rsidR="00314FBE" w:rsidRDefault="00314FBE" w:rsidP="00232F4D">
      <w:pPr>
        <w:rPr>
          <w:b/>
        </w:rPr>
      </w:pPr>
    </w:p>
    <w:p w14:paraId="7C12359A" w14:textId="6E38842B" w:rsidR="00A51F02" w:rsidRDefault="002118CF" w:rsidP="00232F4D">
      <w:pPr>
        <w:rPr>
          <w:b/>
        </w:rPr>
      </w:pPr>
      <w:r>
        <w:rPr>
          <w:b/>
        </w:rPr>
        <w:t>Validate</w:t>
      </w:r>
    </w:p>
    <w:p w14:paraId="5AA6CAED" w14:textId="324CF0CA" w:rsidR="00983A63" w:rsidRDefault="008764A9" w:rsidP="000C02FB">
      <w:pPr>
        <w:rPr>
          <w:rFonts w:eastAsia="Times New Roman"/>
        </w:rPr>
      </w:pPr>
      <w:r>
        <w:rPr>
          <w:rFonts w:eastAsia="Times New Roman"/>
        </w:rPr>
        <w:t>Users may not be thrilled to regularly attend cybersecurity training, yet it is often the job of IT</w:t>
      </w:r>
      <w:r w:rsidR="0067618C">
        <w:rPr>
          <w:rFonts w:eastAsia="Times New Roman"/>
        </w:rPr>
        <w:t xml:space="preserve">, or other relevant business unit (e.g., Information Security Office), </w:t>
      </w:r>
      <w:r>
        <w:rPr>
          <w:rFonts w:eastAsia="Times New Roman"/>
        </w:rPr>
        <w:t>to ensure that all required users attended</w:t>
      </w:r>
      <w:r>
        <w:rPr>
          <w:rFonts w:eastAsia="Times New Roman"/>
          <w:i/>
          <w:iCs/>
        </w:rPr>
        <w:t xml:space="preserve"> </w:t>
      </w:r>
      <w:r>
        <w:rPr>
          <w:rFonts w:eastAsia="Times New Roman"/>
        </w:rPr>
        <w:t>training. Additionally,</w:t>
      </w:r>
      <w:r w:rsidR="00314FBE">
        <w:rPr>
          <w:rFonts w:eastAsia="Times New Roman"/>
        </w:rPr>
        <w:t xml:space="preserve"> this training generally must be completed by</w:t>
      </w:r>
      <w:r>
        <w:rPr>
          <w:rFonts w:eastAsia="Times New Roman"/>
        </w:rPr>
        <w:t xml:space="preserve"> users within </w:t>
      </w:r>
      <w:r w:rsidR="00314FBE">
        <w:rPr>
          <w:rFonts w:eastAsia="Times New Roman"/>
        </w:rPr>
        <w:t xml:space="preserve">a defined </w:t>
      </w:r>
      <w:r>
        <w:rPr>
          <w:rFonts w:eastAsia="Times New Roman"/>
        </w:rPr>
        <w:t xml:space="preserve">timeframe. Some enterprises go so far as to </w:t>
      </w:r>
      <w:r w:rsidR="003F3788">
        <w:rPr>
          <w:rFonts w:eastAsia="Times New Roman"/>
        </w:rPr>
        <w:t xml:space="preserve">verify </w:t>
      </w:r>
      <w:r>
        <w:rPr>
          <w:rFonts w:eastAsia="Times New Roman"/>
        </w:rPr>
        <w:t>that the training was completed within realistic bounds</w:t>
      </w:r>
      <w:r w:rsidR="003F3788">
        <w:rPr>
          <w:rFonts w:eastAsia="Times New Roman"/>
        </w:rPr>
        <w:t xml:space="preserve"> such as is the case when a user completes the entire training program in under a minute</w:t>
      </w:r>
      <w:r>
        <w:rPr>
          <w:rFonts w:eastAsia="Times New Roman"/>
        </w:rPr>
        <w:t xml:space="preserve">. This step in the phase focuses on </w:t>
      </w:r>
      <w:r w:rsidR="000C02FB">
        <w:rPr>
          <w:rFonts w:eastAsia="Times New Roman"/>
        </w:rPr>
        <w:t>verifying that education obligations are met</w:t>
      </w:r>
      <w:r>
        <w:rPr>
          <w:rFonts w:eastAsia="Times New Roman"/>
        </w:rPr>
        <w:t xml:space="preserve">, alongside </w:t>
      </w:r>
      <w:r w:rsidR="000C02FB">
        <w:rPr>
          <w:rFonts w:eastAsia="Times New Roman"/>
        </w:rPr>
        <w:t xml:space="preserve">suggesting </w:t>
      </w:r>
      <w:r>
        <w:rPr>
          <w:rFonts w:eastAsia="Times New Roman"/>
        </w:rPr>
        <w:t xml:space="preserve">additional measures an enterprise </w:t>
      </w:r>
      <w:r>
        <w:rPr>
          <w:rFonts w:eastAsia="Times New Roman"/>
        </w:rPr>
        <w:lastRenderedPageBreak/>
        <w:t>may want to take to e</w:t>
      </w:r>
      <w:r w:rsidR="009300CD" w:rsidRPr="008764A9">
        <w:rPr>
          <w:rFonts w:eastAsia="Times New Roman"/>
        </w:rPr>
        <w:t xml:space="preserve">nsure users are </w:t>
      </w:r>
      <w:r w:rsidR="000C02FB" w:rsidRPr="008764A9">
        <w:rPr>
          <w:rFonts w:eastAsia="Times New Roman"/>
        </w:rPr>
        <w:t>learning</w:t>
      </w:r>
      <w:r w:rsidR="009300CD" w:rsidRPr="008764A9">
        <w:rPr>
          <w:rFonts w:eastAsia="Times New Roman"/>
        </w:rPr>
        <w:t xml:space="preserve"> from </w:t>
      </w:r>
      <w:r w:rsidR="00BA0AC1" w:rsidRPr="008764A9">
        <w:rPr>
          <w:rFonts w:eastAsia="Times New Roman"/>
        </w:rPr>
        <w:t xml:space="preserve">the </w:t>
      </w:r>
      <w:r w:rsidR="009300CD" w:rsidRPr="008764A9">
        <w:rPr>
          <w:rFonts w:eastAsia="Times New Roman"/>
        </w:rPr>
        <w:t>training</w:t>
      </w:r>
      <w:r>
        <w:rPr>
          <w:rFonts w:eastAsia="Times New Roman"/>
        </w:rPr>
        <w:t>.</w:t>
      </w:r>
      <w:r w:rsidR="009300CD" w:rsidRPr="008764A9">
        <w:rPr>
          <w:rFonts w:eastAsia="Times New Roman"/>
        </w:rPr>
        <w:t xml:space="preserve"> </w:t>
      </w:r>
      <w:r w:rsidR="000C02FB">
        <w:rPr>
          <w:rFonts w:eastAsia="Times New Roman"/>
        </w:rPr>
        <w:t xml:space="preserve">For instance, some organizations may want to move past quarterly or annual training and perform periodic phishing tests of their own users. Many vendors can offer this service at minimal cost. Finally, tabletop exercises or scenario-based training may be offered from time to time to allow users to flex their cybersecurity knowledge, instead of just passively listening or viewing the content. </w:t>
      </w:r>
    </w:p>
    <w:p w14:paraId="52536F86" w14:textId="31759C7A" w:rsidR="003F3788" w:rsidRDefault="003F3788" w:rsidP="000C02FB">
      <w:pPr>
        <w:rPr>
          <w:rFonts w:eastAsia="Times New Roman"/>
        </w:rPr>
      </w:pPr>
      <w:r>
        <w:rPr>
          <w:rFonts w:eastAsia="Times New Roman"/>
        </w:rPr>
        <w:t>Once all applicable users have completed the yearly training, the enterprise must then embark on updating the training materials. There’s a variety of reasons why this would need to happen</w:t>
      </w:r>
      <w:r w:rsidR="007051B6">
        <w:rPr>
          <w:rFonts w:eastAsia="Times New Roman"/>
        </w:rPr>
        <w:t xml:space="preserve"> such as e</w:t>
      </w:r>
      <w:r>
        <w:rPr>
          <w:rFonts w:eastAsia="Times New Roman"/>
        </w:rPr>
        <w:t>nterprise policies chang</w:t>
      </w:r>
      <w:r w:rsidR="007051B6">
        <w:rPr>
          <w:rFonts w:eastAsia="Times New Roman"/>
        </w:rPr>
        <w:t>ing</w:t>
      </w:r>
      <w:r>
        <w:rPr>
          <w:rFonts w:eastAsia="Times New Roman"/>
        </w:rPr>
        <w:t xml:space="preserve"> from time to time. Users need to be made aware of these changes. Technology updates will be made to the enterprise, such as receiving a new type of anti-malware application or email filter, and users will need to understand their responsibilities and how to effectively use these new systems. Another reason training may need to be updated is new and emerging threats. From time to time, a new </w:t>
      </w:r>
      <w:r w:rsidR="00DA740C">
        <w:rPr>
          <w:rFonts w:eastAsia="Times New Roman"/>
        </w:rPr>
        <w:t xml:space="preserve">type of attack or class of attacks will </w:t>
      </w:r>
      <w:r w:rsidR="000864E8">
        <w:rPr>
          <w:rFonts w:eastAsia="Times New Roman"/>
        </w:rPr>
        <w:t>arise</w:t>
      </w:r>
      <w:r w:rsidR="00DA740C">
        <w:rPr>
          <w:rFonts w:eastAsia="Times New Roman"/>
        </w:rPr>
        <w:t xml:space="preserve">, such as </w:t>
      </w:r>
      <w:r w:rsidR="000864E8">
        <w:rPr>
          <w:rFonts w:eastAsia="Times New Roman"/>
        </w:rPr>
        <w:t xml:space="preserve">what </w:t>
      </w:r>
      <w:r w:rsidR="00DA740C">
        <w:rPr>
          <w:rFonts w:eastAsia="Times New Roman"/>
        </w:rPr>
        <w:t xml:space="preserve">happened within the last decade with ransomware and destructive malware. </w:t>
      </w:r>
    </w:p>
    <w:p w14:paraId="09335318" w14:textId="77777777" w:rsidR="006349FE" w:rsidRPr="00232F4D" w:rsidRDefault="006349FE" w:rsidP="00232F4D">
      <w:pPr>
        <w:rPr>
          <w:b/>
        </w:rPr>
      </w:pPr>
    </w:p>
    <w:p w14:paraId="7917E033" w14:textId="58881A15" w:rsidR="00476585" w:rsidRPr="00E77C18" w:rsidRDefault="00005863" w:rsidP="00152237">
      <w:pPr>
        <w:pStyle w:val="Heading1"/>
        <w:spacing w:after="0"/>
        <w:rPr>
          <w:rFonts w:eastAsia="Times New Roman"/>
          <w:kern w:val="0"/>
        </w:rPr>
      </w:pPr>
      <w:bookmarkStart w:id="21" w:name="_Toc128322018"/>
      <w:r>
        <w:rPr>
          <w:rFonts w:eastAsia="Times New Roman"/>
          <w:kern w:val="0"/>
        </w:rPr>
        <w:lastRenderedPageBreak/>
        <w:t>Security Awareness Training</w:t>
      </w:r>
      <w:r w:rsidR="004C0E28" w:rsidRPr="00E77C18">
        <w:rPr>
          <w:rFonts w:eastAsia="Times New Roman"/>
          <w:kern w:val="0"/>
        </w:rPr>
        <w:t xml:space="preserve"> </w:t>
      </w:r>
      <w:r w:rsidR="004C0E28" w:rsidRPr="00E77C18">
        <w:rPr>
          <w:kern w:val="0"/>
        </w:rPr>
        <w:t>Policy</w:t>
      </w:r>
      <w:r w:rsidR="004C0E28" w:rsidRPr="00E77C18">
        <w:rPr>
          <w:rFonts w:eastAsia="Times New Roman"/>
          <w:kern w:val="0"/>
        </w:rPr>
        <w:t xml:space="preserve"> Template</w:t>
      </w:r>
      <w:bookmarkEnd w:id="21"/>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2" w:name="_Toc128322019"/>
      <w:bookmarkStart w:id="23" w:name="_Hlk85746349"/>
      <w:r w:rsidRPr="00E77C18">
        <w:t>Purpose</w:t>
      </w:r>
      <w:bookmarkEnd w:id="22"/>
      <w:r w:rsidRPr="00E77C18">
        <w:t xml:space="preserve"> </w:t>
      </w:r>
    </w:p>
    <w:p w14:paraId="44BAEA5D" w14:textId="6D59B32C" w:rsidR="006F7368" w:rsidRDefault="004C6D06" w:rsidP="00385B5F">
      <w:pPr>
        <w:rPr>
          <w:rFonts w:eastAsia="Times New Roman"/>
        </w:rPr>
      </w:pPr>
      <w:bookmarkStart w:id="24" w:name="_Hlk85547752"/>
      <w:bookmarkEnd w:id="23"/>
      <w:r w:rsidRPr="00E92AD5">
        <w:t xml:space="preserve">A modern cybersecurity program cannot be put into place without ample attention given to security awareness training. </w:t>
      </w:r>
      <w:r w:rsidR="00E92AD5" w:rsidRPr="00E92AD5">
        <w:t>This includes designing a robust program that is properly developed, implemented</w:t>
      </w:r>
      <w:r w:rsidR="009F22B6">
        <w:t>,</w:t>
      </w:r>
      <w:r w:rsidR="00E92AD5" w:rsidRPr="00E92AD5">
        <w:t xml:space="preserve"> and updated. </w:t>
      </w:r>
      <w:r w:rsidR="00C33E47" w:rsidRPr="00E92AD5">
        <w:t>T</w:t>
      </w:r>
      <w:r w:rsidR="004C0E28" w:rsidRPr="00E92AD5">
        <w:t xml:space="preserve">he </w:t>
      </w:r>
      <w:r w:rsidR="00E92AD5" w:rsidRPr="00E92AD5">
        <w:rPr>
          <w:i/>
        </w:rPr>
        <w:t xml:space="preserve">Security Awareness Training </w:t>
      </w:r>
      <w:r w:rsidR="004C0E28" w:rsidRPr="00E92AD5">
        <w:rPr>
          <w:i/>
        </w:rPr>
        <w:t>Policy</w:t>
      </w:r>
      <w:r w:rsidR="004C0E28" w:rsidRPr="00E92AD5">
        <w:t xml:space="preserve"> provides the processes and procedures for </w:t>
      </w:r>
      <w:r w:rsidR="00E92AD5" w:rsidRPr="00E92AD5">
        <w:t>this program.</w:t>
      </w:r>
      <w:r w:rsidR="00BF495C" w:rsidRPr="00E77C18">
        <w:rPr>
          <w:rFonts w:eastAsia="Times New Roman"/>
        </w:rPr>
        <w:t xml:space="preserve"> </w:t>
      </w:r>
    </w:p>
    <w:p w14:paraId="5D554D8E" w14:textId="77777777" w:rsidR="008E118C" w:rsidRPr="00E77C18" w:rsidRDefault="008E118C" w:rsidP="00385B5F">
      <w:pPr>
        <w:rPr>
          <w:rFonts w:eastAsia="Times New Roman"/>
        </w:rPr>
      </w:pPr>
    </w:p>
    <w:p w14:paraId="6C014C58" w14:textId="5CAB2C33" w:rsidR="004C0E28" w:rsidRPr="00E77C18" w:rsidRDefault="004C0E28" w:rsidP="00873324">
      <w:pPr>
        <w:pStyle w:val="Heading2"/>
        <w:spacing w:before="0" w:after="0" w:afterAutospacing="0"/>
      </w:pPr>
      <w:bookmarkStart w:id="25" w:name="_Toc128322020"/>
      <w:bookmarkEnd w:id="24"/>
      <w:r w:rsidRPr="00E77C18">
        <w:t>Responsibility</w:t>
      </w:r>
      <w:bookmarkEnd w:id="25"/>
      <w:r w:rsidRPr="00E77C18">
        <w:t xml:space="preserve"> </w:t>
      </w:r>
    </w:p>
    <w:p w14:paraId="53DB6D1B" w14:textId="2DFD5372" w:rsidR="00425A59" w:rsidRDefault="00425A59" w:rsidP="00015AC5">
      <w:r w:rsidRPr="00123BCA">
        <w:t xml:space="preserve">The </w:t>
      </w:r>
      <w:r w:rsidR="00B31777" w:rsidRPr="00123BCA">
        <w:t>IT</w:t>
      </w:r>
      <w:r w:rsidRPr="00123BCA">
        <w:t xml:space="preserve"> business unit </w:t>
      </w:r>
      <w:r w:rsidR="004C6D06" w:rsidRPr="00123BCA">
        <w:t xml:space="preserve">has the primary responsibility </w:t>
      </w:r>
      <w:r w:rsidRPr="00123BCA">
        <w:t xml:space="preserve">for </w:t>
      </w:r>
      <w:r w:rsidR="004C6D06" w:rsidRPr="00123BCA">
        <w:t>planning, developing</w:t>
      </w:r>
      <w:r w:rsidR="00123BCA" w:rsidRPr="00123BCA">
        <w:t>, and updating the cybersecurity awareness training program. The education aspect may be performed by the IT business unit or others they deem fit to provide the training. With that said, all employees and users have a</w:t>
      </w:r>
      <w:r w:rsidR="0096367B">
        <w:t xml:space="preserve"> </w:t>
      </w:r>
      <w:r w:rsidR="00123BCA" w:rsidRPr="00123BCA">
        <w:t>responsibilit</w:t>
      </w:r>
      <w:r w:rsidR="0096367B">
        <w:t>y</w:t>
      </w:r>
      <w:r w:rsidR="00123BCA" w:rsidRPr="00123BCA">
        <w:t xml:space="preserve"> to implement the concepts taught within the security awareness program</w:t>
      </w:r>
      <w:r w:rsidR="00040391">
        <w:t xml:space="preserve">. </w:t>
      </w:r>
    </w:p>
    <w:p w14:paraId="6BB9D3DD" w14:textId="106ED91F" w:rsidR="008E118C" w:rsidRDefault="008E118C" w:rsidP="00015AC5"/>
    <w:p w14:paraId="3469A995" w14:textId="77777777" w:rsidR="008E118C" w:rsidRPr="00E77C18" w:rsidRDefault="008E118C" w:rsidP="008E118C">
      <w:pPr>
        <w:pStyle w:val="Heading2"/>
        <w:spacing w:before="0" w:after="0" w:afterAutospacing="0"/>
      </w:pPr>
      <w:bookmarkStart w:id="26" w:name="_Toc128322021"/>
      <w:r>
        <w:t>Exceptions</w:t>
      </w:r>
      <w:bookmarkEnd w:id="26"/>
      <w:r>
        <w:t xml:space="preserve"> </w:t>
      </w:r>
    </w:p>
    <w:p w14:paraId="549B95D0" w14:textId="6DBB9880" w:rsidR="008E118C" w:rsidRDefault="008E118C" w:rsidP="008E118C">
      <w:r>
        <w:t xml:space="preserve">Exceptions to this policy are likely to occur. Exception requests must be made in writing and must contain: </w:t>
      </w:r>
    </w:p>
    <w:p w14:paraId="6FCF40D9" w14:textId="77777777" w:rsidR="008E118C" w:rsidRPr="001F4CA8" w:rsidRDefault="008E118C" w:rsidP="008E118C">
      <w:pPr>
        <w:pStyle w:val="ListParagraph"/>
        <w:numPr>
          <w:ilvl w:val="0"/>
          <w:numId w:val="38"/>
        </w:numPr>
      </w:pPr>
      <w:r w:rsidRPr="001F4CA8">
        <w:t>The reason for the request</w:t>
      </w:r>
      <w:r>
        <w:t>,</w:t>
      </w:r>
    </w:p>
    <w:p w14:paraId="7CF7C16F" w14:textId="77777777" w:rsidR="008E118C" w:rsidRPr="001F4CA8" w:rsidRDefault="008E118C" w:rsidP="008E118C">
      <w:pPr>
        <w:pStyle w:val="ListParagraph"/>
        <w:numPr>
          <w:ilvl w:val="0"/>
          <w:numId w:val="38"/>
        </w:numPr>
      </w:pPr>
      <w:r w:rsidRPr="001F4CA8">
        <w:t>Risk to the enterprise of not following the written policy</w:t>
      </w:r>
      <w:r>
        <w:t>,</w:t>
      </w:r>
      <w:r w:rsidRPr="001F4CA8">
        <w:t xml:space="preserve"> </w:t>
      </w:r>
    </w:p>
    <w:p w14:paraId="47C4C239" w14:textId="77777777" w:rsidR="008E118C" w:rsidRPr="001F4CA8" w:rsidRDefault="008E118C" w:rsidP="008E118C">
      <w:pPr>
        <w:pStyle w:val="ListParagraph"/>
        <w:numPr>
          <w:ilvl w:val="0"/>
          <w:numId w:val="38"/>
        </w:numPr>
      </w:pPr>
      <w:r w:rsidRPr="001F4CA8">
        <w:t>Specific mitigations that will not be implemented</w:t>
      </w:r>
      <w:r>
        <w:t>,</w:t>
      </w:r>
      <w:r w:rsidRPr="001F4CA8">
        <w:t xml:space="preserve"> </w:t>
      </w:r>
    </w:p>
    <w:p w14:paraId="625BEB22" w14:textId="77777777" w:rsidR="008E118C" w:rsidRPr="00EE4E16" w:rsidRDefault="008E118C" w:rsidP="008E118C">
      <w:pPr>
        <w:pStyle w:val="ListParagraph"/>
        <w:numPr>
          <w:ilvl w:val="0"/>
          <w:numId w:val="38"/>
        </w:numPr>
      </w:pPr>
      <w:r w:rsidRPr="00EE4E16">
        <w:t xml:space="preserve">Technical and other difficulties, and </w:t>
      </w:r>
    </w:p>
    <w:p w14:paraId="7B585CCD" w14:textId="77777777" w:rsidR="008E118C" w:rsidRPr="001F4CA8" w:rsidRDefault="008E118C" w:rsidP="008E118C">
      <w:pPr>
        <w:pStyle w:val="ListParagraph"/>
        <w:numPr>
          <w:ilvl w:val="0"/>
          <w:numId w:val="38"/>
        </w:numPr>
      </w:pPr>
      <w:r>
        <w:t xml:space="preserve">Date of review. </w:t>
      </w:r>
    </w:p>
    <w:p w14:paraId="078C45DE" w14:textId="77777777" w:rsidR="008E118C" w:rsidRPr="00E77C18" w:rsidRDefault="008E118C" w:rsidP="00015AC5"/>
    <w:p w14:paraId="45C54315" w14:textId="2E8862A4" w:rsidR="004C0E28" w:rsidRPr="00E77C18" w:rsidRDefault="004C0E28" w:rsidP="00873324">
      <w:pPr>
        <w:pStyle w:val="Heading2"/>
        <w:spacing w:before="0" w:after="0" w:afterAutospacing="0"/>
      </w:pPr>
      <w:bookmarkStart w:id="27" w:name="_Toc128322022"/>
      <w:r w:rsidRPr="00E77C18">
        <w:t>Policy</w:t>
      </w:r>
      <w:bookmarkEnd w:id="27"/>
      <w:r w:rsidRPr="00E77C18">
        <w:t xml:space="preserve"> </w:t>
      </w:r>
    </w:p>
    <w:p w14:paraId="5643E406" w14:textId="2F42CF40" w:rsidR="00F70AF9" w:rsidRPr="00EE3C69" w:rsidRDefault="00EB4014" w:rsidP="00F70AF9">
      <w:pPr>
        <w:rPr>
          <w:b/>
          <w:sz w:val="22"/>
          <w:szCs w:val="22"/>
        </w:rPr>
      </w:pPr>
      <w:r>
        <w:rPr>
          <w:b/>
        </w:rPr>
        <w:t>Assess</w:t>
      </w:r>
    </w:p>
    <w:p w14:paraId="268EDF39" w14:textId="52E82791" w:rsidR="00EE3C69" w:rsidRDefault="00EE3C69" w:rsidP="00EE3C69">
      <w:pPr>
        <w:rPr>
          <w:rFonts w:eastAsia="Times New Roman"/>
        </w:rPr>
      </w:pPr>
      <w:bookmarkStart w:id="28" w:name="_Hlk54809816"/>
      <w:bookmarkStart w:id="29" w:name="_Hlk85548279"/>
      <w:r>
        <w:rPr>
          <w:rFonts w:eastAsia="Times New Roman"/>
        </w:rPr>
        <w:t>There are no IG1 safeguards that support this portion of the security awareness training process.</w:t>
      </w:r>
    </w:p>
    <w:p w14:paraId="421F195A" w14:textId="77777777" w:rsidR="00EB4014" w:rsidRDefault="00EB4014" w:rsidP="00EB4014">
      <w:pPr>
        <w:rPr>
          <w:b/>
        </w:rPr>
      </w:pPr>
    </w:p>
    <w:p w14:paraId="20D6B7AB" w14:textId="7FE2FD5F" w:rsidR="00EB4014" w:rsidRPr="00EB4014" w:rsidRDefault="00EB4014" w:rsidP="00EB4014">
      <w:pPr>
        <w:rPr>
          <w:b/>
          <w:sz w:val="22"/>
          <w:szCs w:val="22"/>
        </w:rPr>
      </w:pPr>
      <w:r w:rsidRPr="00EB4014">
        <w:rPr>
          <w:b/>
        </w:rPr>
        <w:t xml:space="preserve">Develop </w:t>
      </w:r>
    </w:p>
    <w:p w14:paraId="2A99834C" w14:textId="6A76FB34" w:rsidR="001654A6" w:rsidRDefault="00F81318" w:rsidP="00170C8D">
      <w:pPr>
        <w:pStyle w:val="ListParagraph"/>
        <w:numPr>
          <w:ilvl w:val="0"/>
          <w:numId w:val="42"/>
        </w:numPr>
      </w:pPr>
      <w:r>
        <w:t xml:space="preserve">A program for performing security awareness </w:t>
      </w:r>
      <w:r w:rsidR="00EE3C69">
        <w:t xml:space="preserve">training </w:t>
      </w:r>
      <w:r>
        <w:t xml:space="preserve">must be established. </w:t>
      </w:r>
    </w:p>
    <w:p w14:paraId="4A1936EB" w14:textId="718FDBF8" w:rsidR="00F81318" w:rsidRDefault="00F81318" w:rsidP="00170C8D">
      <w:pPr>
        <w:pStyle w:val="ListParagraph"/>
        <w:numPr>
          <w:ilvl w:val="0"/>
          <w:numId w:val="42"/>
        </w:numPr>
      </w:pPr>
      <w:r>
        <w:t xml:space="preserve">This process must be documented and approved. </w:t>
      </w:r>
    </w:p>
    <w:p w14:paraId="5CEF3221" w14:textId="77777777" w:rsidR="00EB4014" w:rsidRDefault="00EB4014" w:rsidP="00AC2949">
      <w:pPr>
        <w:rPr>
          <w:rFonts w:eastAsia="Times New Roman"/>
          <w:b/>
          <w:bCs/>
        </w:rPr>
      </w:pPr>
    </w:p>
    <w:p w14:paraId="66A66F0D" w14:textId="76DB19B6" w:rsidR="00EB4014" w:rsidRPr="00232F4D" w:rsidRDefault="00EB4014" w:rsidP="00EB4014">
      <w:pPr>
        <w:rPr>
          <w:b/>
          <w:sz w:val="22"/>
          <w:szCs w:val="22"/>
        </w:rPr>
      </w:pPr>
      <w:r>
        <w:rPr>
          <w:b/>
        </w:rPr>
        <w:t xml:space="preserve">Educate </w:t>
      </w:r>
    </w:p>
    <w:p w14:paraId="07A38FA9" w14:textId="169C12C9" w:rsidR="003854A4" w:rsidRDefault="000C004B" w:rsidP="00280A36">
      <w:pPr>
        <w:pStyle w:val="ListParagraph"/>
        <w:numPr>
          <w:ilvl w:val="0"/>
          <w:numId w:val="37"/>
        </w:numPr>
      </w:pPr>
      <w:r>
        <w:t>Users must receive security awareness training, at a minimum,</w:t>
      </w:r>
      <w:r w:rsidR="003854A4">
        <w:t xml:space="preserve"> on an annual basis. </w:t>
      </w:r>
    </w:p>
    <w:p w14:paraId="76DFB450" w14:textId="36F6B061" w:rsidR="003854A4" w:rsidRDefault="003854A4" w:rsidP="00280A36">
      <w:pPr>
        <w:pStyle w:val="ListParagraph"/>
        <w:numPr>
          <w:ilvl w:val="0"/>
          <w:numId w:val="37"/>
        </w:numPr>
      </w:pPr>
      <w:r>
        <w:t xml:space="preserve">All new </w:t>
      </w:r>
      <w:r w:rsidR="00483171">
        <w:t xml:space="preserve">users </w:t>
      </w:r>
      <w:r>
        <w:t xml:space="preserve">must receive cybersecurity awareness training before being granted access to enterprise assets. </w:t>
      </w:r>
    </w:p>
    <w:p w14:paraId="4A3DC65F" w14:textId="30D959AC" w:rsidR="002C1B22" w:rsidRDefault="002C1B22" w:rsidP="00280A36">
      <w:pPr>
        <w:pStyle w:val="ListParagraph"/>
        <w:numPr>
          <w:ilvl w:val="0"/>
          <w:numId w:val="37"/>
        </w:numPr>
      </w:pPr>
      <w:r>
        <w:t xml:space="preserve">Users must be trained on how to recognize social engineering attacks. </w:t>
      </w:r>
    </w:p>
    <w:p w14:paraId="24A6D6D0" w14:textId="1F0B0CD6" w:rsidR="002C1B22" w:rsidRDefault="006A2C76" w:rsidP="00280A36">
      <w:pPr>
        <w:pStyle w:val="ListParagraph"/>
        <w:numPr>
          <w:ilvl w:val="0"/>
          <w:numId w:val="37"/>
        </w:numPr>
      </w:pPr>
      <w:r>
        <w:t xml:space="preserve">Users must be trained on best practices for authentication in the enterprise. </w:t>
      </w:r>
      <w:r w:rsidR="00641707">
        <w:t xml:space="preserve">Users must be trained on best practices for handling enterprise data. </w:t>
      </w:r>
    </w:p>
    <w:p w14:paraId="39E3509C" w14:textId="6C0C27DE" w:rsidR="00E5742C" w:rsidRDefault="00E5742C" w:rsidP="00E5742C">
      <w:pPr>
        <w:pStyle w:val="ListParagraph"/>
        <w:numPr>
          <w:ilvl w:val="1"/>
          <w:numId w:val="37"/>
        </w:numPr>
      </w:pPr>
      <w:r>
        <w:t xml:space="preserve">Training must be included on the following subjects as it pertains to the enterprise’s </w:t>
      </w:r>
      <w:r w:rsidRPr="00BC50FD">
        <w:rPr>
          <w:i/>
          <w:iCs/>
        </w:rPr>
        <w:t>Data Management Policy</w:t>
      </w:r>
      <w:r>
        <w:t xml:space="preserve">: </w:t>
      </w:r>
    </w:p>
    <w:p w14:paraId="06BEA21D" w14:textId="3C0764B5" w:rsidR="00E5742C" w:rsidRDefault="00E5742C" w:rsidP="00BC50FD">
      <w:pPr>
        <w:pStyle w:val="ListParagraph"/>
        <w:numPr>
          <w:ilvl w:val="2"/>
          <w:numId w:val="37"/>
        </w:numPr>
      </w:pPr>
      <w:r>
        <w:t xml:space="preserve">Identifying sensitive data </w:t>
      </w:r>
    </w:p>
    <w:p w14:paraId="4D739A01" w14:textId="54B6E583" w:rsidR="00E5742C" w:rsidRDefault="00E5742C" w:rsidP="00BC50FD">
      <w:pPr>
        <w:pStyle w:val="ListParagraph"/>
        <w:numPr>
          <w:ilvl w:val="2"/>
          <w:numId w:val="37"/>
        </w:numPr>
      </w:pPr>
      <w:r>
        <w:t xml:space="preserve">Storing sensitive </w:t>
      </w:r>
      <w:r w:rsidR="00641707">
        <w:t>data</w:t>
      </w:r>
      <w:r>
        <w:t xml:space="preserve"> </w:t>
      </w:r>
    </w:p>
    <w:p w14:paraId="5891F407" w14:textId="4554F90A" w:rsidR="00E5742C" w:rsidRDefault="00E5742C" w:rsidP="00BC50FD">
      <w:pPr>
        <w:pStyle w:val="ListParagraph"/>
        <w:numPr>
          <w:ilvl w:val="2"/>
          <w:numId w:val="37"/>
        </w:numPr>
      </w:pPr>
      <w:r>
        <w:lastRenderedPageBreak/>
        <w:t xml:space="preserve">Transferring sensitive </w:t>
      </w:r>
      <w:r w:rsidR="00641707">
        <w:t>data</w:t>
      </w:r>
      <w:r>
        <w:t xml:space="preserve"> </w:t>
      </w:r>
    </w:p>
    <w:p w14:paraId="2ECDD72F" w14:textId="1BED030D" w:rsidR="00E5742C" w:rsidRDefault="00E5742C" w:rsidP="00BC50FD">
      <w:pPr>
        <w:pStyle w:val="ListParagraph"/>
        <w:numPr>
          <w:ilvl w:val="2"/>
          <w:numId w:val="37"/>
        </w:numPr>
      </w:pPr>
      <w:r>
        <w:t>A</w:t>
      </w:r>
      <w:r w:rsidR="00641707">
        <w:t>rchiv</w:t>
      </w:r>
      <w:r>
        <w:t>ing sensitive</w:t>
      </w:r>
      <w:r w:rsidR="00641707">
        <w:t xml:space="preserve"> data</w:t>
      </w:r>
      <w:r>
        <w:t xml:space="preserve"> </w:t>
      </w:r>
    </w:p>
    <w:p w14:paraId="0F474C5F" w14:textId="23F8B55E" w:rsidR="00E5742C" w:rsidRDefault="00E5742C" w:rsidP="00E5742C">
      <w:pPr>
        <w:pStyle w:val="ListParagraph"/>
        <w:numPr>
          <w:ilvl w:val="2"/>
          <w:numId w:val="37"/>
        </w:numPr>
      </w:pPr>
      <w:r>
        <w:t xml:space="preserve">Destroying sensitive </w:t>
      </w:r>
      <w:r w:rsidR="00AB21A3">
        <w:t xml:space="preserve">data </w:t>
      </w:r>
    </w:p>
    <w:p w14:paraId="47994776" w14:textId="313D2BFF" w:rsidR="00F9690D" w:rsidRDefault="00F9690D" w:rsidP="00BC50FD">
      <w:pPr>
        <w:pStyle w:val="ListParagraph"/>
        <w:numPr>
          <w:ilvl w:val="2"/>
          <w:numId w:val="37"/>
        </w:numPr>
      </w:pPr>
      <w:r>
        <w:t xml:space="preserve">Any legal and / or regulatory obligations of the above. </w:t>
      </w:r>
    </w:p>
    <w:p w14:paraId="3D207AA3" w14:textId="54903A49" w:rsidR="00641707" w:rsidRDefault="00E5742C" w:rsidP="00641707">
      <w:pPr>
        <w:pStyle w:val="ListParagraph"/>
        <w:numPr>
          <w:ilvl w:val="1"/>
          <w:numId w:val="37"/>
        </w:numPr>
      </w:pPr>
      <w:r>
        <w:t xml:space="preserve">Clear screen and </w:t>
      </w:r>
      <w:r w:rsidR="007D6AEE">
        <w:t xml:space="preserve">clean </w:t>
      </w:r>
      <w:r>
        <w:t xml:space="preserve">desk </w:t>
      </w:r>
      <w:r w:rsidR="007D6AEE">
        <w:t xml:space="preserve">best </w:t>
      </w:r>
      <w:r>
        <w:t xml:space="preserve">practices must be included in the training. </w:t>
      </w:r>
    </w:p>
    <w:p w14:paraId="68836114" w14:textId="78E289C7" w:rsidR="000919FB" w:rsidRDefault="00F97E66" w:rsidP="00BC50FD">
      <w:pPr>
        <w:pStyle w:val="ListParagraph"/>
        <w:numPr>
          <w:ilvl w:val="2"/>
          <w:numId w:val="37"/>
        </w:numPr>
      </w:pPr>
      <w:r>
        <w:t>Timeframes for a</w:t>
      </w:r>
      <w:r w:rsidR="000919FB">
        <w:t xml:space="preserve">utomatic session locking </w:t>
      </w:r>
      <w:r>
        <w:t xml:space="preserve">for enterprise assets are contained within </w:t>
      </w:r>
      <w:r w:rsidR="000919FB">
        <w:t xml:space="preserve">the </w:t>
      </w:r>
      <w:r w:rsidR="000919FB" w:rsidRPr="00BC50FD">
        <w:rPr>
          <w:i/>
          <w:iCs/>
        </w:rPr>
        <w:t>Secure Configuration Management Policy</w:t>
      </w:r>
      <w:r w:rsidR="000919FB">
        <w:t xml:space="preserve">. </w:t>
      </w:r>
    </w:p>
    <w:p w14:paraId="2C983D17" w14:textId="05F83680" w:rsidR="008E40CD" w:rsidRDefault="008E40CD" w:rsidP="008E40CD">
      <w:pPr>
        <w:pStyle w:val="ListParagraph"/>
        <w:numPr>
          <w:ilvl w:val="0"/>
          <w:numId w:val="37"/>
        </w:numPr>
      </w:pPr>
      <w:r>
        <w:t xml:space="preserve">Users must be trained on the causes of unintentional data exposure in the enterprise. </w:t>
      </w:r>
    </w:p>
    <w:p w14:paraId="0223C9B6" w14:textId="1E4F8E4A" w:rsidR="008E40CD" w:rsidRDefault="008E40CD" w:rsidP="008E40CD">
      <w:pPr>
        <w:pStyle w:val="ListParagraph"/>
        <w:numPr>
          <w:ilvl w:val="0"/>
          <w:numId w:val="37"/>
        </w:numPr>
      </w:pPr>
      <w:r>
        <w:t xml:space="preserve">Users must be trained on how to recognize and report security incidents. </w:t>
      </w:r>
    </w:p>
    <w:p w14:paraId="5951789F" w14:textId="6D1272CA" w:rsidR="000C4F95" w:rsidRDefault="000C4F95" w:rsidP="000C4F95">
      <w:pPr>
        <w:pStyle w:val="ListParagraph"/>
        <w:numPr>
          <w:ilvl w:val="0"/>
          <w:numId w:val="37"/>
        </w:numPr>
      </w:pPr>
      <w:r>
        <w:t>Users must be trained on how to identify and report if their enterprise assets are missing security updates</w:t>
      </w:r>
      <w:r w:rsidR="00B504A9">
        <w:t>.</w:t>
      </w:r>
      <w:r>
        <w:t xml:space="preserve">  </w:t>
      </w:r>
    </w:p>
    <w:p w14:paraId="24CC3C9B" w14:textId="77CA9B47" w:rsidR="002C1B22" w:rsidRPr="004C6D06" w:rsidRDefault="004C6D06" w:rsidP="008670F5">
      <w:pPr>
        <w:pStyle w:val="ListParagraph"/>
        <w:numPr>
          <w:ilvl w:val="0"/>
          <w:numId w:val="37"/>
        </w:numPr>
      </w:pPr>
      <w:r>
        <w:t>Users must be trained on</w:t>
      </w:r>
      <w:r w:rsidR="007321A6">
        <w:t xml:space="preserve"> the</w:t>
      </w:r>
      <w:r>
        <w:t xml:space="preserve"> dangers of connecting to and transmitting enterprise data over insecure networks</w:t>
      </w:r>
      <w:r w:rsidR="007321A6">
        <w:t>.</w:t>
      </w:r>
      <w:r>
        <w:t xml:space="preserve"> </w:t>
      </w:r>
    </w:p>
    <w:p w14:paraId="51DC3FBE" w14:textId="77777777" w:rsidR="00524A5A" w:rsidRDefault="00524A5A" w:rsidP="008670F5"/>
    <w:p w14:paraId="56CB1422" w14:textId="54433CFB" w:rsidR="00524A5A" w:rsidRPr="00232F4D" w:rsidRDefault="00524A5A" w:rsidP="00524A5A">
      <w:pPr>
        <w:rPr>
          <w:b/>
          <w:sz w:val="22"/>
          <w:szCs w:val="22"/>
        </w:rPr>
      </w:pPr>
      <w:r>
        <w:rPr>
          <w:b/>
        </w:rPr>
        <w:t>Update</w:t>
      </w:r>
    </w:p>
    <w:p w14:paraId="336D9AB1" w14:textId="32B3E236" w:rsidR="0029440B" w:rsidRDefault="0029440B" w:rsidP="0029440B">
      <w:pPr>
        <w:pStyle w:val="ListParagraph"/>
        <w:numPr>
          <w:ilvl w:val="0"/>
          <w:numId w:val="34"/>
        </w:numPr>
      </w:pPr>
      <w:bookmarkStart w:id="30" w:name="_Hlk85573128"/>
      <w:r>
        <w:t xml:space="preserve">The content of the security awareness training program must be reviewed and updated annually, or when significant changes to the enterprise occur. </w:t>
      </w:r>
    </w:p>
    <w:p w14:paraId="6920AEDE" w14:textId="13E42BB6" w:rsidR="00BA3A10" w:rsidRDefault="00BA3A10" w:rsidP="00BA3A10">
      <w:pPr>
        <w:snapToGrid/>
        <w:spacing w:before="0" w:after="0" w:line="240" w:lineRule="auto"/>
        <w:rPr>
          <w:rFonts w:eastAsia="Times New Roman"/>
        </w:rPr>
      </w:pPr>
      <w:r>
        <w:rPr>
          <w:rFonts w:eastAsia="Times New Roman"/>
        </w:rPr>
        <w:br w:type="page"/>
      </w:r>
    </w:p>
    <w:p w14:paraId="51DD445F" w14:textId="77777777" w:rsidR="00EE3C69" w:rsidRDefault="00EE3C69" w:rsidP="00EE3C69">
      <w:pPr>
        <w:rPr>
          <w:rFonts w:eastAsia="Times New Roman"/>
        </w:rPr>
      </w:pPr>
      <w:bookmarkStart w:id="31" w:name="_Toc106364359"/>
      <w:bookmarkStart w:id="32" w:name="_Toc117599280"/>
      <w:bookmarkStart w:id="33" w:name="_Toc128322023"/>
      <w:bookmarkStart w:id="34" w:name="_Hlk54809899"/>
      <w:bookmarkStart w:id="35" w:name="_Hlk54809958"/>
      <w:bookmarkStart w:id="36" w:name="_Hlk54809975"/>
      <w:bookmarkStart w:id="37" w:name="_Hlk54809999"/>
      <w:bookmarkEnd w:id="28"/>
      <w:bookmarkEnd w:id="29"/>
      <w:bookmarkEnd w:id="30"/>
      <w:r w:rsidRPr="00DC3DF6">
        <w:rPr>
          <w:rStyle w:val="Heading1Char"/>
        </w:rPr>
        <w:lastRenderedPageBreak/>
        <w:t>Revision History</w:t>
      </w:r>
      <w:bookmarkEnd w:id="31"/>
      <w:bookmarkEnd w:id="32"/>
      <w:bookmarkEnd w:id="33"/>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10170" w:type="dxa"/>
        <w:tblLook w:val="04A0" w:firstRow="1" w:lastRow="0" w:firstColumn="1" w:lastColumn="0" w:noHBand="0" w:noVBand="1"/>
      </w:tblPr>
      <w:tblGrid>
        <w:gridCol w:w="2226"/>
        <w:gridCol w:w="2465"/>
        <w:gridCol w:w="3105"/>
        <w:gridCol w:w="2374"/>
      </w:tblGrid>
      <w:tr w:rsidR="00316ED3" w14:paraId="6EC44EBB" w14:textId="77777777" w:rsidTr="00316ED3">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3094CE53" w14:textId="77777777" w:rsidR="00EE3C69" w:rsidRDefault="00EE3C69" w:rsidP="0075364C">
            <w:pPr>
              <w:pStyle w:val="NormalWeb"/>
              <w:jc w:val="center"/>
              <w:rPr>
                <w:rFonts w:cs="Arial"/>
                <w:sz w:val="22"/>
                <w:szCs w:val="22"/>
              </w:rPr>
            </w:pPr>
            <w:r>
              <w:rPr>
                <w:rFonts w:cs="Arial"/>
                <w:sz w:val="22"/>
                <w:szCs w:val="22"/>
              </w:rPr>
              <w:t>Version</w:t>
            </w:r>
          </w:p>
        </w:tc>
        <w:tc>
          <w:tcPr>
            <w:tcW w:w="2465" w:type="dxa"/>
          </w:tcPr>
          <w:p w14:paraId="57BC0983" w14:textId="77777777" w:rsidR="00EE3C69" w:rsidRPr="002E724F"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63C5CBBE" w14:textId="77777777" w:rsidR="00EE3C69" w:rsidRPr="002E724F"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2374" w:type="dxa"/>
          </w:tcPr>
          <w:p w14:paraId="36261A1B" w14:textId="77777777" w:rsidR="00EE3C69"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316ED3" w14:paraId="1C5CA1EA" w14:textId="77777777" w:rsidTr="00316ED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C0D3C5D" w14:textId="77777777" w:rsidR="00EE3C69" w:rsidRDefault="00EE3C69" w:rsidP="0075364C">
            <w:pPr>
              <w:pStyle w:val="NormalWeb"/>
              <w:rPr>
                <w:rFonts w:cs="Arial"/>
                <w:sz w:val="22"/>
                <w:szCs w:val="22"/>
              </w:rPr>
            </w:pPr>
          </w:p>
        </w:tc>
        <w:tc>
          <w:tcPr>
            <w:tcW w:w="2465" w:type="dxa"/>
          </w:tcPr>
          <w:p w14:paraId="22D1B34C"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61D839A8"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2374" w:type="dxa"/>
          </w:tcPr>
          <w:p w14:paraId="3F28D413"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316ED3" w14:paraId="097C02EB" w14:textId="77777777" w:rsidTr="00316ED3">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8BC4CA6" w14:textId="77777777" w:rsidR="00EE3C69" w:rsidRDefault="00EE3C69" w:rsidP="0075364C">
            <w:pPr>
              <w:pStyle w:val="NormalWeb"/>
              <w:rPr>
                <w:rFonts w:cs="Arial"/>
                <w:sz w:val="22"/>
                <w:szCs w:val="22"/>
              </w:rPr>
            </w:pPr>
          </w:p>
        </w:tc>
        <w:tc>
          <w:tcPr>
            <w:tcW w:w="2465" w:type="dxa"/>
          </w:tcPr>
          <w:p w14:paraId="5AD55073"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47C24F1"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2374" w:type="dxa"/>
          </w:tcPr>
          <w:p w14:paraId="69A2113B"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316ED3" w14:paraId="1DBAC4D8" w14:textId="77777777" w:rsidTr="00316ED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58895DC" w14:textId="77777777" w:rsidR="00EE3C69" w:rsidRDefault="00EE3C69" w:rsidP="0075364C">
            <w:pPr>
              <w:pStyle w:val="NormalWeb"/>
              <w:rPr>
                <w:rFonts w:cs="Arial"/>
                <w:sz w:val="22"/>
                <w:szCs w:val="22"/>
              </w:rPr>
            </w:pPr>
          </w:p>
        </w:tc>
        <w:tc>
          <w:tcPr>
            <w:tcW w:w="2465" w:type="dxa"/>
          </w:tcPr>
          <w:p w14:paraId="13EA045F"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13B6764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2374" w:type="dxa"/>
          </w:tcPr>
          <w:p w14:paraId="59E4130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316ED3" w14:paraId="4F324565" w14:textId="77777777" w:rsidTr="00316ED3">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11E4905" w14:textId="77777777" w:rsidR="00EE3C69" w:rsidRDefault="00EE3C69" w:rsidP="0075364C">
            <w:pPr>
              <w:pStyle w:val="NormalWeb"/>
              <w:rPr>
                <w:rFonts w:cs="Arial"/>
                <w:sz w:val="22"/>
                <w:szCs w:val="22"/>
              </w:rPr>
            </w:pPr>
          </w:p>
        </w:tc>
        <w:tc>
          <w:tcPr>
            <w:tcW w:w="2465" w:type="dxa"/>
          </w:tcPr>
          <w:p w14:paraId="21E40149"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3121766"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2374" w:type="dxa"/>
          </w:tcPr>
          <w:p w14:paraId="281881A4"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316ED3" w14:paraId="6A87EB54" w14:textId="77777777" w:rsidTr="00316ED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69D2535" w14:textId="77777777" w:rsidR="00EE3C69" w:rsidRDefault="00EE3C69" w:rsidP="0075364C">
            <w:pPr>
              <w:pStyle w:val="NormalWeb"/>
              <w:rPr>
                <w:rFonts w:cs="Arial"/>
                <w:sz w:val="22"/>
                <w:szCs w:val="22"/>
              </w:rPr>
            </w:pPr>
          </w:p>
        </w:tc>
        <w:tc>
          <w:tcPr>
            <w:tcW w:w="2465" w:type="dxa"/>
          </w:tcPr>
          <w:p w14:paraId="65A9433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9844A1B"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2374" w:type="dxa"/>
          </w:tcPr>
          <w:p w14:paraId="531BBF54"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316ED3" w14:paraId="6D458033" w14:textId="77777777" w:rsidTr="00316ED3">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7B5BF258" w14:textId="77777777" w:rsidR="00EE3C69" w:rsidRDefault="00EE3C69" w:rsidP="0075364C">
            <w:pPr>
              <w:pStyle w:val="NormalWeb"/>
              <w:rPr>
                <w:rFonts w:cs="Arial"/>
                <w:sz w:val="22"/>
                <w:szCs w:val="22"/>
              </w:rPr>
            </w:pPr>
          </w:p>
        </w:tc>
        <w:tc>
          <w:tcPr>
            <w:tcW w:w="2465" w:type="dxa"/>
          </w:tcPr>
          <w:p w14:paraId="116D0B57"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F58B557"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2374" w:type="dxa"/>
          </w:tcPr>
          <w:p w14:paraId="29318EF1"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8" w:name="_Toc128322024"/>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8"/>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745"/>
      </w:tblGrid>
      <w:tr w:rsidR="00316ED3" w:rsidRPr="00E77C18" w14:paraId="7C38D82C" w14:textId="77777777" w:rsidTr="00316ED3">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74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316ED3" w:rsidRPr="00E77C18" w14:paraId="0B8D4533" w14:textId="77777777" w:rsidTr="00316ED3">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74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316ED3" w:rsidRPr="00E77C18" w14:paraId="04FCF12A" w14:textId="77777777" w:rsidTr="00316ED3">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74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316ED3" w:rsidRPr="00E77C18" w14:paraId="19410595" w14:textId="77777777" w:rsidTr="00316ED3">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745" w:type="dxa"/>
            <w:shd w:val="clear" w:color="auto" w:fill="auto"/>
            <w:vAlign w:val="center"/>
          </w:tcPr>
          <w:p w14:paraId="3F396E16"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Implementation Group</w:t>
            </w:r>
          </w:p>
        </w:tc>
      </w:tr>
      <w:tr w:rsidR="00316ED3" w:rsidRPr="00E77C18" w14:paraId="00068D8D" w14:textId="77777777" w:rsidTr="00316ED3">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74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bl>
    <w:p w14:paraId="2788E72A" w14:textId="4E91ECD3" w:rsidR="009A7D8C" w:rsidRPr="00E77C18" w:rsidRDefault="009A7D8C" w:rsidP="00CA0052">
      <w:pPr>
        <w:pStyle w:val="Heading1"/>
        <w:spacing w:after="0"/>
        <w:rPr>
          <w:rFonts w:eastAsia="Times New Roman"/>
          <w:kern w:val="0"/>
        </w:rPr>
      </w:pPr>
      <w:bookmarkStart w:id="39" w:name="_Appendix_B:_Definitions"/>
      <w:bookmarkStart w:id="40" w:name="_Appendix_B:_Glossary"/>
      <w:bookmarkStart w:id="41" w:name="_Toc128322025"/>
      <w:bookmarkEnd w:id="39"/>
      <w:bookmarkEnd w:id="40"/>
      <w:r w:rsidRPr="00E77C18">
        <w:rPr>
          <w:rFonts w:eastAsia="Times New Roman"/>
          <w:kern w:val="0"/>
        </w:rPr>
        <w:lastRenderedPageBreak/>
        <w:t xml:space="preserve">Appendix B: </w:t>
      </w:r>
      <w:r w:rsidR="0087371B">
        <w:rPr>
          <w:kern w:val="0"/>
        </w:rPr>
        <w:t>Glossary</w:t>
      </w:r>
      <w:bookmarkEnd w:id="41"/>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745"/>
      </w:tblGrid>
      <w:tr w:rsidR="00316ED3" w:rsidRPr="00E77C18" w14:paraId="269BC2FC"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74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4" w:history="1">
              <w:r w:rsidR="00884D9D" w:rsidRPr="00E77C18">
                <w:rPr>
                  <w:rStyle w:val="Hyperlink"/>
                </w:rPr>
                <w:t>Asset(s) - Glossary | CSRC (nist.gov)</w:t>
              </w:r>
            </w:hyperlink>
          </w:p>
        </w:tc>
      </w:tr>
      <w:tr w:rsidR="00316ED3" w:rsidRPr="00E77C18" w14:paraId="49151EA7"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0FCC40" w14:textId="71B5F483" w:rsidR="00B91D48" w:rsidRPr="00E77C18" w:rsidRDefault="00B91D48" w:rsidP="00717136">
            <w:r>
              <w:t>Breach</w:t>
            </w:r>
          </w:p>
        </w:tc>
        <w:tc>
          <w:tcPr>
            <w:tcW w:w="7745" w:type="dxa"/>
            <w:shd w:val="clear" w:color="auto" w:fill="auto"/>
          </w:tcPr>
          <w:p w14:paraId="1A8780BB" w14:textId="1B71C56D" w:rsidR="00B91D48" w:rsidRDefault="00B91D48" w:rsidP="00717136">
            <w:pPr>
              <w:cnfStyle w:val="000000000000" w:firstRow="0" w:lastRow="0" w:firstColumn="0" w:lastColumn="0" w:oddVBand="0" w:evenVBand="0" w:oddHBand="0" w:evenHBand="0" w:firstRowFirstColumn="0" w:firstRowLastColumn="0" w:lastRowFirstColumn="0" w:lastRowLastColumn="0"/>
            </w:pPr>
            <w:r w:rsidRPr="00B91D48">
              <w:t xml:space="preserve">The loss of control, compromise, unauthorized disclosure, unauthorized acquisition, or any similar occurrence where: a person other than an authorized user accesses or potentially accesses </w:t>
            </w:r>
            <w:r w:rsidR="00483171">
              <w:t xml:space="preserve">sensitive </w:t>
            </w:r>
            <w:r w:rsidR="006C50C8">
              <w:t xml:space="preserve">or confidential </w:t>
            </w:r>
            <w:r w:rsidR="00483171">
              <w:t>information</w:t>
            </w:r>
            <w:r w:rsidRPr="00B91D48">
              <w:t xml:space="preserve">; or an authorized user accesses </w:t>
            </w:r>
            <w:r w:rsidR="006C50C8">
              <w:t>sensitive or confidential information</w:t>
            </w:r>
            <w:r w:rsidR="006C50C8" w:rsidRPr="00B91D48">
              <w:t xml:space="preserve"> </w:t>
            </w:r>
            <w:r w:rsidRPr="00B91D48">
              <w:t xml:space="preserve">for other </w:t>
            </w:r>
            <w:r w:rsidR="006C50C8">
              <w:t xml:space="preserve">than </w:t>
            </w:r>
            <w:r w:rsidRPr="00B91D48">
              <w:t>authorized purpose</w:t>
            </w:r>
            <w:r w:rsidR="006C50C8">
              <w:t>s</w:t>
            </w:r>
            <w:r w:rsidRPr="00B91D48">
              <w:t>.</w:t>
            </w:r>
          </w:p>
          <w:p w14:paraId="501B799B" w14:textId="0A8B9441" w:rsidR="00B91D48" w:rsidRPr="00E77C18" w:rsidRDefault="00B91D48" w:rsidP="00717136">
            <w:pPr>
              <w:cnfStyle w:val="000000000000" w:firstRow="0" w:lastRow="0" w:firstColumn="0" w:lastColumn="0" w:oddVBand="0" w:evenVBand="0" w:oddHBand="0" w:evenHBand="0" w:firstRowFirstColumn="0" w:firstRowLastColumn="0" w:lastRowFirstColumn="0" w:lastRowLastColumn="0"/>
            </w:pPr>
            <w:r w:rsidRPr="00E77C18">
              <w:t>Source:</w:t>
            </w:r>
            <w:r w:rsidR="00483171">
              <w:t xml:space="preserve"> </w:t>
            </w:r>
            <w:r w:rsidR="00483171" w:rsidRPr="00966809">
              <w:rPr>
                <w:i/>
                <w:iCs/>
              </w:rPr>
              <w:t>Modified from</w:t>
            </w:r>
            <w:r w:rsidRPr="00E77C18">
              <w:t xml:space="preserve"> </w:t>
            </w:r>
            <w:hyperlink r:id="rId15" w:history="1">
              <w:r>
                <w:rPr>
                  <w:rStyle w:val="Hyperlink"/>
                </w:rPr>
                <w:t>Breach - Glossary | CSRC (nist.gov)</w:t>
              </w:r>
            </w:hyperlink>
          </w:p>
        </w:tc>
      </w:tr>
      <w:tr w:rsidR="00316ED3" w:rsidRPr="00E77C18" w14:paraId="232DD2B2"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745" w:type="dxa"/>
            <w:shd w:val="clear" w:color="auto" w:fill="auto"/>
          </w:tcPr>
          <w:p w14:paraId="10302CA8" w14:textId="4B119FAC" w:rsidR="001D6E73" w:rsidRPr="00E77C18" w:rsidRDefault="001D6E73" w:rsidP="00717136">
            <w:pPr>
              <w:cnfStyle w:val="000000100000" w:firstRow="0" w:lastRow="0" w:firstColumn="0" w:lastColumn="0" w:oddVBand="0" w:evenVBand="0" w:oddHBand="1"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316ED3" w:rsidRPr="00E77C18" w14:paraId="7AC38FA2"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726FC4B" w14:textId="08375BED" w:rsidR="00CA5F10" w:rsidRDefault="00CA5F10" w:rsidP="00717136">
            <w:r>
              <w:t xml:space="preserve">Data Exposure </w:t>
            </w:r>
          </w:p>
        </w:tc>
        <w:tc>
          <w:tcPr>
            <w:tcW w:w="7745" w:type="dxa"/>
            <w:shd w:val="clear" w:color="auto" w:fill="auto"/>
          </w:tcPr>
          <w:p w14:paraId="50DA4CFC" w14:textId="77777777" w:rsidR="00894524" w:rsidRDefault="00894524" w:rsidP="00717136">
            <w:pPr>
              <w:cnfStyle w:val="000000000000" w:firstRow="0" w:lastRow="0" w:firstColumn="0" w:lastColumn="0" w:oddVBand="0" w:evenVBand="0" w:oddHBand="0" w:evenHBand="0" w:firstRowFirstColumn="0" w:firstRowLastColumn="0" w:lastRowFirstColumn="0" w:lastRowLastColumn="0"/>
            </w:pPr>
            <w:r>
              <w:t xml:space="preserve">An unintentional data </w:t>
            </w:r>
            <w:proofErr w:type="gramStart"/>
            <w:r>
              <w:t>breach</w:t>
            </w:r>
            <w:proofErr w:type="gramEnd"/>
            <w:r>
              <w:t xml:space="preserve">. </w:t>
            </w:r>
          </w:p>
          <w:p w14:paraId="4DA980EB" w14:textId="2B2A7E52" w:rsidR="00CA5F10" w:rsidRPr="001D6E73" w:rsidRDefault="00894524" w:rsidP="00717136">
            <w:pPr>
              <w:cnfStyle w:val="000000000000" w:firstRow="0" w:lastRow="0" w:firstColumn="0" w:lastColumn="0" w:oddVBand="0" w:evenVBand="0" w:oddHBand="0" w:evenHBand="0" w:firstRowFirstColumn="0" w:firstRowLastColumn="0" w:lastRowFirstColumn="0" w:lastRowLastColumn="0"/>
            </w:pPr>
            <w:r w:rsidRPr="00E77C18">
              <w:t>Source: CIS</w:t>
            </w:r>
          </w:p>
        </w:tc>
      </w:tr>
      <w:tr w:rsidR="00316ED3" w:rsidRPr="00E77C18" w14:paraId="293C733B"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74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316ED3" w:rsidRPr="00E77C18" w14:paraId="3DEAACE8"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74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316ED3" w:rsidRPr="00E77C18" w14:paraId="31EE7947"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745" w:type="dxa"/>
            <w:shd w:val="clear" w:color="auto" w:fill="auto"/>
          </w:tcPr>
          <w:p w14:paraId="352E4905" w14:textId="1955CC31"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316ED3" w:rsidRPr="00E77C18" w14:paraId="60657813"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10CAEFB" w14:textId="7D8E090F" w:rsidR="00CA5F10" w:rsidRDefault="00CA5F10" w:rsidP="00717136">
            <w:r>
              <w:t>Multifactor Authentication</w:t>
            </w:r>
          </w:p>
        </w:tc>
        <w:tc>
          <w:tcPr>
            <w:tcW w:w="7745" w:type="dxa"/>
            <w:shd w:val="clear" w:color="auto" w:fill="auto"/>
          </w:tcPr>
          <w:p w14:paraId="0A9C7F83" w14:textId="1663A2BE" w:rsidR="00CA5F10" w:rsidRDefault="00C775B5" w:rsidP="00717136">
            <w:pPr>
              <w:cnfStyle w:val="000000000000" w:firstRow="0" w:lastRow="0" w:firstColumn="0" w:lastColumn="0" w:oddVBand="0" w:evenVBand="0" w:oddHBand="0" w:evenHBand="0" w:firstRowFirstColumn="0" w:firstRowLastColumn="0" w:lastRowFirstColumn="0" w:lastRowLastColumn="0"/>
            </w:pPr>
            <w:r w:rsidRPr="00C775B5">
              <w:t xml:space="preserve">Authentication using two or more different factors to achieve authentication. Factors include something you know (e.g., PIN, password), something you have (e.g., cryptographic identification device, token), or something you are (e.g., biometric). </w:t>
            </w:r>
          </w:p>
          <w:p w14:paraId="3EA1CDEB" w14:textId="69F395ED" w:rsidR="00C775B5" w:rsidRPr="001D6E73" w:rsidRDefault="00C775B5"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6" w:history="1">
              <w:r w:rsidRPr="00C775B5">
                <w:rPr>
                  <w:rStyle w:val="Hyperlink"/>
                </w:rPr>
                <w:t>NIST SP 800-172</w:t>
              </w:r>
            </w:hyperlink>
          </w:p>
        </w:tc>
      </w:tr>
      <w:tr w:rsidR="00316ED3" w:rsidRPr="00E77C18" w14:paraId="23EC3A56"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t xml:space="preserve">Network </w:t>
            </w:r>
            <w:r w:rsidR="000C7C33">
              <w:t>d</w:t>
            </w:r>
            <w:r>
              <w:t>evices</w:t>
            </w:r>
          </w:p>
        </w:tc>
        <w:tc>
          <w:tcPr>
            <w:tcW w:w="774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w:t>
            </w:r>
            <w:r w:rsidRPr="001D6E73">
              <w:lastRenderedPageBreak/>
              <w:t>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316ED3" w:rsidRPr="00E77C18" w14:paraId="48DFE6AE"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D3CF106" w14:textId="1E902A31" w:rsidR="00CA5F10" w:rsidRDefault="00CA5F10" w:rsidP="00717136">
            <w:r>
              <w:t>Phishing</w:t>
            </w:r>
          </w:p>
        </w:tc>
        <w:tc>
          <w:tcPr>
            <w:tcW w:w="7745" w:type="dxa"/>
            <w:shd w:val="clear" w:color="auto" w:fill="auto"/>
          </w:tcPr>
          <w:p w14:paraId="021E5EB2" w14:textId="77777777" w:rsidR="00CA5F10" w:rsidRDefault="00F8387E" w:rsidP="00717136">
            <w:pPr>
              <w:cnfStyle w:val="000000000000" w:firstRow="0" w:lastRow="0" w:firstColumn="0" w:lastColumn="0" w:oddVBand="0" w:evenVBand="0" w:oddHBand="0" w:evenHBand="0" w:firstRowFirstColumn="0" w:firstRowLastColumn="0" w:lastRowFirstColumn="0" w:lastRowLastColumn="0"/>
            </w:pPr>
            <w:r w:rsidRPr="00F8387E">
              <w:t>A technique for attempting to acquire sensitive data, such as bank account numbers, through a fraudulent solicitation in email or on a web site, in which the perpetrator masquerades as a legitimate business or reputable person.</w:t>
            </w:r>
          </w:p>
          <w:p w14:paraId="15F73CB0" w14:textId="59D8B105" w:rsidR="00F8387E" w:rsidRPr="001B4539" w:rsidRDefault="00F8387E"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7" w:history="1">
              <w:r w:rsidR="00DA22C2" w:rsidRPr="00DA22C2">
                <w:rPr>
                  <w:rStyle w:val="Hyperlink"/>
                </w:rPr>
                <w:t>IETF RFC 4949 Ver 2</w:t>
              </w:r>
            </w:hyperlink>
          </w:p>
        </w:tc>
      </w:tr>
      <w:tr w:rsidR="00316ED3" w:rsidRPr="00E77C18" w14:paraId="5E5D4569"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E6DA951" w14:textId="557819A2" w:rsidR="00CA5F10" w:rsidRDefault="00CA5F10" w:rsidP="00717136">
            <w:r>
              <w:t>Pretexting</w:t>
            </w:r>
          </w:p>
        </w:tc>
        <w:tc>
          <w:tcPr>
            <w:tcW w:w="7745" w:type="dxa"/>
            <w:shd w:val="clear" w:color="auto" w:fill="auto"/>
          </w:tcPr>
          <w:p w14:paraId="6BBFC658" w14:textId="34A4FB96" w:rsidR="00CA5F10" w:rsidRDefault="0057686C" w:rsidP="00717136">
            <w:pPr>
              <w:cnfStyle w:val="000000100000" w:firstRow="0" w:lastRow="0" w:firstColumn="0" w:lastColumn="0" w:oddVBand="0" w:evenVBand="0" w:oddHBand="1" w:evenHBand="0" w:firstRowFirstColumn="0" w:firstRowLastColumn="0" w:lastRowFirstColumn="0" w:lastRowLastColumn="0"/>
            </w:pPr>
            <w:r>
              <w:t xml:space="preserve">Part of a </w:t>
            </w:r>
            <w:r w:rsidR="00DA22C2" w:rsidRPr="00DA22C2">
              <w:t>social engineering attack that involves</w:t>
            </w:r>
            <w:r w:rsidR="00167A51">
              <w:t xml:space="preserve"> inventing a </w:t>
            </w:r>
            <w:r w:rsidR="006208EF">
              <w:t>scenario</w:t>
            </w:r>
            <w:r w:rsidR="00167A51">
              <w:t xml:space="preserve"> to convince the victim to divulge information that should not be divulge</w:t>
            </w:r>
            <w:r w:rsidR="006B7C3F">
              <w:t>d</w:t>
            </w:r>
            <w:r w:rsidR="00E634F1">
              <w:t>.</w:t>
            </w:r>
            <w:r w:rsidR="00167A51">
              <w:t xml:space="preserve"> </w:t>
            </w:r>
            <w:r w:rsidR="00E634F1">
              <w:t xml:space="preserve">The purpose of pretexting is to convince the victim of the legitimacy of the communication. </w:t>
            </w:r>
            <w:r w:rsidR="006B7C3F">
              <w:t xml:space="preserve">The method of this type of attack can be through any communication method or medium. </w:t>
            </w:r>
          </w:p>
          <w:p w14:paraId="3005821C" w14:textId="169D06A5" w:rsidR="00DA22C2" w:rsidRPr="001B4539" w:rsidRDefault="00DA22C2" w:rsidP="00717136">
            <w:pPr>
              <w:cnfStyle w:val="000000100000" w:firstRow="0" w:lastRow="0" w:firstColumn="0" w:lastColumn="0" w:oddVBand="0" w:evenVBand="0" w:oddHBand="1" w:evenHBand="0" w:firstRowFirstColumn="0" w:firstRowLastColumn="0" w:lastRowFirstColumn="0" w:lastRowLastColumn="0"/>
            </w:pPr>
            <w:r w:rsidRPr="00E77C18">
              <w:t xml:space="preserve">Source: </w:t>
            </w:r>
            <w:r w:rsidR="00713DA7">
              <w:t>CIS</w:t>
            </w:r>
            <w:r w:rsidR="005174D9" w:rsidRPr="001B4539">
              <w:t xml:space="preserve"> </w:t>
            </w:r>
          </w:p>
        </w:tc>
      </w:tr>
      <w:tr w:rsidR="00316ED3" w:rsidRPr="00E77C18" w14:paraId="05F15C76"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745" w:type="dxa"/>
            <w:shd w:val="clear" w:color="auto" w:fill="auto"/>
          </w:tcPr>
          <w:p w14:paraId="3C4DBA76" w14:textId="77777777" w:rsidR="001C20FB" w:rsidRDefault="001C20FB" w:rsidP="00717136">
            <w:pPr>
              <w:cnfStyle w:val="000000000000" w:firstRow="0" w:lastRow="0" w:firstColumn="0" w:lastColumn="0" w:oddVBand="0" w:evenVBand="0" w:oddHBand="0"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316ED3" w:rsidRPr="00E77C18" w14:paraId="61E90DDD"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745" w:type="dxa"/>
            <w:shd w:val="clear" w:color="auto" w:fill="auto"/>
          </w:tcPr>
          <w:p w14:paraId="56A355AA" w14:textId="77777777"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316ED3" w:rsidRPr="00E77C18" w14:paraId="401B71F5"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2E16470" w14:textId="70C0AECA" w:rsidR="00CA5F10" w:rsidRDefault="00CA5F10" w:rsidP="00717136">
            <w:r>
              <w:t>Tailgating</w:t>
            </w:r>
          </w:p>
        </w:tc>
        <w:tc>
          <w:tcPr>
            <w:tcW w:w="7745" w:type="dxa"/>
            <w:shd w:val="clear" w:color="auto" w:fill="auto"/>
          </w:tcPr>
          <w:p w14:paraId="0E226B92" w14:textId="7F6DAAAC" w:rsidR="00CA5F10" w:rsidRDefault="00C87463" w:rsidP="00717136">
            <w:pPr>
              <w:cnfStyle w:val="000000000000" w:firstRow="0" w:lastRow="0" w:firstColumn="0" w:lastColumn="0" w:oddVBand="0" w:evenVBand="0" w:oddHBand="0" w:evenHBand="0" w:firstRowFirstColumn="0" w:firstRowLastColumn="0" w:lastRowFirstColumn="0" w:lastRowLastColumn="0"/>
            </w:pPr>
            <w:r>
              <w:t>A</w:t>
            </w:r>
            <w:r w:rsidRPr="00C87463">
              <w:t xml:space="preserve"> physical security </w:t>
            </w:r>
            <w:r>
              <w:t>issue</w:t>
            </w:r>
            <w:r w:rsidRPr="00C87463">
              <w:t xml:space="preserve"> </w:t>
            </w:r>
            <w:r>
              <w:t xml:space="preserve">where an individual </w:t>
            </w:r>
            <w:r w:rsidRPr="00C87463">
              <w:t>follows an</w:t>
            </w:r>
            <w:r w:rsidR="00167A51">
              <w:t xml:space="preserve">other </w:t>
            </w:r>
            <w:r>
              <w:t>into a secured area</w:t>
            </w:r>
            <w:r w:rsidR="00167A51">
              <w:t xml:space="preserve"> without properly authenticating or following established protocols for entering the area</w:t>
            </w:r>
            <w:r>
              <w:t xml:space="preserve">. </w:t>
            </w:r>
          </w:p>
          <w:p w14:paraId="3BD6F255" w14:textId="0DD90E46" w:rsidR="00894524" w:rsidRDefault="00894524" w:rsidP="00717136">
            <w:pPr>
              <w:cnfStyle w:val="000000000000" w:firstRow="0" w:lastRow="0" w:firstColumn="0" w:lastColumn="0" w:oddVBand="0" w:evenVBand="0" w:oddHBand="0" w:evenHBand="0" w:firstRowFirstColumn="0" w:firstRowLastColumn="0" w:lastRowFirstColumn="0" w:lastRowLastColumn="0"/>
            </w:pPr>
            <w:r w:rsidRPr="00E77C18">
              <w:t>Source: CIS</w:t>
            </w:r>
          </w:p>
        </w:tc>
      </w:tr>
      <w:tr w:rsidR="00316ED3" w:rsidRPr="00E77C18" w14:paraId="2FB6608B"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74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bl>
    <w:p w14:paraId="68F7FCBD" w14:textId="719B585A" w:rsidR="00FA6B13" w:rsidRPr="00E77C18" w:rsidRDefault="00FA6B13" w:rsidP="00491D22">
      <w:pPr>
        <w:pStyle w:val="Heading1"/>
        <w:spacing w:after="0"/>
        <w:rPr>
          <w:rFonts w:eastAsia="Times New Roman"/>
          <w:kern w:val="0"/>
        </w:rPr>
      </w:pPr>
      <w:bookmarkStart w:id="42" w:name="_Appendix_C:_Implementation"/>
      <w:bookmarkStart w:id="43" w:name="_Toc128322026"/>
      <w:bookmarkEnd w:id="34"/>
      <w:bookmarkEnd w:id="35"/>
      <w:bookmarkEnd w:id="36"/>
      <w:bookmarkEnd w:id="37"/>
      <w:bookmarkEnd w:id="42"/>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3"/>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1850699A" w:rsidR="00B823BA" w:rsidRPr="00491D22" w:rsidRDefault="00316ED3" w:rsidP="00491D22">
      <w:pPr>
        <w:rPr>
          <w:b/>
        </w:rPr>
      </w:pPr>
      <w:bookmarkStart w:id="44" w:name="_Toc45265767"/>
      <w:bookmarkStart w:id="45" w:name="_Toc45610646"/>
      <w:r>
        <w:rPr>
          <w:noProof/>
        </w:rPr>
        <w:drawing>
          <wp:anchor distT="0" distB="0" distL="114300" distR="114300" simplePos="0" relativeHeight="251689984" behindDoc="0" locked="0" layoutInCell="1" allowOverlap="1" wp14:anchorId="6CA7B1D9" wp14:editId="047DEA6B">
            <wp:simplePos x="0" y="0"/>
            <wp:positionH relativeFrom="column">
              <wp:posOffset>2839992</wp:posOffset>
            </wp:positionH>
            <wp:positionV relativeFrom="paragraph">
              <wp:posOffset>135255</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3BA" w:rsidRPr="00491D22">
        <w:rPr>
          <w:b/>
        </w:rPr>
        <w:t>IG1</w:t>
      </w:r>
      <w:bookmarkEnd w:id="44"/>
      <w:bookmarkEnd w:id="45"/>
    </w:p>
    <w:p w14:paraId="4D448CF2" w14:textId="21910CDA"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6EE270DC" w:rsidR="009A7D8C" w:rsidRPr="00491D22" w:rsidRDefault="009A7D8C" w:rsidP="00491D22">
      <w:pPr>
        <w:rPr>
          <w:b/>
        </w:rPr>
      </w:pPr>
      <w:r w:rsidRPr="00491D22">
        <w:rPr>
          <w:b/>
        </w:rPr>
        <w:t>IG2</w:t>
      </w:r>
    </w:p>
    <w:p w14:paraId="2B8A5287" w14:textId="742DB39C"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9"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6" w:name="_Appendix_D:_CIS"/>
      <w:bookmarkStart w:id="47" w:name="_Toc128322027"/>
      <w:bookmarkEnd w:id="46"/>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7"/>
    </w:p>
    <w:p w14:paraId="6075C793" w14:textId="05BE6C8E" w:rsidR="00CB156F" w:rsidRPr="00DD5878" w:rsidRDefault="00822AF8" w:rsidP="00DD5878">
      <w:pPr>
        <w:rPr>
          <w:b/>
        </w:rPr>
      </w:pPr>
      <w:r w:rsidRPr="00DD5878">
        <w:rPr>
          <w:b/>
        </w:rPr>
        <w:t xml:space="preserve">CIS Controls &amp; Safeguards Covered by this Policy </w:t>
      </w:r>
    </w:p>
    <w:p w14:paraId="21764831" w14:textId="1A1C2731" w:rsidR="00CB156F" w:rsidRPr="00E77C18" w:rsidRDefault="0056153E" w:rsidP="00015AC5">
      <w:r w:rsidRPr="00E77C18">
        <w:t xml:space="preserve">This policy helps to bolster </w:t>
      </w:r>
      <w:r w:rsidR="00EF5009">
        <w:t xml:space="preserve">IG1 Safeguards in </w:t>
      </w:r>
      <w:r w:rsidRPr="0047515F">
        <w:rPr>
          <w:iCs/>
        </w:rPr>
        <w:t>CIS Control 1</w:t>
      </w:r>
      <w:r w:rsidR="00947CD0">
        <w:rPr>
          <w:iCs/>
        </w:rPr>
        <w:t>4</w:t>
      </w:r>
      <w:r w:rsidRPr="0047515F">
        <w:rPr>
          <w:iCs/>
        </w:rPr>
        <w:t>:</w:t>
      </w:r>
      <w:r w:rsidRPr="00E77C18">
        <w:rPr>
          <w:i/>
          <w:iCs/>
        </w:rPr>
        <w:t xml:space="preserve"> </w:t>
      </w:r>
      <w:r w:rsidR="00947CD0">
        <w:rPr>
          <w:i/>
          <w:iCs/>
        </w:rPr>
        <w:t>Security Awareness and Skills Training</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0600CAFC" w:rsidR="00421ABC" w:rsidRDefault="00421ABC" w:rsidP="00421ABC">
      <w:pPr>
        <w:pStyle w:val="Caption"/>
        <w:keepNext/>
        <w:rPr>
          <w:noProof/>
        </w:rPr>
      </w:pPr>
      <w:r w:rsidRPr="00E77C18">
        <w:t xml:space="preserve">Table </w:t>
      </w:r>
      <w:fldSimple w:instr=" SEQ Table \* ARABIC ">
        <w:r w:rsidRPr="00E77C18">
          <w:rPr>
            <w:noProof/>
          </w:rPr>
          <w:t>1</w:t>
        </w:r>
      </w:fldSimple>
      <w:r w:rsidRPr="00E77C18">
        <w:t xml:space="preserve"> - Safeguards </w:t>
      </w:r>
      <w:r w:rsidRPr="00E77C18">
        <w:rPr>
          <w:noProof/>
        </w:rPr>
        <w:t xml:space="preserve">covered by </w:t>
      </w:r>
      <w:r w:rsidR="00DD0075">
        <w:rPr>
          <w:noProof/>
        </w:rPr>
        <w:t>IG1</w:t>
      </w:r>
    </w:p>
    <w:tbl>
      <w:tblPr>
        <w:tblStyle w:val="ListTable1Light-Accent3"/>
        <w:tblW w:w="10165" w:type="dxa"/>
        <w:tblInd w:w="5" w:type="dxa"/>
        <w:tblLayout w:type="fixed"/>
        <w:tblLook w:val="04A0" w:firstRow="1" w:lastRow="0" w:firstColumn="1" w:lastColumn="0" w:noHBand="0" w:noVBand="1"/>
      </w:tblPr>
      <w:tblGrid>
        <w:gridCol w:w="925"/>
        <w:gridCol w:w="1499"/>
        <w:gridCol w:w="2071"/>
        <w:gridCol w:w="5670"/>
      </w:tblGrid>
      <w:tr w:rsidR="00316ED3" w:rsidRPr="004D353B" w14:paraId="66EAF502" w14:textId="77777777" w:rsidTr="00316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hideMark/>
          </w:tcPr>
          <w:p w14:paraId="0E327F75" w14:textId="77777777" w:rsidR="00947CD0" w:rsidRPr="004A6C39" w:rsidRDefault="00947CD0" w:rsidP="0075364C">
            <w:pPr>
              <w:jc w:val="center"/>
              <w:rPr>
                <w:szCs w:val="18"/>
              </w:rPr>
            </w:pPr>
            <w:r w:rsidRPr="004A6C39">
              <w:rPr>
                <w:szCs w:val="18"/>
              </w:rPr>
              <w:t>CIS Control</w:t>
            </w:r>
          </w:p>
        </w:tc>
        <w:tc>
          <w:tcPr>
            <w:tcW w:w="1499" w:type="dxa"/>
            <w:hideMark/>
          </w:tcPr>
          <w:p w14:paraId="4250674C"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2071" w:type="dxa"/>
            <w:hideMark/>
          </w:tcPr>
          <w:p w14:paraId="2197A681"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670" w:type="dxa"/>
          </w:tcPr>
          <w:p w14:paraId="51DB58D0"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316ED3" w:rsidRPr="004D353B" w14:paraId="6D44EBD6"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5EC63893" w14:textId="75CD81B6" w:rsidR="00947CD0" w:rsidRPr="004A6C39" w:rsidRDefault="005E0DF3" w:rsidP="0075364C">
            <w:pPr>
              <w:jc w:val="center"/>
              <w:rPr>
                <w:szCs w:val="18"/>
              </w:rPr>
            </w:pPr>
            <w:r>
              <w:rPr>
                <w:szCs w:val="18"/>
              </w:rPr>
              <w:t>14.1</w:t>
            </w:r>
          </w:p>
        </w:tc>
        <w:tc>
          <w:tcPr>
            <w:tcW w:w="1499" w:type="dxa"/>
          </w:tcPr>
          <w:p w14:paraId="2C5EFBF4" w14:textId="77777777" w:rsidR="00947CD0" w:rsidRDefault="00A179E9" w:rsidP="0075364C">
            <w:pPr>
              <w:cnfStyle w:val="000000100000" w:firstRow="0" w:lastRow="0" w:firstColumn="0" w:lastColumn="0" w:oddVBand="0" w:evenVBand="0" w:oddHBand="1" w:evenHBand="0" w:firstRowFirstColumn="0" w:firstRowLastColumn="0" w:lastRowFirstColumn="0" w:lastRowLastColumn="0"/>
              <w:rPr>
                <w:szCs w:val="18"/>
              </w:rPr>
            </w:pPr>
            <w:r>
              <w:rPr>
                <w:szCs w:val="18"/>
              </w:rPr>
              <w:t>Develop 1, 2</w:t>
            </w:r>
          </w:p>
          <w:p w14:paraId="757539FD" w14:textId="7E4FB063" w:rsidR="00FF53DE" w:rsidRPr="004A6C39" w:rsidRDefault="00FF53DE" w:rsidP="0075364C">
            <w:pPr>
              <w:cnfStyle w:val="000000100000" w:firstRow="0" w:lastRow="0" w:firstColumn="0" w:lastColumn="0" w:oddVBand="0" w:evenVBand="0" w:oddHBand="1" w:evenHBand="0" w:firstRowFirstColumn="0" w:firstRowLastColumn="0" w:lastRowFirstColumn="0" w:lastRowLastColumn="0"/>
              <w:rPr>
                <w:szCs w:val="18"/>
              </w:rPr>
            </w:pPr>
            <w:r>
              <w:rPr>
                <w:szCs w:val="18"/>
              </w:rPr>
              <w:t xml:space="preserve">Update 1 </w:t>
            </w:r>
          </w:p>
        </w:tc>
        <w:tc>
          <w:tcPr>
            <w:tcW w:w="2071" w:type="dxa"/>
          </w:tcPr>
          <w:p w14:paraId="2D3E8FE7" w14:textId="30A379F2" w:rsidR="00947CD0" w:rsidRPr="004A6C39" w:rsidRDefault="005E0DF3" w:rsidP="0075364C">
            <w:pPr>
              <w:cnfStyle w:val="000000100000" w:firstRow="0" w:lastRow="0" w:firstColumn="0" w:lastColumn="0" w:oddVBand="0" w:evenVBand="0" w:oddHBand="1" w:evenHBand="0" w:firstRowFirstColumn="0" w:firstRowLastColumn="0" w:lastRowFirstColumn="0" w:lastRowLastColumn="0"/>
              <w:rPr>
                <w:szCs w:val="18"/>
              </w:rPr>
            </w:pPr>
            <w:r>
              <w:t>E</w:t>
            </w:r>
            <w:r w:rsidRPr="005E0DF3">
              <w:t>stablish and Maintain a Security Awareness Program</w:t>
            </w:r>
          </w:p>
        </w:tc>
        <w:tc>
          <w:tcPr>
            <w:tcW w:w="5670" w:type="dxa"/>
            <w:vAlign w:val="center"/>
          </w:tcPr>
          <w:p w14:paraId="54236776" w14:textId="3F32381C" w:rsidR="00947CD0" w:rsidRPr="004D67F3" w:rsidRDefault="005E0DF3" w:rsidP="00316ED3">
            <w:pPr>
              <w:cnfStyle w:val="000000100000" w:firstRow="0" w:lastRow="0" w:firstColumn="0" w:lastColumn="0" w:oddVBand="0" w:evenVBand="0" w:oddHBand="1" w:evenHBand="0" w:firstRowFirstColumn="0" w:firstRowLastColumn="0" w:lastRowFirstColumn="0" w:lastRowLastColumn="0"/>
            </w:pPr>
            <w:r>
              <w:t>Establish and maintain a security awareness program. The purpose of a security awareness program is to educate the enterprise’s workforce on how to interact with enterprise assets and data in a secure manner. Conduct training at hire and, at a minimum, annually. Review and update content annually, or when significant enterprise changes occur that could impact this Safeguard.</w:t>
            </w:r>
          </w:p>
        </w:tc>
      </w:tr>
      <w:tr w:rsidR="00316ED3" w:rsidRPr="004D353B" w14:paraId="148B5E9A" w14:textId="77777777" w:rsidTr="00316ED3">
        <w:tc>
          <w:tcPr>
            <w:cnfStyle w:val="001000000000" w:firstRow="0" w:lastRow="0" w:firstColumn="1" w:lastColumn="0" w:oddVBand="0" w:evenVBand="0" w:oddHBand="0" w:evenHBand="0" w:firstRowFirstColumn="0" w:firstRowLastColumn="0" w:lastRowFirstColumn="0" w:lastRowLastColumn="0"/>
            <w:tcW w:w="925" w:type="dxa"/>
          </w:tcPr>
          <w:p w14:paraId="08186602" w14:textId="4BC1139F" w:rsidR="00947CD0" w:rsidRPr="004A6C39" w:rsidRDefault="005E0DF3" w:rsidP="0075364C">
            <w:pPr>
              <w:jc w:val="center"/>
              <w:rPr>
                <w:szCs w:val="18"/>
              </w:rPr>
            </w:pPr>
            <w:r>
              <w:rPr>
                <w:szCs w:val="18"/>
              </w:rPr>
              <w:t>14.2</w:t>
            </w:r>
          </w:p>
        </w:tc>
        <w:tc>
          <w:tcPr>
            <w:tcW w:w="1499" w:type="dxa"/>
          </w:tcPr>
          <w:p w14:paraId="2B0E188B" w14:textId="55D9347C" w:rsidR="00947CD0" w:rsidRPr="004A6C39" w:rsidRDefault="009D5FC2" w:rsidP="0075364C">
            <w:pPr>
              <w:cnfStyle w:val="000000000000" w:firstRow="0" w:lastRow="0" w:firstColumn="0" w:lastColumn="0" w:oddVBand="0" w:evenVBand="0" w:oddHBand="0" w:evenHBand="0" w:firstRowFirstColumn="0" w:firstRowLastColumn="0" w:lastRowFirstColumn="0" w:lastRowLastColumn="0"/>
              <w:rPr>
                <w:szCs w:val="18"/>
              </w:rPr>
            </w:pPr>
            <w:r>
              <w:rPr>
                <w:szCs w:val="18"/>
              </w:rPr>
              <w:t>Educate 3</w:t>
            </w:r>
          </w:p>
        </w:tc>
        <w:tc>
          <w:tcPr>
            <w:tcW w:w="2071" w:type="dxa"/>
          </w:tcPr>
          <w:p w14:paraId="56D060B7" w14:textId="7434A120" w:rsidR="00947CD0" w:rsidRPr="005E0DF3" w:rsidRDefault="005E0DF3" w:rsidP="005E0DF3">
            <w:pPr>
              <w:cnfStyle w:val="000000000000" w:firstRow="0" w:lastRow="0" w:firstColumn="0" w:lastColumn="0" w:oddVBand="0" w:evenVBand="0" w:oddHBand="0" w:evenHBand="0" w:firstRowFirstColumn="0" w:firstRowLastColumn="0" w:lastRowFirstColumn="0" w:lastRowLastColumn="0"/>
            </w:pPr>
            <w:r>
              <w:t>Train Workforce Members to Recognize Social Engineering Attacks</w:t>
            </w:r>
          </w:p>
        </w:tc>
        <w:tc>
          <w:tcPr>
            <w:tcW w:w="5670" w:type="dxa"/>
            <w:vAlign w:val="center"/>
          </w:tcPr>
          <w:p w14:paraId="131B2C9E" w14:textId="048A24B2" w:rsidR="00947CD0" w:rsidRPr="004A6C39" w:rsidRDefault="005E0DF3" w:rsidP="0075364C">
            <w:pPr>
              <w:cnfStyle w:val="000000000000" w:firstRow="0" w:lastRow="0" w:firstColumn="0" w:lastColumn="0" w:oddVBand="0" w:evenVBand="0" w:oddHBand="0" w:evenHBand="0" w:firstRowFirstColumn="0" w:firstRowLastColumn="0" w:lastRowFirstColumn="0" w:lastRowLastColumn="0"/>
              <w:rPr>
                <w:szCs w:val="18"/>
              </w:rPr>
            </w:pPr>
            <w:r w:rsidRPr="005E0DF3">
              <w:t>Train workforce members to recognize social engineering attacks, such as phishing, pre-texting, and tailgating. </w:t>
            </w:r>
          </w:p>
        </w:tc>
      </w:tr>
      <w:tr w:rsidR="00316ED3" w:rsidRPr="004D353B" w14:paraId="3C08532D"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41B8EC13" w14:textId="0F16256B" w:rsidR="00947CD0" w:rsidRPr="004A6C39" w:rsidRDefault="005E0DF3" w:rsidP="0075364C">
            <w:pPr>
              <w:jc w:val="center"/>
              <w:rPr>
                <w:szCs w:val="18"/>
              </w:rPr>
            </w:pPr>
            <w:r>
              <w:rPr>
                <w:szCs w:val="18"/>
              </w:rPr>
              <w:t>14.3</w:t>
            </w:r>
          </w:p>
        </w:tc>
        <w:tc>
          <w:tcPr>
            <w:tcW w:w="1499" w:type="dxa"/>
          </w:tcPr>
          <w:p w14:paraId="6E455C3B" w14:textId="49D85247" w:rsidR="00947CD0" w:rsidRPr="004A6C39" w:rsidRDefault="00AD7716" w:rsidP="00966809">
            <w:pPr>
              <w:cnfStyle w:val="000000100000" w:firstRow="0" w:lastRow="0" w:firstColumn="0" w:lastColumn="0" w:oddVBand="0" w:evenVBand="0" w:oddHBand="1" w:evenHBand="0" w:firstRowFirstColumn="0" w:firstRowLastColumn="0" w:lastRowFirstColumn="0" w:lastRowLastColumn="0"/>
              <w:rPr>
                <w:szCs w:val="18"/>
              </w:rPr>
            </w:pPr>
            <w:r>
              <w:rPr>
                <w:szCs w:val="18"/>
              </w:rPr>
              <w:t>Educate 4</w:t>
            </w:r>
          </w:p>
        </w:tc>
        <w:tc>
          <w:tcPr>
            <w:tcW w:w="2071" w:type="dxa"/>
          </w:tcPr>
          <w:p w14:paraId="75F040A3" w14:textId="6F13D1B8" w:rsidR="00947CD0" w:rsidRPr="004A6C39" w:rsidRDefault="005E0DF3" w:rsidP="0075364C">
            <w:pPr>
              <w:cnfStyle w:val="000000100000" w:firstRow="0" w:lastRow="0" w:firstColumn="0" w:lastColumn="0" w:oddVBand="0" w:evenVBand="0" w:oddHBand="1" w:evenHBand="0" w:firstRowFirstColumn="0" w:firstRowLastColumn="0" w:lastRowFirstColumn="0" w:lastRowLastColumn="0"/>
              <w:rPr>
                <w:szCs w:val="18"/>
              </w:rPr>
            </w:pPr>
            <w:r w:rsidRPr="005E0DF3">
              <w:t>Train Workforce Members on Authentication Best Practices</w:t>
            </w:r>
          </w:p>
        </w:tc>
        <w:tc>
          <w:tcPr>
            <w:tcW w:w="5670" w:type="dxa"/>
            <w:vAlign w:val="center"/>
          </w:tcPr>
          <w:p w14:paraId="1CEC9B23" w14:textId="23030E89" w:rsidR="00947CD0" w:rsidRPr="005E0DF3" w:rsidRDefault="005E0DF3" w:rsidP="005E0DF3">
            <w:pPr>
              <w:cnfStyle w:val="000000100000" w:firstRow="0" w:lastRow="0" w:firstColumn="0" w:lastColumn="0" w:oddVBand="0" w:evenVBand="0" w:oddHBand="1" w:evenHBand="0" w:firstRowFirstColumn="0" w:firstRowLastColumn="0" w:lastRowFirstColumn="0" w:lastRowLastColumn="0"/>
            </w:pPr>
            <w:r>
              <w:t>Train workforce members on authentication best practices. Example topics include MFA, password composition, and credential management.</w:t>
            </w:r>
          </w:p>
        </w:tc>
      </w:tr>
      <w:tr w:rsidR="00316ED3" w:rsidRPr="004D353B" w14:paraId="210D04EA" w14:textId="77777777" w:rsidTr="00316ED3">
        <w:tc>
          <w:tcPr>
            <w:cnfStyle w:val="001000000000" w:firstRow="0" w:lastRow="0" w:firstColumn="1" w:lastColumn="0" w:oddVBand="0" w:evenVBand="0" w:oddHBand="0" w:evenHBand="0" w:firstRowFirstColumn="0" w:firstRowLastColumn="0" w:lastRowFirstColumn="0" w:lastRowLastColumn="0"/>
            <w:tcW w:w="925" w:type="dxa"/>
          </w:tcPr>
          <w:p w14:paraId="266BA770" w14:textId="03C7DE09" w:rsidR="00947CD0" w:rsidRPr="004A6C39" w:rsidRDefault="005E0DF3" w:rsidP="0075364C">
            <w:pPr>
              <w:jc w:val="center"/>
              <w:rPr>
                <w:szCs w:val="18"/>
              </w:rPr>
            </w:pPr>
            <w:r>
              <w:rPr>
                <w:szCs w:val="18"/>
              </w:rPr>
              <w:t>14.4</w:t>
            </w:r>
          </w:p>
        </w:tc>
        <w:tc>
          <w:tcPr>
            <w:tcW w:w="1499" w:type="dxa"/>
          </w:tcPr>
          <w:p w14:paraId="0B032F1C" w14:textId="5904DB6A" w:rsidR="00947CD0" w:rsidRPr="004A6C39" w:rsidRDefault="00CD18EB" w:rsidP="0075364C">
            <w:pPr>
              <w:cnfStyle w:val="000000000000" w:firstRow="0" w:lastRow="0" w:firstColumn="0" w:lastColumn="0" w:oddVBand="0" w:evenVBand="0" w:oddHBand="0" w:evenHBand="0" w:firstRowFirstColumn="0" w:firstRowLastColumn="0" w:lastRowFirstColumn="0" w:lastRowLastColumn="0"/>
              <w:rPr>
                <w:szCs w:val="18"/>
              </w:rPr>
            </w:pPr>
            <w:r>
              <w:rPr>
                <w:szCs w:val="18"/>
              </w:rPr>
              <w:t>Educate 5</w:t>
            </w:r>
          </w:p>
        </w:tc>
        <w:tc>
          <w:tcPr>
            <w:tcW w:w="2071" w:type="dxa"/>
          </w:tcPr>
          <w:p w14:paraId="1432FA39" w14:textId="0FF03741" w:rsidR="00947CD0" w:rsidRPr="004A6C39" w:rsidRDefault="005E0DF3" w:rsidP="0075364C">
            <w:pPr>
              <w:cnfStyle w:val="000000000000" w:firstRow="0" w:lastRow="0" w:firstColumn="0" w:lastColumn="0" w:oddVBand="0" w:evenVBand="0" w:oddHBand="0" w:evenHBand="0" w:firstRowFirstColumn="0" w:firstRowLastColumn="0" w:lastRowFirstColumn="0" w:lastRowLastColumn="0"/>
              <w:rPr>
                <w:szCs w:val="18"/>
              </w:rPr>
            </w:pPr>
            <w:r w:rsidRPr="005E0DF3">
              <w:rPr>
                <w:szCs w:val="18"/>
              </w:rPr>
              <w:t>Train Workforce on Data Handling Best Practices</w:t>
            </w:r>
          </w:p>
        </w:tc>
        <w:tc>
          <w:tcPr>
            <w:tcW w:w="5670" w:type="dxa"/>
            <w:vAlign w:val="center"/>
          </w:tcPr>
          <w:p w14:paraId="02B62744" w14:textId="70BA8CE9" w:rsidR="00947CD0" w:rsidRPr="004A6C39" w:rsidRDefault="005E0DF3" w:rsidP="005E0DF3">
            <w:pPr>
              <w:cnfStyle w:val="000000000000" w:firstRow="0" w:lastRow="0" w:firstColumn="0" w:lastColumn="0" w:oddVBand="0" w:evenVBand="0" w:oddHBand="0" w:evenHBand="0" w:firstRowFirstColumn="0" w:firstRowLastColumn="0" w:lastRowFirstColumn="0" w:lastRowLastColumn="0"/>
              <w:rPr>
                <w:szCs w:val="18"/>
              </w:rPr>
            </w:pPr>
            <w:r w:rsidRPr="005E0DF3">
              <w:rPr>
                <w:szCs w:val="18"/>
              </w:rPr>
              <w:t>Train workforce members on how to identify and properly store, transfer, archive, and destroy sensitive data. This also includes training workforce members on clear screen and desk best practices, such as locking their screen when they step away from their enterprise asset, erasing physical and virtual whiteboards at the end of meetings, and storing data and assets securely.</w:t>
            </w:r>
          </w:p>
        </w:tc>
      </w:tr>
      <w:tr w:rsidR="00316ED3" w:rsidRPr="004D353B" w14:paraId="42A72AA8"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0B825B1B" w14:textId="608ED113" w:rsidR="00947CD0" w:rsidRDefault="005E0DF3" w:rsidP="0075364C">
            <w:pPr>
              <w:jc w:val="center"/>
              <w:rPr>
                <w:szCs w:val="18"/>
              </w:rPr>
            </w:pPr>
            <w:r>
              <w:rPr>
                <w:szCs w:val="18"/>
              </w:rPr>
              <w:t>14.5</w:t>
            </w:r>
          </w:p>
        </w:tc>
        <w:tc>
          <w:tcPr>
            <w:tcW w:w="1499" w:type="dxa"/>
          </w:tcPr>
          <w:p w14:paraId="22EDD9FA" w14:textId="6250FF09" w:rsidR="00947CD0" w:rsidRDefault="00B00FC5" w:rsidP="0075364C">
            <w:pPr>
              <w:cnfStyle w:val="000000100000" w:firstRow="0" w:lastRow="0" w:firstColumn="0" w:lastColumn="0" w:oddVBand="0" w:evenVBand="0" w:oddHBand="1" w:evenHBand="0" w:firstRowFirstColumn="0" w:firstRowLastColumn="0" w:lastRowFirstColumn="0" w:lastRowLastColumn="0"/>
            </w:pPr>
            <w:r>
              <w:t xml:space="preserve">Educate 6 </w:t>
            </w:r>
          </w:p>
        </w:tc>
        <w:tc>
          <w:tcPr>
            <w:tcW w:w="2071" w:type="dxa"/>
          </w:tcPr>
          <w:p w14:paraId="19D00405" w14:textId="720D67C9" w:rsidR="00947CD0" w:rsidRPr="009E35EA" w:rsidRDefault="005E0DF3" w:rsidP="005E0DF3">
            <w:pPr>
              <w:cnfStyle w:val="000000100000" w:firstRow="0" w:lastRow="0" w:firstColumn="0" w:lastColumn="0" w:oddVBand="0" w:evenVBand="0" w:oddHBand="1" w:evenHBand="0" w:firstRowFirstColumn="0" w:firstRowLastColumn="0" w:lastRowFirstColumn="0" w:lastRowLastColumn="0"/>
            </w:pPr>
            <w:r>
              <w:t>Train Workforce Members on Causes of Unintentional Data Exposure</w:t>
            </w:r>
          </w:p>
        </w:tc>
        <w:tc>
          <w:tcPr>
            <w:tcW w:w="5670" w:type="dxa"/>
            <w:vAlign w:val="center"/>
          </w:tcPr>
          <w:p w14:paraId="5C36F022" w14:textId="161C9C44" w:rsidR="00947CD0" w:rsidRDefault="005E0DF3" w:rsidP="005E0DF3">
            <w:pPr>
              <w:cnfStyle w:val="000000100000" w:firstRow="0" w:lastRow="0" w:firstColumn="0" w:lastColumn="0" w:oddVBand="0" w:evenVBand="0" w:oddHBand="1" w:evenHBand="0" w:firstRowFirstColumn="0" w:firstRowLastColumn="0" w:lastRowFirstColumn="0" w:lastRowLastColumn="0"/>
            </w:pPr>
            <w:r>
              <w:t>Train workforce members to be aware of causes for unintentional data exposure. Example topics include mis-delivery of sensitive data, losing a portable end-user device, or publishing data to unintended audiences.</w:t>
            </w:r>
          </w:p>
        </w:tc>
      </w:tr>
      <w:tr w:rsidR="00316ED3" w:rsidRPr="004D353B" w14:paraId="72A420CB" w14:textId="77777777" w:rsidTr="00316ED3">
        <w:tc>
          <w:tcPr>
            <w:cnfStyle w:val="001000000000" w:firstRow="0" w:lastRow="0" w:firstColumn="1" w:lastColumn="0" w:oddVBand="0" w:evenVBand="0" w:oddHBand="0" w:evenHBand="0" w:firstRowFirstColumn="0" w:firstRowLastColumn="0" w:lastRowFirstColumn="0" w:lastRowLastColumn="0"/>
            <w:tcW w:w="925" w:type="dxa"/>
          </w:tcPr>
          <w:p w14:paraId="221C54DC" w14:textId="37C7CB62" w:rsidR="00947CD0" w:rsidRDefault="005E0DF3" w:rsidP="0075364C">
            <w:pPr>
              <w:jc w:val="center"/>
              <w:rPr>
                <w:szCs w:val="18"/>
              </w:rPr>
            </w:pPr>
            <w:r>
              <w:rPr>
                <w:szCs w:val="18"/>
              </w:rPr>
              <w:t>14.6</w:t>
            </w:r>
          </w:p>
        </w:tc>
        <w:tc>
          <w:tcPr>
            <w:tcW w:w="1499" w:type="dxa"/>
          </w:tcPr>
          <w:p w14:paraId="33F04FFE" w14:textId="393E248E" w:rsidR="00947CD0" w:rsidRDefault="00FD4CFE" w:rsidP="0075364C">
            <w:pPr>
              <w:cnfStyle w:val="000000000000" w:firstRow="0" w:lastRow="0" w:firstColumn="0" w:lastColumn="0" w:oddVBand="0" w:evenVBand="0" w:oddHBand="0" w:evenHBand="0" w:firstRowFirstColumn="0" w:firstRowLastColumn="0" w:lastRowFirstColumn="0" w:lastRowLastColumn="0"/>
            </w:pPr>
            <w:r>
              <w:t xml:space="preserve">Educate 7 </w:t>
            </w:r>
          </w:p>
        </w:tc>
        <w:tc>
          <w:tcPr>
            <w:tcW w:w="2071" w:type="dxa"/>
          </w:tcPr>
          <w:p w14:paraId="25399579" w14:textId="1C229612" w:rsidR="00947CD0" w:rsidRPr="009E35EA" w:rsidRDefault="005E0DF3" w:rsidP="005E0DF3">
            <w:pPr>
              <w:cnfStyle w:val="000000000000" w:firstRow="0" w:lastRow="0" w:firstColumn="0" w:lastColumn="0" w:oddVBand="0" w:evenVBand="0" w:oddHBand="0" w:evenHBand="0" w:firstRowFirstColumn="0" w:firstRowLastColumn="0" w:lastRowFirstColumn="0" w:lastRowLastColumn="0"/>
            </w:pPr>
            <w:r>
              <w:t>Train Workforce Members on Recognizing and Reporting Security Incidents</w:t>
            </w:r>
          </w:p>
        </w:tc>
        <w:tc>
          <w:tcPr>
            <w:tcW w:w="5670" w:type="dxa"/>
            <w:vAlign w:val="center"/>
          </w:tcPr>
          <w:p w14:paraId="2D280066" w14:textId="7F0A033F" w:rsidR="00947CD0" w:rsidRDefault="005E0DF3" w:rsidP="0075364C">
            <w:pPr>
              <w:cnfStyle w:val="000000000000" w:firstRow="0" w:lastRow="0" w:firstColumn="0" w:lastColumn="0" w:oddVBand="0" w:evenVBand="0" w:oddHBand="0" w:evenHBand="0" w:firstRowFirstColumn="0" w:firstRowLastColumn="0" w:lastRowFirstColumn="0" w:lastRowLastColumn="0"/>
            </w:pPr>
            <w:r w:rsidRPr="005E0DF3">
              <w:t>Train workforce members to be able to recognize a potential incident and be able to report such an incident</w:t>
            </w:r>
            <w:r w:rsidR="00947CD0">
              <w:t>.</w:t>
            </w:r>
          </w:p>
        </w:tc>
      </w:tr>
      <w:tr w:rsidR="00316ED3" w:rsidRPr="004D353B" w14:paraId="01057DDB"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1D8B007D" w14:textId="3E7B02E0" w:rsidR="00947CD0" w:rsidRDefault="005E0DF3" w:rsidP="0075364C">
            <w:pPr>
              <w:jc w:val="center"/>
              <w:rPr>
                <w:szCs w:val="18"/>
              </w:rPr>
            </w:pPr>
            <w:r>
              <w:rPr>
                <w:szCs w:val="18"/>
              </w:rPr>
              <w:t>14.7</w:t>
            </w:r>
          </w:p>
        </w:tc>
        <w:tc>
          <w:tcPr>
            <w:tcW w:w="1499" w:type="dxa"/>
          </w:tcPr>
          <w:p w14:paraId="789E6EE2" w14:textId="6298C94D" w:rsidR="00947CD0" w:rsidRDefault="0066565C" w:rsidP="0075364C">
            <w:pPr>
              <w:cnfStyle w:val="000000100000" w:firstRow="0" w:lastRow="0" w:firstColumn="0" w:lastColumn="0" w:oddVBand="0" w:evenVBand="0" w:oddHBand="1" w:evenHBand="0" w:firstRowFirstColumn="0" w:firstRowLastColumn="0" w:lastRowFirstColumn="0" w:lastRowLastColumn="0"/>
            </w:pPr>
            <w:r>
              <w:t xml:space="preserve">Educate 8 </w:t>
            </w:r>
          </w:p>
        </w:tc>
        <w:tc>
          <w:tcPr>
            <w:tcW w:w="2071" w:type="dxa"/>
          </w:tcPr>
          <w:p w14:paraId="7110CC22" w14:textId="11107E43" w:rsidR="00947CD0" w:rsidRPr="009E35EA" w:rsidRDefault="005E0DF3" w:rsidP="005E0DF3">
            <w:pPr>
              <w:cnfStyle w:val="000000100000" w:firstRow="0" w:lastRow="0" w:firstColumn="0" w:lastColumn="0" w:oddVBand="0" w:evenVBand="0" w:oddHBand="1" w:evenHBand="0" w:firstRowFirstColumn="0" w:firstRowLastColumn="0" w:lastRowFirstColumn="0" w:lastRowLastColumn="0"/>
            </w:pPr>
            <w:r>
              <w:t>Train Workforce on How to Identify and Report if Their Enterprise Assets are Missing Security Updates</w:t>
            </w:r>
          </w:p>
        </w:tc>
        <w:tc>
          <w:tcPr>
            <w:tcW w:w="5670" w:type="dxa"/>
            <w:vAlign w:val="center"/>
          </w:tcPr>
          <w:p w14:paraId="2C743441" w14:textId="0DA3E34B" w:rsidR="00947CD0" w:rsidRDefault="005E0DF3" w:rsidP="005E0DF3">
            <w:pPr>
              <w:cnfStyle w:val="000000100000" w:firstRow="0" w:lastRow="0" w:firstColumn="0" w:lastColumn="0" w:oddVBand="0" w:evenVBand="0" w:oddHBand="1" w:evenHBand="0" w:firstRowFirstColumn="0" w:firstRowLastColumn="0" w:lastRowFirstColumn="0" w:lastRowLastColumn="0"/>
            </w:pPr>
            <w:r>
              <w:t>Train workforce to understand how to verify and report out-of-date software patches or any failures in automated processes and tools. Part of this training should include notifying IT personnel of any failures in automated processes and tools.</w:t>
            </w:r>
          </w:p>
        </w:tc>
      </w:tr>
      <w:tr w:rsidR="00316ED3" w:rsidRPr="004D353B" w14:paraId="3F6FDBF3" w14:textId="77777777" w:rsidTr="00316ED3">
        <w:tc>
          <w:tcPr>
            <w:cnfStyle w:val="001000000000" w:firstRow="0" w:lastRow="0" w:firstColumn="1" w:lastColumn="0" w:oddVBand="0" w:evenVBand="0" w:oddHBand="0" w:evenHBand="0" w:firstRowFirstColumn="0" w:firstRowLastColumn="0" w:lastRowFirstColumn="0" w:lastRowLastColumn="0"/>
            <w:tcW w:w="925" w:type="dxa"/>
          </w:tcPr>
          <w:p w14:paraId="4CE60575" w14:textId="669D573A" w:rsidR="005E0DF3" w:rsidRDefault="005E0DF3" w:rsidP="00966809">
            <w:pPr>
              <w:rPr>
                <w:szCs w:val="18"/>
              </w:rPr>
            </w:pPr>
            <w:r>
              <w:rPr>
                <w:szCs w:val="18"/>
              </w:rPr>
              <w:lastRenderedPageBreak/>
              <w:t xml:space="preserve">14.8 </w:t>
            </w:r>
          </w:p>
        </w:tc>
        <w:tc>
          <w:tcPr>
            <w:tcW w:w="1499" w:type="dxa"/>
          </w:tcPr>
          <w:p w14:paraId="2F6C3F08" w14:textId="496A6180" w:rsidR="005E0DF3" w:rsidRDefault="0066565C" w:rsidP="0075364C">
            <w:pPr>
              <w:cnfStyle w:val="000000000000" w:firstRow="0" w:lastRow="0" w:firstColumn="0" w:lastColumn="0" w:oddVBand="0" w:evenVBand="0" w:oddHBand="0" w:evenHBand="0" w:firstRowFirstColumn="0" w:firstRowLastColumn="0" w:lastRowFirstColumn="0" w:lastRowLastColumn="0"/>
            </w:pPr>
            <w:r>
              <w:t xml:space="preserve">Educate 9 </w:t>
            </w:r>
          </w:p>
        </w:tc>
        <w:tc>
          <w:tcPr>
            <w:tcW w:w="2071" w:type="dxa"/>
          </w:tcPr>
          <w:p w14:paraId="66BAF477" w14:textId="2885DA5B" w:rsidR="005E0DF3" w:rsidRDefault="005E0DF3" w:rsidP="005E0DF3">
            <w:pPr>
              <w:cnfStyle w:val="000000000000" w:firstRow="0" w:lastRow="0" w:firstColumn="0" w:lastColumn="0" w:oddVBand="0" w:evenVBand="0" w:oddHBand="0" w:evenHBand="0" w:firstRowFirstColumn="0" w:firstRowLastColumn="0" w:lastRowFirstColumn="0" w:lastRowLastColumn="0"/>
            </w:pPr>
            <w:r>
              <w:t>Train Workforce on the Dangers of Connecting to and Transmitting Enterprise Data Over Insecure Networks</w:t>
            </w:r>
          </w:p>
        </w:tc>
        <w:tc>
          <w:tcPr>
            <w:tcW w:w="5670" w:type="dxa"/>
            <w:vAlign w:val="center"/>
          </w:tcPr>
          <w:p w14:paraId="2D415BEA" w14:textId="33A75010" w:rsidR="005E0DF3" w:rsidRDefault="005E0DF3" w:rsidP="005E0DF3">
            <w:pPr>
              <w:cnfStyle w:val="000000000000" w:firstRow="0" w:lastRow="0" w:firstColumn="0" w:lastColumn="0" w:oddVBand="0" w:evenVBand="0" w:oddHBand="0" w:evenHBand="0" w:firstRowFirstColumn="0" w:firstRowLastColumn="0" w:lastRowFirstColumn="0" w:lastRowLastColumn="0"/>
            </w:pPr>
            <w:r>
              <w:t>Train workforce members on the dangers of connecting to, and transmitting data over, insecure networks for enterprise activities. If the enterprise has remote workers, training must include guidance to ensure that all users securely configure their home network infrastructure.</w:t>
            </w:r>
          </w:p>
        </w:tc>
      </w:tr>
      <w:tr w:rsidR="00316ED3" w:rsidRPr="004D353B" w14:paraId="0F089CEC"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3B0B3E7D" w14:textId="113B914F" w:rsidR="00930812" w:rsidRDefault="00930812" w:rsidP="00966809">
            <w:pPr>
              <w:rPr>
                <w:szCs w:val="18"/>
              </w:rPr>
            </w:pPr>
            <w:r>
              <w:rPr>
                <w:szCs w:val="18"/>
              </w:rPr>
              <w:t>17.3</w:t>
            </w:r>
          </w:p>
        </w:tc>
        <w:tc>
          <w:tcPr>
            <w:tcW w:w="1499" w:type="dxa"/>
          </w:tcPr>
          <w:p w14:paraId="39690CDD" w14:textId="29B846B7" w:rsidR="00930812" w:rsidRDefault="00FF53DE" w:rsidP="00930812">
            <w:pPr>
              <w:cnfStyle w:val="000000100000" w:firstRow="0" w:lastRow="0" w:firstColumn="0" w:lastColumn="0" w:oddVBand="0" w:evenVBand="0" w:oddHBand="1" w:evenHBand="0" w:firstRowFirstColumn="0" w:firstRowLastColumn="0" w:lastRowFirstColumn="0" w:lastRowLastColumn="0"/>
            </w:pPr>
            <w:r>
              <w:t>Educate 7</w:t>
            </w:r>
          </w:p>
        </w:tc>
        <w:tc>
          <w:tcPr>
            <w:tcW w:w="2071" w:type="dxa"/>
          </w:tcPr>
          <w:p w14:paraId="0E1F50C1" w14:textId="44913460" w:rsidR="00930812" w:rsidRDefault="00930812" w:rsidP="00930812">
            <w:pPr>
              <w:cnfStyle w:val="000000100000" w:firstRow="0" w:lastRow="0" w:firstColumn="0" w:lastColumn="0" w:oddVBand="0" w:evenVBand="0" w:oddHBand="1" w:evenHBand="0" w:firstRowFirstColumn="0" w:firstRowLastColumn="0" w:lastRowFirstColumn="0" w:lastRowLastColumn="0"/>
            </w:pPr>
            <w:r w:rsidRPr="00930812">
              <w:t>Establish and Maintain an Enterprise Process for Reporting Incidents</w:t>
            </w:r>
          </w:p>
        </w:tc>
        <w:tc>
          <w:tcPr>
            <w:tcW w:w="5670" w:type="dxa"/>
            <w:vAlign w:val="center"/>
          </w:tcPr>
          <w:p w14:paraId="6269C71D" w14:textId="7B04E669" w:rsidR="00930812" w:rsidRDefault="00930812" w:rsidP="00930812">
            <w:pPr>
              <w:cnfStyle w:val="000000100000" w:firstRow="0" w:lastRow="0" w:firstColumn="0" w:lastColumn="0" w:oddVBand="0" w:evenVBand="0" w:oddHBand="1" w:evenHBand="0" w:firstRowFirstColumn="0" w:firstRowLastColumn="0" w:lastRowFirstColumn="0" w:lastRowLastColumn="0"/>
            </w:pPr>
            <w:r w:rsidRPr="00930812">
              <w:t>Establish and maintain an enterprise process for the workforce to report security incidents. The process includes reporting timeframe, personnel to report to, mechanism for reporting, and the minimum information to be reported. Ensure the process is publicly available to all of the workforce. Review annually, or when significant enterprise changes occur that could impact this Safeguard.</w:t>
            </w:r>
          </w:p>
        </w:tc>
      </w:tr>
    </w:tbl>
    <w:p w14:paraId="6777DF9D" w14:textId="77777777" w:rsidR="00947CD0" w:rsidRPr="00947CD0" w:rsidRDefault="00947CD0" w:rsidP="00947CD0"/>
    <w:p w14:paraId="3F49FC43" w14:textId="592D84E0" w:rsidR="002E724F" w:rsidRPr="00E77C18" w:rsidRDefault="00F174D6" w:rsidP="002374B2">
      <w:pPr>
        <w:pStyle w:val="Heading1"/>
        <w:spacing w:after="0"/>
        <w:rPr>
          <w:rFonts w:eastAsia="Times New Roman"/>
          <w:kern w:val="0"/>
        </w:rPr>
      </w:pPr>
      <w:bookmarkStart w:id="48" w:name="_Toc128322028"/>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8"/>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20"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CE6AFB1" w:rsidR="001767B9" w:rsidRPr="003C4ED8" w:rsidRDefault="00000000" w:rsidP="00DD5878">
      <w:pPr>
        <w:spacing w:before="0"/>
        <w:rPr>
          <w:rStyle w:val="Hyperlink"/>
        </w:rPr>
      </w:pPr>
      <w:hyperlink r:id="rId21">
        <w:r w:rsidR="004045C4" w:rsidRPr="003C4ED8">
          <w:rPr>
            <w:rStyle w:val="Hyperlink"/>
          </w:rPr>
          <w:t>https://www.cisecurity.org/controls/</w:t>
        </w:r>
      </w:hyperlink>
    </w:p>
    <w:p w14:paraId="686ACABB" w14:textId="3C5739DB" w:rsidR="00A13589" w:rsidRDefault="00A13589" w:rsidP="00A13589">
      <w:pPr>
        <w:spacing w:before="0"/>
        <w:rPr>
          <w:rStyle w:val="Hyperlink"/>
          <w:color w:val="auto"/>
          <w:u w:val="none"/>
        </w:rPr>
      </w:pPr>
      <w:r w:rsidRPr="00A13589">
        <w:rPr>
          <w:rStyle w:val="Hyperlink"/>
          <w:color w:val="auto"/>
          <w:u w:val="none"/>
        </w:rPr>
        <w:t>SANS: Ouch! Newsletters Security awareness newsletter</w:t>
      </w:r>
      <w:r w:rsidR="009A759E">
        <w:rPr>
          <w:rStyle w:val="Hyperlink"/>
          <w:color w:val="auto"/>
          <w:u w:val="none"/>
        </w:rPr>
        <w:br/>
      </w:r>
      <w:hyperlink r:id="rId22" w:history="1">
        <w:r w:rsidR="009A759E">
          <w:rPr>
            <w:rStyle w:val="Hyperlink"/>
          </w:rPr>
          <w:t>SANS OUCH!</w:t>
        </w:r>
      </w:hyperlink>
      <w:r w:rsidRPr="00A13589">
        <w:rPr>
          <w:rStyle w:val="Hyperlink"/>
          <w:color w:val="auto"/>
          <w:u w:val="none"/>
        </w:rPr>
        <w:t xml:space="preserve"> </w:t>
      </w:r>
    </w:p>
    <w:p w14:paraId="3AA671E8" w14:textId="492164A2" w:rsidR="00922EFD" w:rsidRDefault="00922EFD" w:rsidP="00922EFD">
      <w:pPr>
        <w:pStyle w:val="FootnoteText"/>
      </w:pPr>
      <w:r w:rsidRPr="00922EFD">
        <w:rPr>
          <w:rStyle w:val="Hyperlink"/>
          <w:color w:val="auto"/>
          <w:u w:val="none"/>
        </w:rPr>
        <w:t xml:space="preserve">NIST SP 800-50: Building an Information Technology Security Awareness and Training Program  </w:t>
      </w:r>
      <w:r>
        <w:rPr>
          <w:rStyle w:val="Hyperlink"/>
          <w:color w:val="auto"/>
          <w:u w:val="none"/>
        </w:rPr>
        <w:br/>
      </w:r>
      <w:hyperlink r:id="rId23" w:history="1">
        <w:r w:rsidRPr="005537D0">
          <w:rPr>
            <w:rStyle w:val="Hyperlink"/>
          </w:rPr>
          <w:t>https://csrc.nist.gov/publications/detail/sp/800-50/final</w:t>
        </w:r>
      </w:hyperlink>
      <w:r>
        <w:t xml:space="preserve"> </w:t>
      </w:r>
    </w:p>
    <w:p w14:paraId="63F065A9" w14:textId="77777777" w:rsidR="00A13589" w:rsidRPr="00A13589" w:rsidRDefault="00A13589" w:rsidP="00A13589">
      <w:pPr>
        <w:spacing w:before="0"/>
        <w:rPr>
          <w:rStyle w:val="Hyperlink"/>
          <w:color w:val="auto"/>
          <w:u w:val="none"/>
        </w:rPr>
      </w:pPr>
      <w:r w:rsidRPr="00A13589">
        <w:rPr>
          <w:rStyle w:val="Hyperlink"/>
          <w:color w:val="auto"/>
          <w:u w:val="none"/>
        </w:rPr>
        <w:t>SANS: Internet Storm Center® Monitors the level of malicious activity on the internet</w:t>
      </w:r>
    </w:p>
    <w:p w14:paraId="748180F6" w14:textId="3BE6A8D4" w:rsidR="00A13589" w:rsidRPr="00A13589" w:rsidRDefault="00A13589" w:rsidP="00A13589">
      <w:pPr>
        <w:spacing w:before="0"/>
        <w:rPr>
          <w:rStyle w:val="Hyperlink"/>
          <w:color w:val="auto"/>
          <w:u w:val="none"/>
        </w:rPr>
      </w:pPr>
      <w:r w:rsidRPr="00A13589">
        <w:rPr>
          <w:rStyle w:val="Hyperlink"/>
          <w:color w:val="auto"/>
          <w:u w:val="none"/>
        </w:rPr>
        <w:t>YouTube: Social Engineering Attacks (Professor Messer)</w:t>
      </w:r>
      <w:r w:rsidR="009A759E">
        <w:rPr>
          <w:rStyle w:val="Hyperlink"/>
          <w:color w:val="auto"/>
          <w:u w:val="none"/>
        </w:rPr>
        <w:br/>
      </w:r>
      <w:hyperlink r:id="rId24" w:history="1">
        <w:r w:rsidR="009A759E">
          <w:rPr>
            <w:rStyle w:val="Hyperlink"/>
          </w:rPr>
          <w:t>https://www.youtube.com/watch?v=QUgLxll_P58</w:t>
        </w:r>
      </w:hyperlink>
    </w:p>
    <w:p w14:paraId="273D4598" w14:textId="7876C7A2" w:rsidR="00A13589" w:rsidRPr="00A13589" w:rsidRDefault="00A13589" w:rsidP="00A13589">
      <w:pPr>
        <w:spacing w:before="0"/>
        <w:rPr>
          <w:rStyle w:val="Hyperlink"/>
          <w:color w:val="auto"/>
          <w:u w:val="none"/>
        </w:rPr>
      </w:pPr>
      <w:r w:rsidRPr="00A13589">
        <w:rPr>
          <w:rStyle w:val="Hyperlink"/>
          <w:color w:val="auto"/>
          <w:u w:val="none"/>
        </w:rPr>
        <w:t xml:space="preserve">NIST: You’ve Been Phished! videos </w:t>
      </w:r>
      <w:proofErr w:type="gramStart"/>
      <w:r w:rsidRPr="00A13589">
        <w:rPr>
          <w:rStyle w:val="Hyperlink"/>
          <w:color w:val="auto"/>
          <w:u w:val="none"/>
        </w:rPr>
        <w:t>Educational</w:t>
      </w:r>
      <w:proofErr w:type="gramEnd"/>
      <w:r w:rsidRPr="00A13589">
        <w:rPr>
          <w:rStyle w:val="Hyperlink"/>
          <w:color w:val="auto"/>
          <w:u w:val="none"/>
        </w:rPr>
        <w:t xml:space="preserve"> videos </w:t>
      </w:r>
      <w:r w:rsidR="009A759E">
        <w:rPr>
          <w:rStyle w:val="Hyperlink"/>
          <w:color w:val="auto"/>
          <w:u w:val="none"/>
        </w:rPr>
        <w:br/>
      </w:r>
      <w:hyperlink r:id="rId25" w:history="1">
        <w:r w:rsidR="009A759E" w:rsidRPr="00FA06E2">
          <w:rPr>
            <w:rStyle w:val="Hyperlink"/>
          </w:rPr>
          <w:t>https://www.nist.gov/video/youve-been-phished</w:t>
        </w:r>
      </w:hyperlink>
      <w:r w:rsidR="009A759E">
        <w:rPr>
          <w:rStyle w:val="Hyperlink"/>
          <w:color w:val="auto"/>
          <w:u w:val="none"/>
        </w:rPr>
        <w:t xml:space="preserve"> </w:t>
      </w:r>
    </w:p>
    <w:p w14:paraId="07B3A7BA" w14:textId="33D9B0D6" w:rsidR="00FC4A77" w:rsidRDefault="00A13589" w:rsidP="00A13589">
      <w:pPr>
        <w:spacing w:before="0"/>
        <w:rPr>
          <w:rStyle w:val="Hyperlink"/>
          <w:color w:val="auto"/>
          <w:u w:val="none"/>
        </w:rPr>
      </w:pPr>
      <w:r w:rsidRPr="00A13589">
        <w:rPr>
          <w:rStyle w:val="Hyperlink"/>
          <w:color w:val="auto"/>
          <w:u w:val="none"/>
        </w:rPr>
        <w:t>Berkeley: The Phish Tank Phishing examples</w:t>
      </w:r>
      <w:r w:rsidR="009A759E">
        <w:rPr>
          <w:rStyle w:val="Hyperlink"/>
          <w:color w:val="auto"/>
          <w:u w:val="none"/>
        </w:rPr>
        <w:br/>
      </w:r>
      <w:hyperlink r:id="rId26" w:history="1">
        <w:r w:rsidR="009A759E" w:rsidRPr="00FA06E2">
          <w:rPr>
            <w:rStyle w:val="Hyperlink"/>
          </w:rPr>
          <w:t>https://security.berkeley.edu/resources/phish-tank</w:t>
        </w:r>
      </w:hyperlink>
      <w:r w:rsidR="009A759E">
        <w:rPr>
          <w:rStyle w:val="Hyperlink"/>
          <w:color w:val="auto"/>
          <w:u w:val="none"/>
        </w:rPr>
        <w:t xml:space="preserve"> </w:t>
      </w:r>
      <w:r>
        <w:rPr>
          <w:rStyle w:val="Hyperlink"/>
          <w:color w:val="auto"/>
          <w:u w:val="none"/>
        </w:rPr>
        <w:t xml:space="preserve"> </w:t>
      </w:r>
    </w:p>
    <w:p w14:paraId="7D3D15A7" w14:textId="2876B612" w:rsidR="00A13589" w:rsidRDefault="00A13589" w:rsidP="00A13589">
      <w:pPr>
        <w:spacing w:before="0"/>
        <w:rPr>
          <w:rStyle w:val="Hyperlink"/>
          <w:color w:val="auto"/>
          <w:u w:val="none"/>
        </w:rPr>
      </w:pPr>
      <w:r w:rsidRPr="00A13589">
        <w:rPr>
          <w:rStyle w:val="Hyperlink"/>
          <w:color w:val="auto"/>
          <w:u w:val="none"/>
        </w:rPr>
        <w:t>MS-ISAC® Newsletter Subscription Newsletters, advisories, and webinars on cybersecurity threats</w:t>
      </w:r>
      <w:r w:rsidR="009A759E">
        <w:rPr>
          <w:rStyle w:val="Hyperlink"/>
          <w:color w:val="auto"/>
          <w:u w:val="none"/>
        </w:rPr>
        <w:br/>
      </w:r>
      <w:hyperlink r:id="rId27" w:history="1">
        <w:r w:rsidR="009A759E" w:rsidRPr="00FA06E2">
          <w:rPr>
            <w:rStyle w:val="Hyperlink"/>
          </w:rPr>
          <w:t>https://learn.cisecurity.org/ms-isac-subscription</w:t>
        </w:r>
      </w:hyperlink>
      <w:r w:rsidR="009A759E">
        <w:rPr>
          <w:rStyle w:val="Hyperlink"/>
          <w:color w:val="auto"/>
          <w:u w:val="none"/>
        </w:rPr>
        <w:t xml:space="preserve"> </w:t>
      </w:r>
    </w:p>
    <w:p w14:paraId="4F0BF8E8" w14:textId="6F5ADC42" w:rsidR="00A13589" w:rsidRDefault="00A13589" w:rsidP="00A13589">
      <w:pPr>
        <w:spacing w:before="0"/>
        <w:rPr>
          <w:rStyle w:val="Hyperlink"/>
          <w:color w:val="auto"/>
          <w:u w:val="none"/>
        </w:rPr>
      </w:pPr>
      <w:r w:rsidRPr="00A13589">
        <w:rPr>
          <w:rStyle w:val="Hyperlink"/>
          <w:color w:val="auto"/>
          <w:u w:val="none"/>
        </w:rPr>
        <w:t>MS-ISAC® Cybersecurity Awareness Toolkit</w:t>
      </w:r>
      <w:r w:rsidR="009A759E">
        <w:rPr>
          <w:rStyle w:val="Hyperlink"/>
          <w:color w:val="auto"/>
          <w:u w:val="none"/>
        </w:rPr>
        <w:br/>
      </w:r>
      <w:hyperlink r:id="rId28" w:history="1">
        <w:r w:rsidR="009A759E" w:rsidRPr="00FA06E2">
          <w:rPr>
            <w:rStyle w:val="Hyperlink"/>
          </w:rPr>
          <w:t>https://www.cisecurity.org/ms-isac/ms-isac-toolkit</w:t>
        </w:r>
      </w:hyperlink>
      <w:r w:rsidR="009A759E">
        <w:rPr>
          <w:rStyle w:val="Hyperlink"/>
          <w:color w:val="auto"/>
          <w:u w:val="none"/>
        </w:rPr>
        <w:t xml:space="preserve"> </w:t>
      </w:r>
    </w:p>
    <w:p w14:paraId="6F4100D8" w14:textId="66511CEE" w:rsidR="00A13589" w:rsidRDefault="00A13589" w:rsidP="00A13589">
      <w:pPr>
        <w:spacing w:before="0"/>
        <w:rPr>
          <w:rStyle w:val="Hyperlink"/>
          <w:color w:val="auto"/>
          <w:u w:val="none"/>
        </w:rPr>
      </w:pPr>
      <w:r w:rsidRPr="00A13589">
        <w:rPr>
          <w:rStyle w:val="Hyperlink"/>
          <w:color w:val="auto"/>
          <w:u w:val="none"/>
        </w:rPr>
        <w:t>Federal Virtual Training Environment (</w:t>
      </w:r>
      <w:proofErr w:type="spellStart"/>
      <w:r w:rsidRPr="00A13589">
        <w:rPr>
          <w:rStyle w:val="Hyperlink"/>
          <w:color w:val="auto"/>
          <w:u w:val="none"/>
        </w:rPr>
        <w:t>FedVTE</w:t>
      </w:r>
      <w:proofErr w:type="spellEnd"/>
      <w:r w:rsidRPr="00A13589">
        <w:rPr>
          <w:rStyle w:val="Hyperlink"/>
          <w:color w:val="auto"/>
          <w:u w:val="none"/>
        </w:rPr>
        <w:t>) Online Courses</w:t>
      </w:r>
      <w:r w:rsidR="009A759E">
        <w:rPr>
          <w:rStyle w:val="Hyperlink"/>
          <w:color w:val="auto"/>
          <w:u w:val="none"/>
        </w:rPr>
        <w:br/>
      </w:r>
      <w:hyperlink r:id="rId29" w:history="1">
        <w:r w:rsidR="009A759E" w:rsidRPr="00FA06E2">
          <w:rPr>
            <w:rStyle w:val="Hyperlink"/>
          </w:rPr>
          <w:t>https://fedvte.usalearning.gov/</w:t>
        </w:r>
      </w:hyperlink>
      <w:r w:rsidR="009A759E">
        <w:rPr>
          <w:rStyle w:val="Hyperlink"/>
          <w:color w:val="auto"/>
          <w:u w:val="none"/>
        </w:rPr>
        <w:t xml:space="preserve"> </w:t>
      </w:r>
    </w:p>
    <w:p w14:paraId="1FFFF0B4" w14:textId="40C8D3EC" w:rsidR="00A13589" w:rsidRDefault="00A13589" w:rsidP="00A13589">
      <w:pPr>
        <w:spacing w:before="0"/>
        <w:rPr>
          <w:rStyle w:val="Hyperlink"/>
          <w:color w:val="auto"/>
          <w:u w:val="none"/>
        </w:rPr>
      </w:pPr>
      <w:r w:rsidRPr="00A13589">
        <w:rPr>
          <w:rStyle w:val="Hyperlink"/>
          <w:color w:val="auto"/>
          <w:u w:val="none"/>
        </w:rPr>
        <w:t>National Cyber Security Alliance (NCSA®) Nonprofit promoting cybersecurity awareness and education</w:t>
      </w:r>
      <w:r w:rsidR="009A759E">
        <w:rPr>
          <w:rStyle w:val="Hyperlink"/>
          <w:color w:val="auto"/>
          <w:u w:val="none"/>
        </w:rPr>
        <w:br/>
      </w:r>
      <w:hyperlink r:id="rId30" w:history="1">
        <w:r w:rsidR="009A759E" w:rsidRPr="00FA06E2">
          <w:rPr>
            <w:rStyle w:val="Hyperlink"/>
          </w:rPr>
          <w:t>https://staysafeonline.org/</w:t>
        </w:r>
      </w:hyperlink>
      <w:r w:rsidR="009A759E">
        <w:rPr>
          <w:rStyle w:val="Hyperlink"/>
          <w:color w:val="auto"/>
          <w:u w:val="none"/>
        </w:rPr>
        <w:t xml:space="preserve"> </w:t>
      </w:r>
    </w:p>
    <w:p w14:paraId="4E507117" w14:textId="6D7FD837" w:rsidR="00A13589" w:rsidRPr="00A13589" w:rsidRDefault="00A13589" w:rsidP="00A13589">
      <w:pPr>
        <w:spacing w:before="0"/>
        <w:rPr>
          <w:rStyle w:val="Hyperlink"/>
          <w:color w:val="auto"/>
          <w:u w:val="none"/>
        </w:rPr>
      </w:pPr>
      <w:r w:rsidRPr="00A13589">
        <w:rPr>
          <w:rStyle w:val="Hyperlink"/>
          <w:color w:val="auto"/>
          <w:u w:val="none"/>
        </w:rPr>
        <w:t>YouTube: StaySafeOnline.org</w:t>
      </w:r>
      <w:r w:rsidR="009A759E">
        <w:rPr>
          <w:rStyle w:val="Hyperlink"/>
          <w:color w:val="auto"/>
          <w:u w:val="none"/>
        </w:rPr>
        <w:br/>
      </w:r>
      <w:hyperlink r:id="rId31" w:history="1">
        <w:r w:rsidR="009A759E" w:rsidRPr="00FA06E2">
          <w:rPr>
            <w:rStyle w:val="Hyperlink"/>
          </w:rPr>
          <w:t>https://www.youtube.com/user/StaySafeOnline1/videos</w:t>
        </w:r>
      </w:hyperlink>
      <w:r w:rsidR="009A759E">
        <w:t xml:space="preserve"> </w:t>
      </w:r>
    </w:p>
    <w:sectPr w:rsidR="00A13589" w:rsidRPr="00A13589" w:rsidSect="00316ED3">
      <w:footerReference w:type="default" r:id="rId32"/>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906B" w14:textId="77777777" w:rsidR="00BA4CED" w:rsidRDefault="00BA4CED" w:rsidP="0004428F">
      <w:r>
        <w:separator/>
      </w:r>
    </w:p>
  </w:endnote>
  <w:endnote w:type="continuationSeparator" w:id="0">
    <w:p w14:paraId="696AEDF2" w14:textId="77777777" w:rsidR="00BA4CED" w:rsidRDefault="00BA4CED"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20B0506020202020204"/>
    <w:charset w:val="4D"/>
    <w:family w:val="swiss"/>
    <w:pitch w:val="variable"/>
    <w:sig w:usb0="20000007" w:usb1="00000001" w:usb2="00000000" w:usb3="00000000" w:csb0="00000193" w:csb1="00000000"/>
  </w:font>
  <w:font w:name="Acumin Pro">
    <w:altName w:val="Acumin Pro"/>
    <w:panose1 w:val="020B0504020202020204"/>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02F0C643" w:rsidR="00990B95" w:rsidRPr="001F4077" w:rsidRDefault="009F22B6" w:rsidP="00316ED3">
    <w:pPr>
      <w:pStyle w:val="Footer"/>
      <w:tabs>
        <w:tab w:val="clear" w:pos="4680"/>
        <w:tab w:val="clear" w:pos="9360"/>
        <w:tab w:val="right" w:pos="10080"/>
      </w:tabs>
      <w:rPr>
        <w:rFonts w:cs="Arial"/>
        <w:color w:val="808080" w:themeColor="background1" w:themeShade="80"/>
        <w:szCs w:val="18"/>
      </w:rPr>
    </w:pPr>
    <w:r>
      <w:rPr>
        <w:rFonts w:cs="Arial"/>
        <w:color w:val="808080" w:themeColor="background1" w:themeShade="80"/>
        <w:szCs w:val="18"/>
      </w:rPr>
      <w:t>03-08-2023</w:t>
    </w:r>
    <w:r w:rsidR="00990B95">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00990B95" w:rsidRPr="004A6F73">
          <w:rPr>
            <w:rFonts w:cs="Arial"/>
            <w:color w:val="808080" w:themeColor="background1" w:themeShade="80"/>
            <w:sz w:val="22"/>
            <w:szCs w:val="22"/>
          </w:rPr>
          <w:fldChar w:fldCharType="begin"/>
        </w:r>
        <w:r w:rsidR="00990B95" w:rsidRPr="004A6F73">
          <w:rPr>
            <w:rFonts w:cs="Arial"/>
            <w:color w:val="808080" w:themeColor="background1" w:themeShade="80"/>
            <w:sz w:val="22"/>
            <w:szCs w:val="22"/>
          </w:rPr>
          <w:instrText xml:space="preserve"> PAGE   \* MERGEFORMAT </w:instrText>
        </w:r>
        <w:r w:rsidR="00990B95" w:rsidRPr="004A6F73">
          <w:rPr>
            <w:rFonts w:cs="Arial"/>
            <w:color w:val="808080" w:themeColor="background1" w:themeShade="80"/>
            <w:sz w:val="22"/>
            <w:szCs w:val="22"/>
          </w:rPr>
          <w:fldChar w:fldCharType="separate"/>
        </w:r>
        <w:r w:rsidR="00990B95">
          <w:rPr>
            <w:rFonts w:cs="Arial"/>
            <w:noProof/>
            <w:color w:val="808080" w:themeColor="background1" w:themeShade="80"/>
            <w:sz w:val="22"/>
            <w:szCs w:val="22"/>
          </w:rPr>
          <w:t>1</w:t>
        </w:r>
        <w:r w:rsidR="00990B95"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8F103" w14:textId="77777777" w:rsidR="00BA4CED" w:rsidRDefault="00BA4CED" w:rsidP="0004428F">
      <w:r>
        <w:separator/>
      </w:r>
    </w:p>
  </w:footnote>
  <w:footnote w:type="continuationSeparator" w:id="0">
    <w:p w14:paraId="3A86906A" w14:textId="77777777" w:rsidR="00BA4CED" w:rsidRDefault="00BA4CED" w:rsidP="0004428F">
      <w:r>
        <w:continuationSeparator/>
      </w:r>
    </w:p>
  </w:footnote>
  <w:footnote w:id="1">
    <w:p w14:paraId="2405AD3B" w14:textId="3B3646FB" w:rsidR="0002087D" w:rsidRDefault="0002087D">
      <w:pPr>
        <w:pStyle w:val="FootnoteText"/>
      </w:pPr>
      <w:r>
        <w:rPr>
          <w:rStyle w:val="FootnoteReference"/>
        </w:rPr>
        <w:footnoteRef/>
      </w:r>
      <w:r>
        <w:t xml:space="preserve"> </w:t>
      </w:r>
      <w:hyperlink r:id="rId1" w:history="1">
        <w:r w:rsidR="009F22B6" w:rsidRPr="002C03AA">
          <w:rPr>
            <w:rStyle w:val="Hyperlink"/>
            <w:sz w:val="16"/>
            <w:szCs w:val="16"/>
          </w:rPr>
          <w:t>https://csrc.nist.gov/publications/detail/sp/800-50/final</w:t>
        </w:r>
      </w:hyperlink>
      <w:r w:rsidR="009F22B6">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BB546D4"/>
    <w:multiLevelType w:val="hybridMultilevel"/>
    <w:tmpl w:val="10AE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95D8B"/>
    <w:multiLevelType w:val="hybridMultilevel"/>
    <w:tmpl w:val="EFF8BA6A"/>
    <w:lvl w:ilvl="0" w:tplc="F6969E96">
      <w:start w:val="1"/>
      <w:numFmt w:val="decimal"/>
      <w:lvlText w:val="%1."/>
      <w:lvlJc w:val="left"/>
      <w:pPr>
        <w:ind w:left="360" w:hanging="360"/>
      </w:pPr>
      <w:rPr>
        <w:b/>
        <w:bCs/>
      </w:rPr>
    </w:lvl>
    <w:lvl w:ilvl="1" w:tplc="04090019">
      <w:start w:val="1"/>
      <w:numFmt w:val="lowerLetter"/>
      <w:lvlText w:val="%2."/>
      <w:lvlJc w:val="left"/>
      <w:pPr>
        <w:ind w:left="72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278AF"/>
    <w:multiLevelType w:val="hybridMultilevel"/>
    <w:tmpl w:val="411AFC34"/>
    <w:lvl w:ilvl="0" w:tplc="F1F61AFC">
      <w:start w:val="1"/>
      <w:numFmt w:val="decimal"/>
      <w:lvlText w:val="%1."/>
      <w:lvlJc w:val="left"/>
      <w:pPr>
        <w:ind w:left="360" w:hanging="360"/>
      </w:pPr>
      <w:rPr>
        <w:b/>
        <w:bCs/>
        <w:strike w:val="0"/>
        <w:dstrike w:val="0"/>
        <w:u w:val="none"/>
        <w:effect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F33CF2"/>
    <w:multiLevelType w:val="hybridMultilevel"/>
    <w:tmpl w:val="A7B8E1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466B0D"/>
    <w:multiLevelType w:val="hybridMultilevel"/>
    <w:tmpl w:val="5B40F7F4"/>
    <w:lvl w:ilvl="0" w:tplc="16E4773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9D0970"/>
    <w:multiLevelType w:val="hybridMultilevel"/>
    <w:tmpl w:val="858A8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958213A"/>
    <w:multiLevelType w:val="hybridMultilevel"/>
    <w:tmpl w:val="ACB0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7" w15:restartNumberingAfterBreak="0">
    <w:nsid w:val="3AB74EFB"/>
    <w:multiLevelType w:val="hybridMultilevel"/>
    <w:tmpl w:val="512C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D6991"/>
    <w:multiLevelType w:val="hybridMultilevel"/>
    <w:tmpl w:val="7A102F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856992"/>
    <w:multiLevelType w:val="hybridMultilevel"/>
    <w:tmpl w:val="D2A21104"/>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3021800"/>
    <w:multiLevelType w:val="hybridMultilevel"/>
    <w:tmpl w:val="E29AD7B2"/>
    <w:lvl w:ilvl="0" w:tplc="06901B7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8" w15:restartNumberingAfterBreak="0">
    <w:nsid w:val="6429526D"/>
    <w:multiLevelType w:val="hybridMultilevel"/>
    <w:tmpl w:val="CE784F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653870C9"/>
    <w:multiLevelType w:val="hybridMultilevel"/>
    <w:tmpl w:val="746250B2"/>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9133901"/>
    <w:multiLevelType w:val="hybridMultilevel"/>
    <w:tmpl w:val="6136CB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5" w15:restartNumberingAfterBreak="0">
    <w:nsid w:val="72D06836"/>
    <w:multiLevelType w:val="hybridMultilevel"/>
    <w:tmpl w:val="6136C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5403791">
    <w:abstractNumId w:val="18"/>
  </w:num>
  <w:num w:numId="2" w16cid:durableId="1585652973">
    <w:abstractNumId w:val="34"/>
  </w:num>
  <w:num w:numId="3" w16cid:durableId="1748571846">
    <w:abstractNumId w:val="16"/>
  </w:num>
  <w:num w:numId="4" w16cid:durableId="2129005476">
    <w:abstractNumId w:val="8"/>
  </w:num>
  <w:num w:numId="5" w16cid:durableId="1859079215">
    <w:abstractNumId w:val="10"/>
  </w:num>
  <w:num w:numId="6" w16cid:durableId="1489202011">
    <w:abstractNumId w:val="21"/>
  </w:num>
  <w:num w:numId="7" w16cid:durableId="1792356740">
    <w:abstractNumId w:val="1"/>
  </w:num>
  <w:num w:numId="8" w16cid:durableId="213003438">
    <w:abstractNumId w:val="24"/>
  </w:num>
  <w:num w:numId="9" w16cid:durableId="142354864">
    <w:abstractNumId w:val="14"/>
  </w:num>
  <w:num w:numId="10" w16cid:durableId="1896159425">
    <w:abstractNumId w:val="4"/>
  </w:num>
  <w:num w:numId="11" w16cid:durableId="766315762">
    <w:abstractNumId w:val="3"/>
  </w:num>
  <w:num w:numId="12" w16cid:durableId="1975676435">
    <w:abstractNumId w:val="0"/>
  </w:num>
  <w:num w:numId="13" w16cid:durableId="1544827717">
    <w:abstractNumId w:val="19"/>
  </w:num>
  <w:num w:numId="14" w16cid:durableId="862015643">
    <w:abstractNumId w:val="7"/>
  </w:num>
  <w:num w:numId="15" w16cid:durableId="2116440834">
    <w:abstractNumId w:val="0"/>
    <w:lvlOverride w:ilvl="0">
      <w:startOverride w:val="1"/>
    </w:lvlOverride>
  </w:num>
  <w:num w:numId="16" w16cid:durableId="1748263911">
    <w:abstractNumId w:val="34"/>
    <w:lvlOverride w:ilvl="0">
      <w:startOverride w:val="1"/>
    </w:lvlOverride>
  </w:num>
  <w:num w:numId="17" w16cid:durableId="1008795703">
    <w:abstractNumId w:val="27"/>
  </w:num>
  <w:num w:numId="18" w16cid:durableId="475807056">
    <w:abstractNumId w:val="30"/>
  </w:num>
  <w:num w:numId="19" w16cid:durableId="750008089">
    <w:abstractNumId w:val="0"/>
    <w:lvlOverride w:ilvl="0">
      <w:startOverride w:val="1"/>
    </w:lvlOverride>
  </w:num>
  <w:num w:numId="20" w16cid:durableId="1534464429">
    <w:abstractNumId w:val="34"/>
    <w:lvlOverride w:ilvl="0">
      <w:startOverride w:val="1"/>
    </w:lvlOverride>
  </w:num>
  <w:num w:numId="21" w16cid:durableId="1590680">
    <w:abstractNumId w:val="34"/>
    <w:lvlOverride w:ilvl="0">
      <w:startOverride w:val="1"/>
    </w:lvlOverride>
  </w:num>
  <w:num w:numId="22" w16cid:durableId="365064819">
    <w:abstractNumId w:val="25"/>
  </w:num>
  <w:num w:numId="23" w16cid:durableId="20235057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61415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31413324">
    <w:abstractNumId w:val="32"/>
  </w:num>
  <w:num w:numId="26" w16cid:durableId="1930308285">
    <w:abstractNumId w:val="23"/>
  </w:num>
  <w:num w:numId="27" w16cid:durableId="166213263">
    <w:abstractNumId w:val="2"/>
  </w:num>
  <w:num w:numId="28" w16cid:durableId="413477751">
    <w:abstractNumId w:val="17"/>
  </w:num>
  <w:num w:numId="29" w16cid:durableId="1209142731">
    <w:abstractNumId w:val="26"/>
  </w:num>
  <w:num w:numId="30" w16cid:durableId="1317952402">
    <w:abstractNumId w:val="20"/>
  </w:num>
  <w:num w:numId="31" w16cid:durableId="1966697894">
    <w:abstractNumId w:val="11"/>
  </w:num>
  <w:num w:numId="32" w16cid:durableId="752356250">
    <w:abstractNumId w:val="35"/>
  </w:num>
  <w:num w:numId="33" w16cid:durableId="1626035064">
    <w:abstractNumId w:val="29"/>
  </w:num>
  <w:num w:numId="34" w16cid:durableId="414864034">
    <w:abstractNumId w:val="12"/>
  </w:num>
  <w:num w:numId="35" w16cid:durableId="1152411283">
    <w:abstractNumId w:val="31"/>
  </w:num>
  <w:num w:numId="36" w16cid:durableId="1970745719">
    <w:abstractNumId w:val="22"/>
  </w:num>
  <w:num w:numId="37" w16cid:durableId="1279530670">
    <w:abstractNumId w:val="6"/>
  </w:num>
  <w:num w:numId="38" w16cid:durableId="274018120">
    <w:abstractNumId w:val="33"/>
  </w:num>
  <w:num w:numId="39" w16cid:durableId="199705936">
    <w:abstractNumId w:val="5"/>
  </w:num>
  <w:num w:numId="40" w16cid:durableId="2123070353">
    <w:abstractNumId w:val="28"/>
  </w:num>
  <w:num w:numId="41" w16cid:durableId="1498421227">
    <w:abstractNumId w:val="13"/>
  </w:num>
  <w:num w:numId="42" w16cid:durableId="828441002">
    <w:abstractNumId w:val="9"/>
  </w:num>
  <w:num w:numId="43" w16cid:durableId="193928874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5863"/>
    <w:rsid w:val="00006D5E"/>
    <w:rsid w:val="000101EA"/>
    <w:rsid w:val="00010E6C"/>
    <w:rsid w:val="00011576"/>
    <w:rsid w:val="000115FA"/>
    <w:rsid w:val="00014D08"/>
    <w:rsid w:val="00014DFB"/>
    <w:rsid w:val="00015A5A"/>
    <w:rsid w:val="00015AC5"/>
    <w:rsid w:val="00015D44"/>
    <w:rsid w:val="0002087D"/>
    <w:rsid w:val="00023BF2"/>
    <w:rsid w:val="0002492B"/>
    <w:rsid w:val="00025D50"/>
    <w:rsid w:val="00026308"/>
    <w:rsid w:val="000307CF"/>
    <w:rsid w:val="00031473"/>
    <w:rsid w:val="00032A35"/>
    <w:rsid w:val="00033734"/>
    <w:rsid w:val="0003440B"/>
    <w:rsid w:val="00035AA1"/>
    <w:rsid w:val="00040355"/>
    <w:rsid w:val="00040391"/>
    <w:rsid w:val="0004352D"/>
    <w:rsid w:val="0004376D"/>
    <w:rsid w:val="0004428F"/>
    <w:rsid w:val="000450EF"/>
    <w:rsid w:val="00045565"/>
    <w:rsid w:val="00047260"/>
    <w:rsid w:val="000472F0"/>
    <w:rsid w:val="00051B24"/>
    <w:rsid w:val="000527B0"/>
    <w:rsid w:val="0005369F"/>
    <w:rsid w:val="00053F6E"/>
    <w:rsid w:val="00055197"/>
    <w:rsid w:val="00057832"/>
    <w:rsid w:val="000600CF"/>
    <w:rsid w:val="0006031D"/>
    <w:rsid w:val="00064D50"/>
    <w:rsid w:val="00070226"/>
    <w:rsid w:val="00070CE2"/>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4E8"/>
    <w:rsid w:val="00086CD0"/>
    <w:rsid w:val="000919FB"/>
    <w:rsid w:val="00091E12"/>
    <w:rsid w:val="00091E2F"/>
    <w:rsid w:val="00092E2B"/>
    <w:rsid w:val="00094762"/>
    <w:rsid w:val="000948A4"/>
    <w:rsid w:val="00095DAF"/>
    <w:rsid w:val="00096B17"/>
    <w:rsid w:val="000A2ACD"/>
    <w:rsid w:val="000A3552"/>
    <w:rsid w:val="000A3716"/>
    <w:rsid w:val="000A7A4C"/>
    <w:rsid w:val="000A7BCE"/>
    <w:rsid w:val="000B055E"/>
    <w:rsid w:val="000B1604"/>
    <w:rsid w:val="000B2766"/>
    <w:rsid w:val="000B30B7"/>
    <w:rsid w:val="000B315A"/>
    <w:rsid w:val="000B36F0"/>
    <w:rsid w:val="000B3A67"/>
    <w:rsid w:val="000B3A70"/>
    <w:rsid w:val="000B65C9"/>
    <w:rsid w:val="000B7686"/>
    <w:rsid w:val="000C004B"/>
    <w:rsid w:val="000C02FB"/>
    <w:rsid w:val="000C0A05"/>
    <w:rsid w:val="000C211B"/>
    <w:rsid w:val="000C45A0"/>
    <w:rsid w:val="000C4F95"/>
    <w:rsid w:val="000C6577"/>
    <w:rsid w:val="000C79EA"/>
    <w:rsid w:val="000C7C33"/>
    <w:rsid w:val="000D0478"/>
    <w:rsid w:val="000D4F50"/>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5869"/>
    <w:rsid w:val="001078E9"/>
    <w:rsid w:val="00110DD0"/>
    <w:rsid w:val="00110DD6"/>
    <w:rsid w:val="00112EC5"/>
    <w:rsid w:val="00113228"/>
    <w:rsid w:val="00113ABD"/>
    <w:rsid w:val="001144AD"/>
    <w:rsid w:val="0011519F"/>
    <w:rsid w:val="00116EF1"/>
    <w:rsid w:val="0012118A"/>
    <w:rsid w:val="00121597"/>
    <w:rsid w:val="001220D4"/>
    <w:rsid w:val="0012340E"/>
    <w:rsid w:val="00123BCA"/>
    <w:rsid w:val="00126FFB"/>
    <w:rsid w:val="001276B1"/>
    <w:rsid w:val="001319E0"/>
    <w:rsid w:val="0013249A"/>
    <w:rsid w:val="00133821"/>
    <w:rsid w:val="0013395E"/>
    <w:rsid w:val="00134ADA"/>
    <w:rsid w:val="00134BC6"/>
    <w:rsid w:val="0013736A"/>
    <w:rsid w:val="001376E7"/>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4430"/>
    <w:rsid w:val="00155717"/>
    <w:rsid w:val="00157AD5"/>
    <w:rsid w:val="00157D77"/>
    <w:rsid w:val="001616D9"/>
    <w:rsid w:val="00163F28"/>
    <w:rsid w:val="00164162"/>
    <w:rsid w:val="001654A6"/>
    <w:rsid w:val="00165628"/>
    <w:rsid w:val="00165DE9"/>
    <w:rsid w:val="0016791B"/>
    <w:rsid w:val="00167A51"/>
    <w:rsid w:val="00167AAA"/>
    <w:rsid w:val="00170780"/>
    <w:rsid w:val="00170C8D"/>
    <w:rsid w:val="00171CCC"/>
    <w:rsid w:val="00172BBC"/>
    <w:rsid w:val="00173363"/>
    <w:rsid w:val="001755B3"/>
    <w:rsid w:val="001767B9"/>
    <w:rsid w:val="00176D4F"/>
    <w:rsid w:val="00177C4A"/>
    <w:rsid w:val="001843E0"/>
    <w:rsid w:val="00185046"/>
    <w:rsid w:val="00186362"/>
    <w:rsid w:val="00186688"/>
    <w:rsid w:val="00190386"/>
    <w:rsid w:val="001910DF"/>
    <w:rsid w:val="00191F09"/>
    <w:rsid w:val="00194FE3"/>
    <w:rsid w:val="0019633A"/>
    <w:rsid w:val="00196FE7"/>
    <w:rsid w:val="00197384"/>
    <w:rsid w:val="00197F77"/>
    <w:rsid w:val="001A015E"/>
    <w:rsid w:val="001A0649"/>
    <w:rsid w:val="001A0A03"/>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6BB"/>
    <w:rsid w:val="001C770A"/>
    <w:rsid w:val="001C7DFC"/>
    <w:rsid w:val="001D0263"/>
    <w:rsid w:val="001D0468"/>
    <w:rsid w:val="001D0A45"/>
    <w:rsid w:val="001D16A2"/>
    <w:rsid w:val="001D1760"/>
    <w:rsid w:val="001D6450"/>
    <w:rsid w:val="001D6A9D"/>
    <w:rsid w:val="001D6E73"/>
    <w:rsid w:val="001D7136"/>
    <w:rsid w:val="001D7792"/>
    <w:rsid w:val="001D7850"/>
    <w:rsid w:val="001E168C"/>
    <w:rsid w:val="001E38C9"/>
    <w:rsid w:val="001E5785"/>
    <w:rsid w:val="001E5E0C"/>
    <w:rsid w:val="001F4077"/>
    <w:rsid w:val="001F5512"/>
    <w:rsid w:val="00200926"/>
    <w:rsid w:val="00201B05"/>
    <w:rsid w:val="00202DA0"/>
    <w:rsid w:val="00203880"/>
    <w:rsid w:val="002039B5"/>
    <w:rsid w:val="00204C90"/>
    <w:rsid w:val="002055DF"/>
    <w:rsid w:val="00210542"/>
    <w:rsid w:val="002107C9"/>
    <w:rsid w:val="002118CF"/>
    <w:rsid w:val="00211E77"/>
    <w:rsid w:val="002129BF"/>
    <w:rsid w:val="00212EAF"/>
    <w:rsid w:val="002146E3"/>
    <w:rsid w:val="00215E28"/>
    <w:rsid w:val="0022022A"/>
    <w:rsid w:val="00220398"/>
    <w:rsid w:val="00221BAA"/>
    <w:rsid w:val="00221EB1"/>
    <w:rsid w:val="00222B50"/>
    <w:rsid w:val="00224C11"/>
    <w:rsid w:val="00226FE7"/>
    <w:rsid w:val="00230173"/>
    <w:rsid w:val="0023266D"/>
    <w:rsid w:val="00232A1E"/>
    <w:rsid w:val="00232F4D"/>
    <w:rsid w:val="002338F7"/>
    <w:rsid w:val="00233A59"/>
    <w:rsid w:val="00233B53"/>
    <w:rsid w:val="002340AE"/>
    <w:rsid w:val="002354A2"/>
    <w:rsid w:val="00236233"/>
    <w:rsid w:val="00236464"/>
    <w:rsid w:val="002365EA"/>
    <w:rsid w:val="002374B2"/>
    <w:rsid w:val="00237FC9"/>
    <w:rsid w:val="00240976"/>
    <w:rsid w:val="00246071"/>
    <w:rsid w:val="002476AA"/>
    <w:rsid w:val="002514A3"/>
    <w:rsid w:val="002520CD"/>
    <w:rsid w:val="002527DE"/>
    <w:rsid w:val="00252E71"/>
    <w:rsid w:val="00253942"/>
    <w:rsid w:val="00253D75"/>
    <w:rsid w:val="00253F6F"/>
    <w:rsid w:val="0025447E"/>
    <w:rsid w:val="00254DB8"/>
    <w:rsid w:val="00256F11"/>
    <w:rsid w:val="002625C8"/>
    <w:rsid w:val="002648BD"/>
    <w:rsid w:val="00264A5E"/>
    <w:rsid w:val="00264FD4"/>
    <w:rsid w:val="0026675D"/>
    <w:rsid w:val="002702D1"/>
    <w:rsid w:val="00271049"/>
    <w:rsid w:val="0027165B"/>
    <w:rsid w:val="002717C5"/>
    <w:rsid w:val="00271D38"/>
    <w:rsid w:val="00272582"/>
    <w:rsid w:val="00272A77"/>
    <w:rsid w:val="002742C9"/>
    <w:rsid w:val="00275054"/>
    <w:rsid w:val="00276E4F"/>
    <w:rsid w:val="00277A6C"/>
    <w:rsid w:val="00280093"/>
    <w:rsid w:val="00280A36"/>
    <w:rsid w:val="00280D49"/>
    <w:rsid w:val="00282D6F"/>
    <w:rsid w:val="00282F17"/>
    <w:rsid w:val="00284AE0"/>
    <w:rsid w:val="002857DA"/>
    <w:rsid w:val="0028626F"/>
    <w:rsid w:val="00286CD4"/>
    <w:rsid w:val="00286D0F"/>
    <w:rsid w:val="002872D4"/>
    <w:rsid w:val="00291FDA"/>
    <w:rsid w:val="002933F7"/>
    <w:rsid w:val="0029440B"/>
    <w:rsid w:val="00295974"/>
    <w:rsid w:val="00296230"/>
    <w:rsid w:val="00296419"/>
    <w:rsid w:val="002A09C9"/>
    <w:rsid w:val="002A38E1"/>
    <w:rsid w:val="002A3964"/>
    <w:rsid w:val="002A4B6B"/>
    <w:rsid w:val="002A7BAE"/>
    <w:rsid w:val="002B09A5"/>
    <w:rsid w:val="002B75CC"/>
    <w:rsid w:val="002C0F71"/>
    <w:rsid w:val="002C1B22"/>
    <w:rsid w:val="002C2A6E"/>
    <w:rsid w:val="002C34D7"/>
    <w:rsid w:val="002C4B9A"/>
    <w:rsid w:val="002C625B"/>
    <w:rsid w:val="002C642F"/>
    <w:rsid w:val="002D0326"/>
    <w:rsid w:val="002D0757"/>
    <w:rsid w:val="002D315C"/>
    <w:rsid w:val="002D566B"/>
    <w:rsid w:val="002E3881"/>
    <w:rsid w:val="002E3E2C"/>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4FBE"/>
    <w:rsid w:val="00315253"/>
    <w:rsid w:val="00316D2A"/>
    <w:rsid w:val="00316ED3"/>
    <w:rsid w:val="00317973"/>
    <w:rsid w:val="00320C10"/>
    <w:rsid w:val="003223F7"/>
    <w:rsid w:val="0032301E"/>
    <w:rsid w:val="003246FE"/>
    <w:rsid w:val="00324BC3"/>
    <w:rsid w:val="00325AEC"/>
    <w:rsid w:val="0032639E"/>
    <w:rsid w:val="003266EF"/>
    <w:rsid w:val="00327B44"/>
    <w:rsid w:val="00331359"/>
    <w:rsid w:val="00332247"/>
    <w:rsid w:val="00333A0C"/>
    <w:rsid w:val="00334224"/>
    <w:rsid w:val="00334E9E"/>
    <w:rsid w:val="00340465"/>
    <w:rsid w:val="00340899"/>
    <w:rsid w:val="0034133C"/>
    <w:rsid w:val="003430B8"/>
    <w:rsid w:val="00344E40"/>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1037"/>
    <w:rsid w:val="00381348"/>
    <w:rsid w:val="00383F7F"/>
    <w:rsid w:val="003854A4"/>
    <w:rsid w:val="00385B5F"/>
    <w:rsid w:val="00386D2D"/>
    <w:rsid w:val="003926FF"/>
    <w:rsid w:val="00396398"/>
    <w:rsid w:val="003A00FE"/>
    <w:rsid w:val="003A01E4"/>
    <w:rsid w:val="003A1DD2"/>
    <w:rsid w:val="003A1DF7"/>
    <w:rsid w:val="003A2970"/>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05F0"/>
    <w:rsid w:val="003E2CFF"/>
    <w:rsid w:val="003E5741"/>
    <w:rsid w:val="003F06BA"/>
    <w:rsid w:val="003F16C9"/>
    <w:rsid w:val="003F3788"/>
    <w:rsid w:val="003F43A4"/>
    <w:rsid w:val="003F5030"/>
    <w:rsid w:val="003F583B"/>
    <w:rsid w:val="00400EBA"/>
    <w:rsid w:val="00401094"/>
    <w:rsid w:val="0040225A"/>
    <w:rsid w:val="004045C4"/>
    <w:rsid w:val="00406A6A"/>
    <w:rsid w:val="004070E9"/>
    <w:rsid w:val="00407A26"/>
    <w:rsid w:val="00411938"/>
    <w:rsid w:val="004121BA"/>
    <w:rsid w:val="00412BF5"/>
    <w:rsid w:val="00412F75"/>
    <w:rsid w:val="004171F0"/>
    <w:rsid w:val="00421ABC"/>
    <w:rsid w:val="00424ECC"/>
    <w:rsid w:val="00425274"/>
    <w:rsid w:val="0042548C"/>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358"/>
    <w:rsid w:val="00457E1D"/>
    <w:rsid w:val="00462093"/>
    <w:rsid w:val="004648CF"/>
    <w:rsid w:val="004655EE"/>
    <w:rsid w:val="00465933"/>
    <w:rsid w:val="00466D51"/>
    <w:rsid w:val="00470230"/>
    <w:rsid w:val="004714EF"/>
    <w:rsid w:val="00471709"/>
    <w:rsid w:val="004742A8"/>
    <w:rsid w:val="00474426"/>
    <w:rsid w:val="00474493"/>
    <w:rsid w:val="0047515F"/>
    <w:rsid w:val="00476585"/>
    <w:rsid w:val="0047704C"/>
    <w:rsid w:val="00480CCB"/>
    <w:rsid w:val="00483171"/>
    <w:rsid w:val="00483B26"/>
    <w:rsid w:val="00490E06"/>
    <w:rsid w:val="00491D22"/>
    <w:rsid w:val="00491E3E"/>
    <w:rsid w:val="004926A7"/>
    <w:rsid w:val="004934BD"/>
    <w:rsid w:val="00493B7C"/>
    <w:rsid w:val="00493CFB"/>
    <w:rsid w:val="004949A5"/>
    <w:rsid w:val="004959F7"/>
    <w:rsid w:val="00495ACA"/>
    <w:rsid w:val="0049649D"/>
    <w:rsid w:val="004965A8"/>
    <w:rsid w:val="004976F4"/>
    <w:rsid w:val="004A179D"/>
    <w:rsid w:val="004A4538"/>
    <w:rsid w:val="004A46BC"/>
    <w:rsid w:val="004A4993"/>
    <w:rsid w:val="004A4D50"/>
    <w:rsid w:val="004A5F55"/>
    <w:rsid w:val="004A6F73"/>
    <w:rsid w:val="004B0DB0"/>
    <w:rsid w:val="004B23F7"/>
    <w:rsid w:val="004B513D"/>
    <w:rsid w:val="004C0E28"/>
    <w:rsid w:val="004C1285"/>
    <w:rsid w:val="004C22FA"/>
    <w:rsid w:val="004C60A5"/>
    <w:rsid w:val="004C6D06"/>
    <w:rsid w:val="004C7269"/>
    <w:rsid w:val="004C7C0B"/>
    <w:rsid w:val="004D1992"/>
    <w:rsid w:val="004D30B5"/>
    <w:rsid w:val="004D3478"/>
    <w:rsid w:val="004D399B"/>
    <w:rsid w:val="004D432B"/>
    <w:rsid w:val="004D5283"/>
    <w:rsid w:val="004D5C99"/>
    <w:rsid w:val="004E07EA"/>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3BF1"/>
    <w:rsid w:val="00505683"/>
    <w:rsid w:val="00505ED2"/>
    <w:rsid w:val="005100DF"/>
    <w:rsid w:val="0051047E"/>
    <w:rsid w:val="00511369"/>
    <w:rsid w:val="0051158D"/>
    <w:rsid w:val="00511A5D"/>
    <w:rsid w:val="005129D9"/>
    <w:rsid w:val="005138D0"/>
    <w:rsid w:val="00513FEF"/>
    <w:rsid w:val="00515253"/>
    <w:rsid w:val="00516C48"/>
    <w:rsid w:val="005174D9"/>
    <w:rsid w:val="0051779F"/>
    <w:rsid w:val="00517A4B"/>
    <w:rsid w:val="00521192"/>
    <w:rsid w:val="00521EAA"/>
    <w:rsid w:val="00522773"/>
    <w:rsid w:val="0052387B"/>
    <w:rsid w:val="00524A5A"/>
    <w:rsid w:val="00525503"/>
    <w:rsid w:val="00532784"/>
    <w:rsid w:val="00532FBB"/>
    <w:rsid w:val="00533558"/>
    <w:rsid w:val="00533955"/>
    <w:rsid w:val="00533DC2"/>
    <w:rsid w:val="00536B1D"/>
    <w:rsid w:val="00536C7D"/>
    <w:rsid w:val="00537BE8"/>
    <w:rsid w:val="00537E49"/>
    <w:rsid w:val="0054031B"/>
    <w:rsid w:val="00542068"/>
    <w:rsid w:val="00542252"/>
    <w:rsid w:val="00543885"/>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10F9"/>
    <w:rsid w:val="00572080"/>
    <w:rsid w:val="005720E3"/>
    <w:rsid w:val="00572EC7"/>
    <w:rsid w:val="00573718"/>
    <w:rsid w:val="00574559"/>
    <w:rsid w:val="0057686C"/>
    <w:rsid w:val="0057730A"/>
    <w:rsid w:val="00577DA9"/>
    <w:rsid w:val="005821CC"/>
    <w:rsid w:val="00582E8F"/>
    <w:rsid w:val="00584659"/>
    <w:rsid w:val="0058610F"/>
    <w:rsid w:val="00597570"/>
    <w:rsid w:val="005979EB"/>
    <w:rsid w:val="00597ECA"/>
    <w:rsid w:val="005A0B77"/>
    <w:rsid w:val="005A3EB3"/>
    <w:rsid w:val="005A5354"/>
    <w:rsid w:val="005B055A"/>
    <w:rsid w:val="005B10DE"/>
    <w:rsid w:val="005B1295"/>
    <w:rsid w:val="005B20F3"/>
    <w:rsid w:val="005B2FAD"/>
    <w:rsid w:val="005B5C17"/>
    <w:rsid w:val="005B69DF"/>
    <w:rsid w:val="005B6CA4"/>
    <w:rsid w:val="005C0F56"/>
    <w:rsid w:val="005C2EEC"/>
    <w:rsid w:val="005C3313"/>
    <w:rsid w:val="005C5B5A"/>
    <w:rsid w:val="005C7F86"/>
    <w:rsid w:val="005D0A90"/>
    <w:rsid w:val="005D0DB6"/>
    <w:rsid w:val="005D1968"/>
    <w:rsid w:val="005D1A2F"/>
    <w:rsid w:val="005D23D1"/>
    <w:rsid w:val="005D39EB"/>
    <w:rsid w:val="005D49B8"/>
    <w:rsid w:val="005D752C"/>
    <w:rsid w:val="005D777B"/>
    <w:rsid w:val="005E0911"/>
    <w:rsid w:val="005E0DF3"/>
    <w:rsid w:val="005E14AF"/>
    <w:rsid w:val="005E3A8E"/>
    <w:rsid w:val="005E5085"/>
    <w:rsid w:val="005E6D31"/>
    <w:rsid w:val="005F4E37"/>
    <w:rsid w:val="005F543C"/>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6E5"/>
    <w:rsid w:val="00612880"/>
    <w:rsid w:val="0061393D"/>
    <w:rsid w:val="006140B9"/>
    <w:rsid w:val="00615722"/>
    <w:rsid w:val="00617179"/>
    <w:rsid w:val="00617521"/>
    <w:rsid w:val="006208EF"/>
    <w:rsid w:val="00621F50"/>
    <w:rsid w:val="00623FE1"/>
    <w:rsid w:val="006256AD"/>
    <w:rsid w:val="00626617"/>
    <w:rsid w:val="00626E61"/>
    <w:rsid w:val="0063032D"/>
    <w:rsid w:val="00633089"/>
    <w:rsid w:val="006332EA"/>
    <w:rsid w:val="0063380A"/>
    <w:rsid w:val="006349FE"/>
    <w:rsid w:val="0063616A"/>
    <w:rsid w:val="00636475"/>
    <w:rsid w:val="00636E6C"/>
    <w:rsid w:val="0063704F"/>
    <w:rsid w:val="00637D37"/>
    <w:rsid w:val="00640A3B"/>
    <w:rsid w:val="0064159F"/>
    <w:rsid w:val="0064168C"/>
    <w:rsid w:val="00641707"/>
    <w:rsid w:val="00646BE2"/>
    <w:rsid w:val="00646E49"/>
    <w:rsid w:val="00646FB9"/>
    <w:rsid w:val="00651216"/>
    <w:rsid w:val="0065581D"/>
    <w:rsid w:val="00656E3C"/>
    <w:rsid w:val="0066085E"/>
    <w:rsid w:val="00661824"/>
    <w:rsid w:val="0066376C"/>
    <w:rsid w:val="0066565C"/>
    <w:rsid w:val="00665F6D"/>
    <w:rsid w:val="00667F57"/>
    <w:rsid w:val="006723E0"/>
    <w:rsid w:val="00675C2F"/>
    <w:rsid w:val="0067618C"/>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14"/>
    <w:rsid w:val="006A0C3E"/>
    <w:rsid w:val="006A19E9"/>
    <w:rsid w:val="006A2C76"/>
    <w:rsid w:val="006A4B3E"/>
    <w:rsid w:val="006A4C30"/>
    <w:rsid w:val="006A5C05"/>
    <w:rsid w:val="006B1386"/>
    <w:rsid w:val="006B390D"/>
    <w:rsid w:val="006B3977"/>
    <w:rsid w:val="006B3A68"/>
    <w:rsid w:val="006B3E38"/>
    <w:rsid w:val="006B55D6"/>
    <w:rsid w:val="006B7C3F"/>
    <w:rsid w:val="006C1C5D"/>
    <w:rsid w:val="006C1F98"/>
    <w:rsid w:val="006C35F1"/>
    <w:rsid w:val="006C47BC"/>
    <w:rsid w:val="006C50C8"/>
    <w:rsid w:val="006C68D7"/>
    <w:rsid w:val="006D0502"/>
    <w:rsid w:val="006D1766"/>
    <w:rsid w:val="006D21A1"/>
    <w:rsid w:val="006D2B67"/>
    <w:rsid w:val="006D4779"/>
    <w:rsid w:val="006D51FF"/>
    <w:rsid w:val="006E331A"/>
    <w:rsid w:val="006E3547"/>
    <w:rsid w:val="006E49EE"/>
    <w:rsid w:val="006E50D5"/>
    <w:rsid w:val="006E68D1"/>
    <w:rsid w:val="006E7228"/>
    <w:rsid w:val="006F207A"/>
    <w:rsid w:val="006F2A4B"/>
    <w:rsid w:val="006F32CA"/>
    <w:rsid w:val="006F35EB"/>
    <w:rsid w:val="006F3822"/>
    <w:rsid w:val="006F4985"/>
    <w:rsid w:val="006F50E1"/>
    <w:rsid w:val="006F7368"/>
    <w:rsid w:val="006F7A35"/>
    <w:rsid w:val="007006D9"/>
    <w:rsid w:val="007027CA"/>
    <w:rsid w:val="0070347A"/>
    <w:rsid w:val="007051B6"/>
    <w:rsid w:val="00706DA7"/>
    <w:rsid w:val="0071033B"/>
    <w:rsid w:val="00710E52"/>
    <w:rsid w:val="00713DA7"/>
    <w:rsid w:val="007141A0"/>
    <w:rsid w:val="007152A4"/>
    <w:rsid w:val="00715DFD"/>
    <w:rsid w:val="00715F63"/>
    <w:rsid w:val="00716554"/>
    <w:rsid w:val="00717136"/>
    <w:rsid w:val="0072037F"/>
    <w:rsid w:val="007205A1"/>
    <w:rsid w:val="007214E3"/>
    <w:rsid w:val="007220D4"/>
    <w:rsid w:val="007229F0"/>
    <w:rsid w:val="00724BD9"/>
    <w:rsid w:val="00725765"/>
    <w:rsid w:val="00725AD6"/>
    <w:rsid w:val="00726596"/>
    <w:rsid w:val="0073051D"/>
    <w:rsid w:val="00731BCF"/>
    <w:rsid w:val="00731CDE"/>
    <w:rsid w:val="00731E1C"/>
    <w:rsid w:val="007321A6"/>
    <w:rsid w:val="007322FA"/>
    <w:rsid w:val="007348B6"/>
    <w:rsid w:val="00734C83"/>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EB1"/>
    <w:rsid w:val="00792252"/>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622C"/>
    <w:rsid w:val="007A7487"/>
    <w:rsid w:val="007A7A43"/>
    <w:rsid w:val="007A7C26"/>
    <w:rsid w:val="007B05B4"/>
    <w:rsid w:val="007B0AB9"/>
    <w:rsid w:val="007B4A9E"/>
    <w:rsid w:val="007B69C7"/>
    <w:rsid w:val="007B77AC"/>
    <w:rsid w:val="007B79A0"/>
    <w:rsid w:val="007C00BE"/>
    <w:rsid w:val="007C015D"/>
    <w:rsid w:val="007C1C3B"/>
    <w:rsid w:val="007C31B3"/>
    <w:rsid w:val="007C61EC"/>
    <w:rsid w:val="007C63E4"/>
    <w:rsid w:val="007C64B1"/>
    <w:rsid w:val="007D0D18"/>
    <w:rsid w:val="007D4EB2"/>
    <w:rsid w:val="007D4F67"/>
    <w:rsid w:val="007D6AEE"/>
    <w:rsid w:val="007E27A8"/>
    <w:rsid w:val="007E31EC"/>
    <w:rsid w:val="007E4FAA"/>
    <w:rsid w:val="007E5C54"/>
    <w:rsid w:val="007E60DB"/>
    <w:rsid w:val="007E6A13"/>
    <w:rsid w:val="007F1566"/>
    <w:rsid w:val="007F1B3D"/>
    <w:rsid w:val="007F215A"/>
    <w:rsid w:val="007F2D3B"/>
    <w:rsid w:val="007F4D89"/>
    <w:rsid w:val="007F52E1"/>
    <w:rsid w:val="00800F9A"/>
    <w:rsid w:val="00801360"/>
    <w:rsid w:val="00801E39"/>
    <w:rsid w:val="008036E9"/>
    <w:rsid w:val="00803841"/>
    <w:rsid w:val="00804EAA"/>
    <w:rsid w:val="00805A36"/>
    <w:rsid w:val="00811B16"/>
    <w:rsid w:val="00815347"/>
    <w:rsid w:val="008154E7"/>
    <w:rsid w:val="00820004"/>
    <w:rsid w:val="00822AF8"/>
    <w:rsid w:val="008233C7"/>
    <w:rsid w:val="00823577"/>
    <w:rsid w:val="00823DC4"/>
    <w:rsid w:val="00825CDD"/>
    <w:rsid w:val="008277E2"/>
    <w:rsid w:val="00831912"/>
    <w:rsid w:val="00832D8A"/>
    <w:rsid w:val="00834D52"/>
    <w:rsid w:val="0083601B"/>
    <w:rsid w:val="00837AA0"/>
    <w:rsid w:val="00837ACD"/>
    <w:rsid w:val="00843C7C"/>
    <w:rsid w:val="00845007"/>
    <w:rsid w:val="00845545"/>
    <w:rsid w:val="008455D7"/>
    <w:rsid w:val="00845D1F"/>
    <w:rsid w:val="00846C5D"/>
    <w:rsid w:val="00847319"/>
    <w:rsid w:val="008503AD"/>
    <w:rsid w:val="00850707"/>
    <w:rsid w:val="008525BA"/>
    <w:rsid w:val="00853964"/>
    <w:rsid w:val="008542AF"/>
    <w:rsid w:val="00854A42"/>
    <w:rsid w:val="00854E32"/>
    <w:rsid w:val="0085593E"/>
    <w:rsid w:val="00856207"/>
    <w:rsid w:val="00856805"/>
    <w:rsid w:val="00857D68"/>
    <w:rsid w:val="008634F4"/>
    <w:rsid w:val="00863D31"/>
    <w:rsid w:val="00864812"/>
    <w:rsid w:val="00865F3A"/>
    <w:rsid w:val="008670F5"/>
    <w:rsid w:val="00870681"/>
    <w:rsid w:val="00873324"/>
    <w:rsid w:val="0087371B"/>
    <w:rsid w:val="00873FB6"/>
    <w:rsid w:val="008744C3"/>
    <w:rsid w:val="008764A9"/>
    <w:rsid w:val="008766C3"/>
    <w:rsid w:val="00881370"/>
    <w:rsid w:val="00881874"/>
    <w:rsid w:val="008818D7"/>
    <w:rsid w:val="00881EE7"/>
    <w:rsid w:val="008825A1"/>
    <w:rsid w:val="00882932"/>
    <w:rsid w:val="00884D9D"/>
    <w:rsid w:val="00885330"/>
    <w:rsid w:val="00885F07"/>
    <w:rsid w:val="00886CD0"/>
    <w:rsid w:val="00886E74"/>
    <w:rsid w:val="008914C6"/>
    <w:rsid w:val="00894524"/>
    <w:rsid w:val="008974B7"/>
    <w:rsid w:val="00897871"/>
    <w:rsid w:val="00897CBB"/>
    <w:rsid w:val="008A149B"/>
    <w:rsid w:val="008A2901"/>
    <w:rsid w:val="008A6C77"/>
    <w:rsid w:val="008A7B11"/>
    <w:rsid w:val="008B031A"/>
    <w:rsid w:val="008B0852"/>
    <w:rsid w:val="008B1483"/>
    <w:rsid w:val="008B1FB6"/>
    <w:rsid w:val="008B468A"/>
    <w:rsid w:val="008B51FA"/>
    <w:rsid w:val="008B6BC6"/>
    <w:rsid w:val="008B6DCE"/>
    <w:rsid w:val="008B6EBC"/>
    <w:rsid w:val="008C3AF2"/>
    <w:rsid w:val="008C6233"/>
    <w:rsid w:val="008C6524"/>
    <w:rsid w:val="008D0680"/>
    <w:rsid w:val="008D11A3"/>
    <w:rsid w:val="008D2B2B"/>
    <w:rsid w:val="008D3F5D"/>
    <w:rsid w:val="008D5FA2"/>
    <w:rsid w:val="008E118C"/>
    <w:rsid w:val="008E40CD"/>
    <w:rsid w:val="008E4AD5"/>
    <w:rsid w:val="008E758A"/>
    <w:rsid w:val="008F298B"/>
    <w:rsid w:val="008F47A1"/>
    <w:rsid w:val="008F4D0F"/>
    <w:rsid w:val="008F5591"/>
    <w:rsid w:val="0090170F"/>
    <w:rsid w:val="009022E6"/>
    <w:rsid w:val="0090481E"/>
    <w:rsid w:val="00904E5A"/>
    <w:rsid w:val="009054BD"/>
    <w:rsid w:val="00905752"/>
    <w:rsid w:val="00905CA6"/>
    <w:rsid w:val="00906212"/>
    <w:rsid w:val="00906E29"/>
    <w:rsid w:val="00912C1B"/>
    <w:rsid w:val="00914457"/>
    <w:rsid w:val="00915143"/>
    <w:rsid w:val="0091632F"/>
    <w:rsid w:val="00916FA9"/>
    <w:rsid w:val="00922B72"/>
    <w:rsid w:val="00922EFD"/>
    <w:rsid w:val="00925744"/>
    <w:rsid w:val="009300CD"/>
    <w:rsid w:val="009305F5"/>
    <w:rsid w:val="00930812"/>
    <w:rsid w:val="0093370E"/>
    <w:rsid w:val="009342A7"/>
    <w:rsid w:val="00936AD7"/>
    <w:rsid w:val="0093741F"/>
    <w:rsid w:val="00937C5C"/>
    <w:rsid w:val="009403B3"/>
    <w:rsid w:val="009414AD"/>
    <w:rsid w:val="009419DC"/>
    <w:rsid w:val="009436F4"/>
    <w:rsid w:val="00943C2A"/>
    <w:rsid w:val="00945F10"/>
    <w:rsid w:val="0094716E"/>
    <w:rsid w:val="009479CD"/>
    <w:rsid w:val="00947CD0"/>
    <w:rsid w:val="0095076C"/>
    <w:rsid w:val="009517D3"/>
    <w:rsid w:val="009536C4"/>
    <w:rsid w:val="0095392A"/>
    <w:rsid w:val="009543A9"/>
    <w:rsid w:val="00954F45"/>
    <w:rsid w:val="00955D53"/>
    <w:rsid w:val="009565C0"/>
    <w:rsid w:val="00957886"/>
    <w:rsid w:val="00960387"/>
    <w:rsid w:val="0096052D"/>
    <w:rsid w:val="00960C6A"/>
    <w:rsid w:val="0096106F"/>
    <w:rsid w:val="00961C87"/>
    <w:rsid w:val="0096367B"/>
    <w:rsid w:val="00965C9C"/>
    <w:rsid w:val="00966592"/>
    <w:rsid w:val="00966809"/>
    <w:rsid w:val="0097090A"/>
    <w:rsid w:val="00972219"/>
    <w:rsid w:val="00972E6B"/>
    <w:rsid w:val="00977C8B"/>
    <w:rsid w:val="00980079"/>
    <w:rsid w:val="00980DEF"/>
    <w:rsid w:val="00981058"/>
    <w:rsid w:val="00981654"/>
    <w:rsid w:val="00981D86"/>
    <w:rsid w:val="00983A63"/>
    <w:rsid w:val="009848FD"/>
    <w:rsid w:val="00984F3E"/>
    <w:rsid w:val="009852FF"/>
    <w:rsid w:val="00985DE0"/>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59E"/>
    <w:rsid w:val="009A7935"/>
    <w:rsid w:val="009A7D8C"/>
    <w:rsid w:val="009A7FEB"/>
    <w:rsid w:val="009B27F3"/>
    <w:rsid w:val="009B4152"/>
    <w:rsid w:val="009B6F38"/>
    <w:rsid w:val="009C400E"/>
    <w:rsid w:val="009C4DA7"/>
    <w:rsid w:val="009C5D51"/>
    <w:rsid w:val="009D13F7"/>
    <w:rsid w:val="009D1682"/>
    <w:rsid w:val="009D5FC2"/>
    <w:rsid w:val="009D7C07"/>
    <w:rsid w:val="009E041D"/>
    <w:rsid w:val="009E15F7"/>
    <w:rsid w:val="009E1B7C"/>
    <w:rsid w:val="009E4521"/>
    <w:rsid w:val="009E4790"/>
    <w:rsid w:val="009E558F"/>
    <w:rsid w:val="009F0622"/>
    <w:rsid w:val="009F1CBA"/>
    <w:rsid w:val="009F1F13"/>
    <w:rsid w:val="009F22B6"/>
    <w:rsid w:val="009F233D"/>
    <w:rsid w:val="009F2D6E"/>
    <w:rsid w:val="009F6176"/>
    <w:rsid w:val="009F6B62"/>
    <w:rsid w:val="009F7029"/>
    <w:rsid w:val="00A01238"/>
    <w:rsid w:val="00A012AA"/>
    <w:rsid w:val="00A03899"/>
    <w:rsid w:val="00A05880"/>
    <w:rsid w:val="00A05C77"/>
    <w:rsid w:val="00A05E8F"/>
    <w:rsid w:val="00A06FF5"/>
    <w:rsid w:val="00A1269E"/>
    <w:rsid w:val="00A12BA6"/>
    <w:rsid w:val="00A13589"/>
    <w:rsid w:val="00A14136"/>
    <w:rsid w:val="00A143D9"/>
    <w:rsid w:val="00A15325"/>
    <w:rsid w:val="00A154A4"/>
    <w:rsid w:val="00A16FA2"/>
    <w:rsid w:val="00A179E9"/>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5590"/>
    <w:rsid w:val="00A572A1"/>
    <w:rsid w:val="00A57641"/>
    <w:rsid w:val="00A57AAC"/>
    <w:rsid w:val="00A62C37"/>
    <w:rsid w:val="00A62E26"/>
    <w:rsid w:val="00A636C0"/>
    <w:rsid w:val="00A65BF8"/>
    <w:rsid w:val="00A663DD"/>
    <w:rsid w:val="00A67548"/>
    <w:rsid w:val="00A67EEC"/>
    <w:rsid w:val="00A71CB7"/>
    <w:rsid w:val="00A73283"/>
    <w:rsid w:val="00A73B54"/>
    <w:rsid w:val="00A73C87"/>
    <w:rsid w:val="00A74189"/>
    <w:rsid w:val="00A763E6"/>
    <w:rsid w:val="00A76FD7"/>
    <w:rsid w:val="00A80609"/>
    <w:rsid w:val="00A80895"/>
    <w:rsid w:val="00A82CDE"/>
    <w:rsid w:val="00A84671"/>
    <w:rsid w:val="00A92443"/>
    <w:rsid w:val="00A94358"/>
    <w:rsid w:val="00A94367"/>
    <w:rsid w:val="00A947D2"/>
    <w:rsid w:val="00A95C8B"/>
    <w:rsid w:val="00A95E25"/>
    <w:rsid w:val="00A9703F"/>
    <w:rsid w:val="00AA0CD0"/>
    <w:rsid w:val="00AA14EB"/>
    <w:rsid w:val="00AA1A08"/>
    <w:rsid w:val="00AA343F"/>
    <w:rsid w:val="00AA3B68"/>
    <w:rsid w:val="00AB21A3"/>
    <w:rsid w:val="00AB4B3F"/>
    <w:rsid w:val="00AB7294"/>
    <w:rsid w:val="00AC0E13"/>
    <w:rsid w:val="00AC19E6"/>
    <w:rsid w:val="00AC20BF"/>
    <w:rsid w:val="00AC2949"/>
    <w:rsid w:val="00AC2BD6"/>
    <w:rsid w:val="00AC2FCB"/>
    <w:rsid w:val="00AC4C90"/>
    <w:rsid w:val="00AC5B09"/>
    <w:rsid w:val="00AD1435"/>
    <w:rsid w:val="00AD2C4F"/>
    <w:rsid w:val="00AD36E8"/>
    <w:rsid w:val="00AD373E"/>
    <w:rsid w:val="00AD3CFF"/>
    <w:rsid w:val="00AD7716"/>
    <w:rsid w:val="00AE0A53"/>
    <w:rsid w:val="00AE18C4"/>
    <w:rsid w:val="00AE1972"/>
    <w:rsid w:val="00AE3F7C"/>
    <w:rsid w:val="00AE4145"/>
    <w:rsid w:val="00AE4C58"/>
    <w:rsid w:val="00AE57FC"/>
    <w:rsid w:val="00AE5C36"/>
    <w:rsid w:val="00AF1050"/>
    <w:rsid w:val="00AF302B"/>
    <w:rsid w:val="00AF318F"/>
    <w:rsid w:val="00AF4285"/>
    <w:rsid w:val="00B00511"/>
    <w:rsid w:val="00B00FC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701A"/>
    <w:rsid w:val="00B30E74"/>
    <w:rsid w:val="00B31777"/>
    <w:rsid w:val="00B330E5"/>
    <w:rsid w:val="00B33259"/>
    <w:rsid w:val="00B34761"/>
    <w:rsid w:val="00B34D1C"/>
    <w:rsid w:val="00B361B9"/>
    <w:rsid w:val="00B3640B"/>
    <w:rsid w:val="00B367DD"/>
    <w:rsid w:val="00B36C05"/>
    <w:rsid w:val="00B36E68"/>
    <w:rsid w:val="00B37000"/>
    <w:rsid w:val="00B37237"/>
    <w:rsid w:val="00B37B00"/>
    <w:rsid w:val="00B40A78"/>
    <w:rsid w:val="00B40B6F"/>
    <w:rsid w:val="00B42210"/>
    <w:rsid w:val="00B430A9"/>
    <w:rsid w:val="00B43336"/>
    <w:rsid w:val="00B43369"/>
    <w:rsid w:val="00B449E3"/>
    <w:rsid w:val="00B44E9E"/>
    <w:rsid w:val="00B45DF6"/>
    <w:rsid w:val="00B464F7"/>
    <w:rsid w:val="00B46D5D"/>
    <w:rsid w:val="00B504A9"/>
    <w:rsid w:val="00B50E61"/>
    <w:rsid w:val="00B53FE4"/>
    <w:rsid w:val="00B54E6F"/>
    <w:rsid w:val="00B56A81"/>
    <w:rsid w:val="00B56FE7"/>
    <w:rsid w:val="00B57749"/>
    <w:rsid w:val="00B601FE"/>
    <w:rsid w:val="00B60342"/>
    <w:rsid w:val="00B622F4"/>
    <w:rsid w:val="00B62BF8"/>
    <w:rsid w:val="00B63395"/>
    <w:rsid w:val="00B67194"/>
    <w:rsid w:val="00B7119F"/>
    <w:rsid w:val="00B74210"/>
    <w:rsid w:val="00B76F78"/>
    <w:rsid w:val="00B81042"/>
    <w:rsid w:val="00B81F45"/>
    <w:rsid w:val="00B823BA"/>
    <w:rsid w:val="00B82769"/>
    <w:rsid w:val="00B841FF"/>
    <w:rsid w:val="00B857EC"/>
    <w:rsid w:val="00B86518"/>
    <w:rsid w:val="00B91C18"/>
    <w:rsid w:val="00B91D48"/>
    <w:rsid w:val="00B940C3"/>
    <w:rsid w:val="00B96165"/>
    <w:rsid w:val="00B967C2"/>
    <w:rsid w:val="00B96997"/>
    <w:rsid w:val="00BA09A0"/>
    <w:rsid w:val="00BA0AC1"/>
    <w:rsid w:val="00BA1747"/>
    <w:rsid w:val="00BA182B"/>
    <w:rsid w:val="00BA27F2"/>
    <w:rsid w:val="00BA3A10"/>
    <w:rsid w:val="00BA4CED"/>
    <w:rsid w:val="00BA6F51"/>
    <w:rsid w:val="00BB066D"/>
    <w:rsid w:val="00BB0B93"/>
    <w:rsid w:val="00BB1CC1"/>
    <w:rsid w:val="00BB274F"/>
    <w:rsid w:val="00BB37DB"/>
    <w:rsid w:val="00BC50FD"/>
    <w:rsid w:val="00BC7930"/>
    <w:rsid w:val="00BD0176"/>
    <w:rsid w:val="00BD0BC4"/>
    <w:rsid w:val="00BD29FA"/>
    <w:rsid w:val="00BD326B"/>
    <w:rsid w:val="00BD480B"/>
    <w:rsid w:val="00BD4EC6"/>
    <w:rsid w:val="00BD7C9D"/>
    <w:rsid w:val="00BE014A"/>
    <w:rsid w:val="00BE0948"/>
    <w:rsid w:val="00BE278D"/>
    <w:rsid w:val="00BE3B16"/>
    <w:rsid w:val="00BE49A8"/>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16FAD"/>
    <w:rsid w:val="00C21727"/>
    <w:rsid w:val="00C21AB6"/>
    <w:rsid w:val="00C22939"/>
    <w:rsid w:val="00C22CF2"/>
    <w:rsid w:val="00C23B81"/>
    <w:rsid w:val="00C252DD"/>
    <w:rsid w:val="00C25A20"/>
    <w:rsid w:val="00C26D54"/>
    <w:rsid w:val="00C3023F"/>
    <w:rsid w:val="00C32118"/>
    <w:rsid w:val="00C32401"/>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4531"/>
    <w:rsid w:val="00C66727"/>
    <w:rsid w:val="00C6792D"/>
    <w:rsid w:val="00C701CD"/>
    <w:rsid w:val="00C714BD"/>
    <w:rsid w:val="00C7638C"/>
    <w:rsid w:val="00C76A99"/>
    <w:rsid w:val="00C770ED"/>
    <w:rsid w:val="00C772BF"/>
    <w:rsid w:val="00C775B5"/>
    <w:rsid w:val="00C8090D"/>
    <w:rsid w:val="00C84B46"/>
    <w:rsid w:val="00C85AD9"/>
    <w:rsid w:val="00C869A2"/>
    <w:rsid w:val="00C87463"/>
    <w:rsid w:val="00C9198C"/>
    <w:rsid w:val="00C9252E"/>
    <w:rsid w:val="00C9505E"/>
    <w:rsid w:val="00C95C18"/>
    <w:rsid w:val="00C978CB"/>
    <w:rsid w:val="00CA0052"/>
    <w:rsid w:val="00CA223B"/>
    <w:rsid w:val="00CA5F10"/>
    <w:rsid w:val="00CA66C0"/>
    <w:rsid w:val="00CA749D"/>
    <w:rsid w:val="00CB156F"/>
    <w:rsid w:val="00CB1CE9"/>
    <w:rsid w:val="00CB2721"/>
    <w:rsid w:val="00CB6DED"/>
    <w:rsid w:val="00CB7A28"/>
    <w:rsid w:val="00CC40EC"/>
    <w:rsid w:val="00CC5174"/>
    <w:rsid w:val="00CD18EB"/>
    <w:rsid w:val="00CD6B0A"/>
    <w:rsid w:val="00CD7995"/>
    <w:rsid w:val="00CE03CF"/>
    <w:rsid w:val="00CE0B4A"/>
    <w:rsid w:val="00CE26AF"/>
    <w:rsid w:val="00CE29D8"/>
    <w:rsid w:val="00CE387B"/>
    <w:rsid w:val="00CE398C"/>
    <w:rsid w:val="00CE645E"/>
    <w:rsid w:val="00CF0C6F"/>
    <w:rsid w:val="00CF374B"/>
    <w:rsid w:val="00CF4953"/>
    <w:rsid w:val="00D01030"/>
    <w:rsid w:val="00D01BBA"/>
    <w:rsid w:val="00D03FD8"/>
    <w:rsid w:val="00D043BB"/>
    <w:rsid w:val="00D055A3"/>
    <w:rsid w:val="00D0592E"/>
    <w:rsid w:val="00D07A95"/>
    <w:rsid w:val="00D11F5C"/>
    <w:rsid w:val="00D12223"/>
    <w:rsid w:val="00D1581A"/>
    <w:rsid w:val="00D15E0E"/>
    <w:rsid w:val="00D17659"/>
    <w:rsid w:val="00D17A78"/>
    <w:rsid w:val="00D20EB9"/>
    <w:rsid w:val="00D22D08"/>
    <w:rsid w:val="00D2418A"/>
    <w:rsid w:val="00D2528A"/>
    <w:rsid w:val="00D25969"/>
    <w:rsid w:val="00D25F0E"/>
    <w:rsid w:val="00D261EE"/>
    <w:rsid w:val="00D27611"/>
    <w:rsid w:val="00D27BD3"/>
    <w:rsid w:val="00D27D9E"/>
    <w:rsid w:val="00D33F84"/>
    <w:rsid w:val="00D36078"/>
    <w:rsid w:val="00D370C7"/>
    <w:rsid w:val="00D402A7"/>
    <w:rsid w:val="00D41062"/>
    <w:rsid w:val="00D4202F"/>
    <w:rsid w:val="00D434A5"/>
    <w:rsid w:val="00D50895"/>
    <w:rsid w:val="00D50962"/>
    <w:rsid w:val="00D511C0"/>
    <w:rsid w:val="00D57442"/>
    <w:rsid w:val="00D577BF"/>
    <w:rsid w:val="00D60694"/>
    <w:rsid w:val="00D60835"/>
    <w:rsid w:val="00D61649"/>
    <w:rsid w:val="00D62896"/>
    <w:rsid w:val="00D634CE"/>
    <w:rsid w:val="00D64FCD"/>
    <w:rsid w:val="00D66078"/>
    <w:rsid w:val="00D66D46"/>
    <w:rsid w:val="00D67A5A"/>
    <w:rsid w:val="00D729BB"/>
    <w:rsid w:val="00D72C2D"/>
    <w:rsid w:val="00D7300C"/>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2C2"/>
    <w:rsid w:val="00DA2A49"/>
    <w:rsid w:val="00DA5F12"/>
    <w:rsid w:val="00DA740C"/>
    <w:rsid w:val="00DB0BA3"/>
    <w:rsid w:val="00DB0CC8"/>
    <w:rsid w:val="00DB3058"/>
    <w:rsid w:val="00DB3A81"/>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40E4"/>
    <w:rsid w:val="00DE7285"/>
    <w:rsid w:val="00DF0048"/>
    <w:rsid w:val="00DF14D2"/>
    <w:rsid w:val="00DF27B9"/>
    <w:rsid w:val="00DF3912"/>
    <w:rsid w:val="00DF3C0B"/>
    <w:rsid w:val="00DF5C97"/>
    <w:rsid w:val="00DF7641"/>
    <w:rsid w:val="00E0044B"/>
    <w:rsid w:val="00E00E34"/>
    <w:rsid w:val="00E014C2"/>
    <w:rsid w:val="00E02498"/>
    <w:rsid w:val="00E024E9"/>
    <w:rsid w:val="00E03443"/>
    <w:rsid w:val="00E03991"/>
    <w:rsid w:val="00E04837"/>
    <w:rsid w:val="00E067EA"/>
    <w:rsid w:val="00E06C43"/>
    <w:rsid w:val="00E07290"/>
    <w:rsid w:val="00E07458"/>
    <w:rsid w:val="00E102BC"/>
    <w:rsid w:val="00E10383"/>
    <w:rsid w:val="00E12016"/>
    <w:rsid w:val="00E16EB4"/>
    <w:rsid w:val="00E17B41"/>
    <w:rsid w:val="00E22E17"/>
    <w:rsid w:val="00E22F87"/>
    <w:rsid w:val="00E2381C"/>
    <w:rsid w:val="00E240D6"/>
    <w:rsid w:val="00E24B68"/>
    <w:rsid w:val="00E256AB"/>
    <w:rsid w:val="00E25864"/>
    <w:rsid w:val="00E26127"/>
    <w:rsid w:val="00E26FA8"/>
    <w:rsid w:val="00E302D8"/>
    <w:rsid w:val="00E3082F"/>
    <w:rsid w:val="00E35EBE"/>
    <w:rsid w:val="00E3742B"/>
    <w:rsid w:val="00E400D0"/>
    <w:rsid w:val="00E40759"/>
    <w:rsid w:val="00E40BC6"/>
    <w:rsid w:val="00E40DC0"/>
    <w:rsid w:val="00E415B5"/>
    <w:rsid w:val="00E4439A"/>
    <w:rsid w:val="00E444CD"/>
    <w:rsid w:val="00E44BAD"/>
    <w:rsid w:val="00E471E1"/>
    <w:rsid w:val="00E47E56"/>
    <w:rsid w:val="00E52210"/>
    <w:rsid w:val="00E540D1"/>
    <w:rsid w:val="00E54674"/>
    <w:rsid w:val="00E550E2"/>
    <w:rsid w:val="00E55A15"/>
    <w:rsid w:val="00E5742C"/>
    <w:rsid w:val="00E60EF8"/>
    <w:rsid w:val="00E613CD"/>
    <w:rsid w:val="00E6175A"/>
    <w:rsid w:val="00E627E2"/>
    <w:rsid w:val="00E63449"/>
    <w:rsid w:val="00E634F1"/>
    <w:rsid w:val="00E644A0"/>
    <w:rsid w:val="00E647AC"/>
    <w:rsid w:val="00E650B8"/>
    <w:rsid w:val="00E65674"/>
    <w:rsid w:val="00E66081"/>
    <w:rsid w:val="00E676C2"/>
    <w:rsid w:val="00E67938"/>
    <w:rsid w:val="00E7076F"/>
    <w:rsid w:val="00E762FF"/>
    <w:rsid w:val="00E7674D"/>
    <w:rsid w:val="00E772B4"/>
    <w:rsid w:val="00E776D4"/>
    <w:rsid w:val="00E77729"/>
    <w:rsid w:val="00E77C18"/>
    <w:rsid w:val="00E80E57"/>
    <w:rsid w:val="00E80EC1"/>
    <w:rsid w:val="00E82DC2"/>
    <w:rsid w:val="00E854AC"/>
    <w:rsid w:val="00E92798"/>
    <w:rsid w:val="00E92AD5"/>
    <w:rsid w:val="00E95C74"/>
    <w:rsid w:val="00E95EC9"/>
    <w:rsid w:val="00E96657"/>
    <w:rsid w:val="00E96E4E"/>
    <w:rsid w:val="00EA055F"/>
    <w:rsid w:val="00EA0889"/>
    <w:rsid w:val="00EA3022"/>
    <w:rsid w:val="00EA5B13"/>
    <w:rsid w:val="00EA5EED"/>
    <w:rsid w:val="00EA621B"/>
    <w:rsid w:val="00EB12CD"/>
    <w:rsid w:val="00EB1E14"/>
    <w:rsid w:val="00EB3E32"/>
    <w:rsid w:val="00EB4014"/>
    <w:rsid w:val="00EB7D14"/>
    <w:rsid w:val="00EC28A8"/>
    <w:rsid w:val="00EC38C6"/>
    <w:rsid w:val="00EC3D33"/>
    <w:rsid w:val="00EC4C29"/>
    <w:rsid w:val="00EC5E78"/>
    <w:rsid w:val="00EC6B0B"/>
    <w:rsid w:val="00EC6C2F"/>
    <w:rsid w:val="00ED01BC"/>
    <w:rsid w:val="00ED3500"/>
    <w:rsid w:val="00ED58DA"/>
    <w:rsid w:val="00ED5C28"/>
    <w:rsid w:val="00ED5DF6"/>
    <w:rsid w:val="00ED76D1"/>
    <w:rsid w:val="00ED7B95"/>
    <w:rsid w:val="00ED7EDE"/>
    <w:rsid w:val="00EE1041"/>
    <w:rsid w:val="00EE19AC"/>
    <w:rsid w:val="00EE2097"/>
    <w:rsid w:val="00EE24DC"/>
    <w:rsid w:val="00EE3C69"/>
    <w:rsid w:val="00EE4FD2"/>
    <w:rsid w:val="00EE5350"/>
    <w:rsid w:val="00EF0B12"/>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0AFD"/>
    <w:rsid w:val="00F41CEE"/>
    <w:rsid w:val="00F43355"/>
    <w:rsid w:val="00F43576"/>
    <w:rsid w:val="00F43BB6"/>
    <w:rsid w:val="00F45F37"/>
    <w:rsid w:val="00F46329"/>
    <w:rsid w:val="00F466F6"/>
    <w:rsid w:val="00F47A52"/>
    <w:rsid w:val="00F47B28"/>
    <w:rsid w:val="00F52CAE"/>
    <w:rsid w:val="00F530C1"/>
    <w:rsid w:val="00F5453F"/>
    <w:rsid w:val="00F5623A"/>
    <w:rsid w:val="00F6011D"/>
    <w:rsid w:val="00F604F0"/>
    <w:rsid w:val="00F60DF4"/>
    <w:rsid w:val="00F6692B"/>
    <w:rsid w:val="00F66E4B"/>
    <w:rsid w:val="00F6742B"/>
    <w:rsid w:val="00F7013C"/>
    <w:rsid w:val="00F70AF9"/>
    <w:rsid w:val="00F70E84"/>
    <w:rsid w:val="00F71574"/>
    <w:rsid w:val="00F72477"/>
    <w:rsid w:val="00F734D7"/>
    <w:rsid w:val="00F73CD5"/>
    <w:rsid w:val="00F75E2F"/>
    <w:rsid w:val="00F77E1E"/>
    <w:rsid w:val="00F81318"/>
    <w:rsid w:val="00F81923"/>
    <w:rsid w:val="00F824AE"/>
    <w:rsid w:val="00F8387E"/>
    <w:rsid w:val="00F83C23"/>
    <w:rsid w:val="00F83E34"/>
    <w:rsid w:val="00F86F02"/>
    <w:rsid w:val="00F92563"/>
    <w:rsid w:val="00F927AE"/>
    <w:rsid w:val="00F93693"/>
    <w:rsid w:val="00F95DF6"/>
    <w:rsid w:val="00F963F8"/>
    <w:rsid w:val="00F9690D"/>
    <w:rsid w:val="00F96D68"/>
    <w:rsid w:val="00F97E5B"/>
    <w:rsid w:val="00F97E66"/>
    <w:rsid w:val="00F97E6D"/>
    <w:rsid w:val="00FA2470"/>
    <w:rsid w:val="00FA3617"/>
    <w:rsid w:val="00FA36AD"/>
    <w:rsid w:val="00FA3D98"/>
    <w:rsid w:val="00FA4CBB"/>
    <w:rsid w:val="00FA6822"/>
    <w:rsid w:val="00FA6B13"/>
    <w:rsid w:val="00FA78EA"/>
    <w:rsid w:val="00FB0436"/>
    <w:rsid w:val="00FB1E59"/>
    <w:rsid w:val="00FB1F1D"/>
    <w:rsid w:val="00FB2AD7"/>
    <w:rsid w:val="00FB334A"/>
    <w:rsid w:val="00FB402B"/>
    <w:rsid w:val="00FB705A"/>
    <w:rsid w:val="00FB7B99"/>
    <w:rsid w:val="00FC0043"/>
    <w:rsid w:val="00FC1AE4"/>
    <w:rsid w:val="00FC4A77"/>
    <w:rsid w:val="00FC4AD8"/>
    <w:rsid w:val="00FC561A"/>
    <w:rsid w:val="00FC775D"/>
    <w:rsid w:val="00FC781D"/>
    <w:rsid w:val="00FC7DE1"/>
    <w:rsid w:val="00FD0052"/>
    <w:rsid w:val="00FD140C"/>
    <w:rsid w:val="00FD1D81"/>
    <w:rsid w:val="00FD1EDE"/>
    <w:rsid w:val="00FD3AFA"/>
    <w:rsid w:val="00FD3C52"/>
    <w:rsid w:val="00FD3E76"/>
    <w:rsid w:val="00FD4CFE"/>
    <w:rsid w:val="00FD54BE"/>
    <w:rsid w:val="00FD5FE2"/>
    <w:rsid w:val="00FD64B1"/>
    <w:rsid w:val="00FE34CD"/>
    <w:rsid w:val="00FE3BD8"/>
    <w:rsid w:val="00FE4C31"/>
    <w:rsid w:val="00FE5E78"/>
    <w:rsid w:val="00FE6342"/>
    <w:rsid w:val="00FF249F"/>
    <w:rsid w:val="00FF53DE"/>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316ED3"/>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503BF1"/>
    <w:pPr>
      <w:tabs>
        <w:tab w:val="right" w:leader="dot" w:pos="9350"/>
      </w:tabs>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29255926">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6930892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s://security.berkeley.edu/resources/phish-tank" TargetMode="External"/><Relationship Id="rId21" Type="http://schemas.openxmlformats.org/officeDocument/2006/relationships/hyperlink" Target="https://www.cisecurity.org/control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ools.ietf.org/html/rfc4949" TargetMode="External"/><Relationship Id="rId25" Type="http://schemas.openxmlformats.org/officeDocument/2006/relationships/hyperlink" Target="https://www.nist.gov/video/youve-been-phishe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vlpubs.nist.gov/nistpubs/SpecialPublications/NIST.SP.800-171r2.pdf" TargetMode="External"/><Relationship Id="rId20" Type="http://schemas.openxmlformats.org/officeDocument/2006/relationships/hyperlink" Target="https://www.cisecurity.org/" TargetMode="External"/><Relationship Id="rId29" Type="http://schemas.openxmlformats.org/officeDocument/2006/relationships/hyperlink" Target="https://fedvte.usalearning.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www.youtube.com/watch?v=QUgLxll_P58" TargetMode="External"/><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csrc.nist.gov/glossary/term/breach" TargetMode="External"/><Relationship Id="rId23" Type="http://schemas.openxmlformats.org/officeDocument/2006/relationships/hyperlink" Target="https://csrc.nist.gov/publications/detail/sp/800-50/final" TargetMode="External"/><Relationship Id="rId28" Type="http://schemas.openxmlformats.org/officeDocument/2006/relationships/hyperlink" Target="https://www.cisecurity.org/ms-isac/ms-isac-toolkit" TargetMode="External"/><Relationship Id="rId36" Type="http://schemas.openxmlformats.org/officeDocument/2006/relationships/customXml" Target="../customXml/item3.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cis-controls-list/" TargetMode="External"/><Relationship Id="rId31" Type="http://schemas.openxmlformats.org/officeDocument/2006/relationships/hyperlink" Target="https://www.youtube.com/user/StaySafeOnline1/videos"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csrc.nist.gov/glossary/term/asset" TargetMode="External"/><Relationship Id="rId22" Type="http://schemas.openxmlformats.org/officeDocument/2006/relationships/hyperlink" Target="https://www.sans.org/newsletters/ouch/" TargetMode="External"/><Relationship Id="rId27" Type="http://schemas.openxmlformats.org/officeDocument/2006/relationships/hyperlink" Target="https://learn.cisecurity.org/ms-isac-subscription" TargetMode="External"/><Relationship Id="rId30" Type="http://schemas.openxmlformats.org/officeDocument/2006/relationships/hyperlink" Target="https://staysafeonline.org/" TargetMode="Externa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csrc.nist.gov/publications/detail/sp/800-50/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customXml/itemProps2.xml><?xml version="1.0" encoding="utf-8"?>
<ds:datastoreItem xmlns:ds="http://schemas.openxmlformats.org/officeDocument/2006/customXml" ds:itemID="{F9712CAC-6C06-4DEB-8F59-84CC0D6CF8EE}"/>
</file>

<file path=customXml/itemProps3.xml><?xml version="1.0" encoding="utf-8"?>
<ds:datastoreItem xmlns:ds="http://schemas.openxmlformats.org/officeDocument/2006/customXml" ds:itemID="{1D6C90D2-52CF-4BE1-BED4-25CBB79D7400}"/>
</file>

<file path=customXml/itemProps4.xml><?xml version="1.0" encoding="utf-8"?>
<ds:datastoreItem xmlns:ds="http://schemas.openxmlformats.org/officeDocument/2006/customXml" ds:itemID="{B286E9E6-5132-49F7-BDA7-2BC117992E82}"/>
</file>

<file path=docProps/app.xml><?xml version="1.0" encoding="utf-8"?>
<Properties xmlns="http://schemas.openxmlformats.org/officeDocument/2006/extended-properties" xmlns:vt="http://schemas.openxmlformats.org/officeDocument/2006/docPropsVTypes">
  <Template>Normal.dotm</Template>
  <TotalTime>8</TotalTime>
  <Pages>17</Pages>
  <Words>4713</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Brian Murray</cp:lastModifiedBy>
  <cp:revision>3</cp:revision>
  <cp:lastPrinted>2020-11-07T18:21:00Z</cp:lastPrinted>
  <dcterms:created xsi:type="dcterms:W3CDTF">2023-03-22T12:46:00Z</dcterms:created>
  <dcterms:modified xsi:type="dcterms:W3CDTF">2023-03-24T12:34:00Z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