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security guarantees are probabilistic rather than mathematical, meaning no formal proof of security boundary integrity can be provided.</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mathematical invariants that cannot be circumvented by adversarial optimization; (b) scales the cost of adversarial behavior superexponentially with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imposed on a requesting entity is a superexponential function of its hyperbolic distance from a trusted operational center, thereby creating a geometric enforcement barrier that renders adversarial operation computationally infeasible as the entity approaches the manifold boundary.</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conjunction of five predicates -- tongue membership, geometric ring position, monotone descent path history, quorum approval, and AEAD cryptographic verification -- wherein failure of any predicate produces cryptographically random output of identical length to a successful decryption, rendering the failure mode indistinguishable from success to an external observer.</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makes adversarial deviations computationally prohibitive.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 output indistinguishable from valid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Harmonic wall cost function H(d,R) = R^(d^2) plotted on a log scale as verification cost versus hyperbolic distance d for base R = e, showing superexponential growth with the critical 128-bit security threshold at d_crit approximately equals 9.42.</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output indistinguishable from a successful decryption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unique distance function satisfying the axioms of hyperbolic geometry in this model. This distance is a mathematical invariant -- it is determined by the metric tensor and cannot be circumvented or approximated by adversarial means.</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The security property that any authorization failure produces output that is computationally indistinguishable from a successful authorization output. Specifically, upon failure of any predicate during Sacred Egg hatching, the system generates cryptographically random bytes of identical length to the true plaintext, using crypto.getRandomValues() or equivalent CSPRNG.</w:t>
      </w:r>
    </w:p>
    <w:p>
      <w:pPr>
        <w:spacing w:before="0" w:after="120" w:line="360" w:lineRule="exact"/>
        <w:ind w:firstLine="720"/>
      </w:pPr>
      <w:r>
        <w:rPr>
          <w:rFonts w:ascii="Times New Roman" w:hAnsi="Times New Roman"/>
          <w:b w:val="0"/>
          <w:sz w:val="24"/>
        </w:rPr>
        <w:t>"Harmonic Wall" or "Harmonic Scaling": The superexponential cost function H(d, R) = R^(d^2) where d is the hyperbolic distance from a trusted center and R &gt; 1 is the base parameter. This function creates a "vertical wall" effect: the cost is modest for small d (H(1) = 2.72 for R = e) but becomes computationally infeasible for large d (H(5) = 7.2 x 10^10 for R = e), with the critical 128-bit security threshold at d_crit = sqrt(128 * ln(2)) approximately equals 9.42.</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guarantee the system's security properties.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but does not affect the security properties: the Harmonic Wall (Layer 12) already imposes superexponential cost for points approaching the boundary.</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THE VERTICAL WALL (Axiom A12)</w:t>
      </w:r>
    </w:p>
    <w:p>
      <w:pPr>
        <w:spacing w:before="0" w:after="120" w:line="360" w:lineRule="exact"/>
        <w:ind w:firstLine="720"/>
      </w:pPr>
      <w:r>
        <w:rPr>
          <w:rFonts w:ascii="Times New Roman" w:hAnsi="Times New Roman"/>
          <w:b w:val="0"/>
          <w:sz w:val="24"/>
        </w:rPr>
        <w:t>Layer 12 applies the Harmonic Wall function to convert hyperbolic distance into verification cost:</w:t>
      </w:r>
    </w:p>
    <w:p>
      <w:pPr>
        <w:spacing w:before="0" w:after="120" w:line="360" w:lineRule="exact"/>
        <w:ind w:firstLine="720"/>
      </w:pPr>
      <w:r>
        <w:rPr>
          <w:rFonts w:ascii="Times New Roman" w:hAnsi="Times New Roman"/>
          <w:b w:val="0"/>
          <w:sz w:val="24"/>
        </w:rPr>
        <w:t>This is the central enforcement mechanism of the invention. The superexponential growth of R^(d^2) as a function of 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manageable cost to impossible cost over a narrow range of d. Between d = 2 and d = 4, the cost increases by a factor of approximately 163,000. This creates a sharp, well-defined security boundary that is continuously differentiable (no threshold artifacts) yet practically impenetrable.</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This bounded form maps the superexponential wall into a reciprocal form suitable for IEEE 754 floating-point arithmetic while preserving the qualitative property that large distances produce large risk amplification.</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Any deviation from perfect alignment (d* = 0, T = 1, I = 1) guarantees Risk' &gt; B. There is no "free lunch" -- every deviation carries a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guarantee that the Langues Metric is a well-behaved, strictly increasing cost function that becomes exponentially more expensive as any deviation increases, with bounded oscillation providing temporal unpredictability.</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produces cryptographically random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is essential because it eliminates the information-theoretic side channel that traditional error messages create. An attacker who can distinguish "wrong password" from "wrong username" gains information that reduces the search space; fail-to-noise provides zero bits of distinguishing information.</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br/>
        <w:t>2. High detection rate for compromised agents: A compromised agent that has been adversarially modified will attempt to compute the impossible result, revealing its corruption.</w:t>
        <w:br/>
        <w:t>3. No information leakage: The trap challenges are indistinguishable from normal computational requests until the agent attempts to solve them, preventing adversaries from pre-filtering traps.</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Overall: 71% of attacks are blocked (cannot proceed), 29% are detected (proceed but identified). 100% detection rate across all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Every claim in this patent application is backed by working, tested code demonstrating reduction to practice.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H(d, R) = R^(d^2)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increases superexponentially as the embedded point approaches a boundary of the open unit ball.</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or (ii) a bounded safety-score function of the form H = 1 / (1 + d + 2*pd), where pd is a phase-deviation term.</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axis has a predetermined weight equal to a power of the golden ratio, phi^k for k = 0 through 5, with phi approximately equal to 1.618.</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indistinguishable from a valid output to an observer not holding the governance keys,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all of N predetermined predicates are satisfied, the predicates comprising at least: a semantic predicate; a geometric predicate measuring distance from a known safe region; an execution-path predicate verifying that the container was reached via an authorized call chain; a quorum predicate requiring a threshold number of approving agents; and a cryptographic predicate verifying a post-quantum signature; wherein failure of any predicate returns a noise output indistinguishable from a successfully-unlocked container.</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every output path -- both a successful unlock and a failure of any predicate -- produces an output indistinguishable, to an observer not holding the keys for all of the predicates, from any other output path.</w:t>
      </w:r>
    </w:p>
    <w:p>
      <w:pPr>
        <w:spacing w:before="120" w:after="120" w:line="360" w:lineRule="exact"/>
        <w:ind w:left="0" w:firstLine="0"/>
      </w:pPr>
      <w:r>
        <w:rPr>
          <w:rFonts w:ascii="Times New Roman" w:hAnsi="Times New Roman"/>
          <w:b w:val="0"/>
          <w:sz w:val="24"/>
        </w:rPr>
        <w:t>23. The system of claim 9, wherein the system maintains a swarm trust score for each participating governance agent, updates the trust score as tau_new = alpha * tau_old + (1 - alpha) * v, where v is a validity factor for a most-recent contribution and alpha is a smoothing constant, and automatically self-excludes from the governance decision any agent whose trust score falls below a participation threshold, thereby producing a Byzantine-fault-tolerant swarm consensus without a central coordinator.</w:t>
      </w:r>
    </w:p>
    <w:p>
      <w:pPr>
        <w:spacing w:before="120" w:after="120" w:line="360" w:lineRule="exact"/>
        <w:ind w:left="0" w:firstLine="0"/>
      </w:pPr>
      <w:r>
        <w:rPr>
          <w:rFonts w:ascii="Times New Roman" w:hAnsi="Times New Roman"/>
          <w:b w:val="0"/>
          <w:sz w:val="24"/>
        </w:rPr>
        <w:t>24. The method of claim 1, further comprising applying a Hopfield energy function E(c) = -1/2 * (c')^T * W * c' + theta^T * c' to the context representation c, wherein W encodes patterns of known legitimate operations learned offline; classifying the action as novel-intent when E(c) is above a threshold relative to trained patterns; and incorporating the novel-intent indicator into the composite risk value.</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an exponential authorization cost that makes adversarial deviations computationally prohibitive. Governance decisions -- allow, quarantine, escalate, or deny -- combine the authorization cost with bijective tamper detection, instruction-safety pattern matching, and spectral coherence signals. Denied actions return deterministic pseudorandom noise indistinguishable from valid output.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