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720"/>
      </w:pP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720"/>
      </w:pP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720"/>
      </w:pP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720"/>
      </w:pP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before="0" w:after="120" w:line="360" w:lineRule="exact"/>
        <w:ind w:firstLine="720"/>
      </w:pP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720"/>
      </w:pP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720"/>
      </w:pP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720"/>
      </w:pPr>
      <w:r>
        <w:rPr>
          <w:rFonts w:ascii="Times New Roman" w:hAnsi="Times New Roman"/>
          <w:b w:val="0"/>
          <w:sz w:val="24"/>
        </w:rP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720"/>
      </w:pPr>
      <w:r>
        <w:rPr>
          <w:rFonts w:ascii="Times New Roman" w:hAnsi="Times New Roman"/>
          <w:b w:val="0"/>
          <w:sz w:val="24"/>
        </w:rP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before="0" w:after="120" w:line="360" w:lineRule="exact"/>
        <w:ind w:firstLine="720"/>
      </w:pP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720"/>
      </w:pPr>
      <w:r>
        <w:rPr>
          <w:rFonts w:ascii="Times New Roman" w:hAnsi="Times New Roman"/>
          <w:b w:val="0"/>
          <w:sz w:val="24"/>
        </w:rP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before="0" w:after="120" w:line="360" w:lineRule="exact"/>
        <w:ind w:firstLine="720"/>
      </w:pP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720"/>
      </w:pP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720"/>
      </w:pP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720"/>
      </w:pP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increases governance severity as measured deviation increases. A four-tier decision gate routes proposed actions to allow, review, quarantine, or deny outcomes.</w:t>
      </w:r>
    </w:p>
    <w:p>
      <w:pPr>
        <w:spacing w:before="0" w:after="120" w:line="360" w:lineRule="exact"/>
        <w:ind w:firstLine="720"/>
      </w:pP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720"/>
      </w:pP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720"/>
      </w:pP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720"/>
      </w:pPr>
      <w:r>
        <w:rPr>
          <w:rFonts w:ascii="Times New Roman" w:hAnsi="Times New Roman"/>
          <w:b w:val="0"/>
          <w:sz w:val="24"/>
        </w:rPr>
        <w:t>Preferred embodiments include: session-adaptive centroid accumulation; a multi-layer pre-filter stack ordered cheapest-reject-first; a fail-to-noise response returning deterministic pseudorandom-looking audit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pP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pPr>
      <w:r>
        <w:rPr>
          <w:rFonts w:ascii="Times New Roman" w:hAnsi="Times New Roman"/>
          <w:b/>
          <w:sz w:val="24"/>
        </w:rPr>
        <w:t>FIG. 2—</w:t>
      </w:r>
      <w:r>
        <w:rPr>
          <w:rFonts w:ascii="Times New Roman" w:hAnsi="Times New Roman"/>
          <w:b w:val="0"/>
          <w:sz w:val="24"/>
        </w:rPr>
        <w:t>Alternative harmonic cost functions plotted against measured drift, including H(d,R) = R^(d^2), a bounded reciprocal score 1/(1+d+2*pd), and a clamped RuntimeGate cost pi^(phi*min(d*,d_max)).</w:t>
      </w:r>
    </w:p>
    <w:p>
      <w:pPr>
        <w:spacing w:before="60" w:after="60" w:line="360" w:lineRule="exact"/>
        <w:ind w:left="0"/>
      </w:pP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pP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pP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or pseudorandom-looking audit output.</w:t>
      </w:r>
    </w:p>
    <w:p>
      <w:pPr>
        <w:spacing w:before="60" w:after="60" w:line="360" w:lineRule="exact"/>
        <w:ind w:left="0"/>
      </w:pP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pP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pP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pP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720"/>
      </w:pP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720"/>
      </w:pPr>
      <w:r>
        <w:rPr>
          <w:rFonts w:ascii="Times New Roman" w:hAnsi="Times New Roman"/>
          <w:b w:val="0"/>
          <w:sz w:val="24"/>
        </w:rPr>
        <w:t>The following definitions apply throughout this specification:</w:t>
      </w:r>
    </w:p>
    <w:p>
      <w:pPr>
        <w:spacing w:before="0" w:after="120" w:line="360" w:lineRule="exact"/>
        <w:ind w:firstLine="720"/>
      </w:pP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720"/>
      </w:pPr>
      <w:r>
        <w:rPr>
          <w:rFonts w:ascii="Times New Roman" w:hAnsi="Times New Roman"/>
          <w:b w:val="0"/>
          <w:sz w:val="24"/>
        </w:rP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before="0" w:after="120" w:line="360" w:lineRule="exact"/>
        <w:ind w:firstLine="720"/>
      </w:pP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720"/>
      </w:pP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720"/>
      </w:pP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720"/>
      </w:pP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720"/>
      </w:pP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720"/>
      </w:pP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720"/>
      </w:pPr>
      <w:r>
        <w:rPr>
          <w:rFonts w:ascii="Times New Roman" w:hAnsi="Times New Roman"/>
          <w:b w:val="0"/>
          <w:sz w:val="24"/>
        </w:rP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before="0" w:after="120" w:line="360" w:lineRule="exact"/>
        <w:ind w:firstLine="720"/>
      </w:pPr>
      <w:r>
        <w:rPr>
          <w:rFonts w:ascii="Times New Roman" w:hAnsi="Times New Roman"/>
          <w:b w:val="0"/>
          <w:sz w:val="24"/>
        </w:rP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before="0" w:after="120" w:line="360" w:lineRule="exact"/>
        <w:ind w:firstLine="720"/>
      </w:pP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720"/>
      </w:pP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720"/>
      </w:pP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720"/>
      </w:pP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720"/>
      </w:pP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720"/>
      </w:pP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720"/>
      </w:pP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720"/>
      </w:pP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720"/>
      </w:pP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720"/>
      </w:pP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720"/>
      </w:pPr>
      <w:r>
        <w:rPr>
          <w:rFonts w:ascii="Times New Roman" w:hAnsi="Times New Roman"/>
          <w:b w:val="0"/>
          <w:sz w:val="24"/>
        </w:rPr>
        <w:t>The pipeline dependency graph is:</w:t>
      </w:r>
    </w:p>
    <w:p>
      <w:pPr>
        <w:spacing w:before="0" w:after="120" w:line="360" w:lineRule="exact"/>
        <w:ind w:firstLine="720"/>
      </w:pPr>
      <w:r>
        <w:rPr>
          <w:rFonts w:ascii="Times New Roman" w:hAnsi="Times New Roman"/>
          <w:b w:val="0"/>
          <w:sz w:val="24"/>
        </w:rP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720"/>
      </w:pP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720"/>
      </w:pP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720"/>
      </w:pP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720"/>
      </w:pP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720"/>
      </w:pPr>
      <w:r>
        <w:rPr>
          <w:rFonts w:ascii="Times New Roman" w:hAnsi="Times New Roman"/>
          <w:b w:val="0"/>
          <w:sz w:val="24"/>
        </w:rPr>
        <w:t>Layer 2 performs an isometric embedding from C^D to R^(2D) by concatenating the real and imaginary parts:</w:t>
      </w:r>
    </w:p>
    <w:p>
      <w:pPr>
        <w:spacing w:before="0" w:after="120" w:line="360" w:lineRule="exact"/>
        <w:ind w:firstLine="720"/>
      </w:pP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720"/>
      </w:pP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720"/>
      </w:pPr>
      <w:r>
        <w:rPr>
          <w:rFonts w:ascii="Times New Roman" w:hAnsi="Times New Roman"/>
          <w:b w:val="0"/>
          <w:sz w:val="24"/>
        </w:rPr>
        <w:t>Layer 3 applies a symmetric positive-definite (SPD) weighting matrix G to the realified vector:</w:t>
      </w:r>
    </w:p>
    <w:p>
      <w:pPr>
        <w:spacing w:before="0" w:after="120" w:line="360" w:lineRule="exact"/>
        <w:ind w:firstLine="720"/>
      </w:pPr>
      <w:r>
        <w:rPr>
          <w:rFonts w:ascii="Times New Roman" w:hAnsi="Times New Roman"/>
          <w:b w:val="0"/>
          <w:sz w:val="24"/>
        </w:rPr>
        <w:t>where G = diag(g_1, ..., g_n) is a diagonal SPD matrix and G^(1/2) = diag(sqrt(g_1), ..., sqrt(g_n)) is its principal square root.</w:t>
      </w:r>
    </w:p>
    <w:p>
      <w:pPr>
        <w:spacing w:before="0" w:after="120" w:line="360" w:lineRule="exact"/>
        <w:ind w:firstLine="720"/>
      </w:pPr>
      <w:r>
        <w:rPr>
          <w:rFonts w:ascii="Times New Roman" w:hAnsi="Times New Roman"/>
          <w:b w:val="0"/>
          <w:sz w:val="24"/>
        </w:rPr>
        <w:t>In the preferred embodiment, the diagonal entries follow a golden-ratio progression:</w:t>
      </w:r>
    </w:p>
    <w:p>
      <w:pPr>
        <w:spacing w:before="0" w:after="120" w:line="360" w:lineRule="exact"/>
        <w:ind w:firstLine="720"/>
      </w:pP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720"/>
      </w:pP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720"/>
      </w:pP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720"/>
      </w:pPr>
      <w:r>
        <w:rPr>
          <w:rFonts w:ascii="Times New Roman" w:hAnsi="Times New Roman"/>
          <w:b w:val="0"/>
          <w:sz w:val="24"/>
        </w:rPr>
        <w:t>Layer 4 maps the weighted real vector into the open unit ball B^n using a tanh-normalized projection:</w:t>
      </w:r>
    </w:p>
    <w:p>
      <w:pPr>
        <w:spacing w:before="0" w:after="120" w:line="360" w:lineRule="exact"/>
        <w:ind w:firstLine="720"/>
      </w:pP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720"/>
      </w:pPr>
      <w:r>
        <w:rPr>
          <w:rFonts w:ascii="Times New Roman" w:hAnsi="Times New Roman"/>
          <w:b w:val="0"/>
          <w:sz w:val="24"/>
        </w:rPr>
        <w:t>An epsilon-clamping operation Pi_epsilon is then applied:</w:t>
      </w:r>
    </w:p>
    <w:p>
      <w:pPr>
        <w:spacing w:before="0" w:after="120" w:line="360" w:lineRule="exact"/>
        <w:ind w:firstLine="720"/>
      </w:pP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720"/>
      </w:pPr>
      <w:r>
        <w:rPr>
          <w:rFonts w:ascii="Times New Roman" w:hAnsi="Times New Roman"/>
          <w:b w:val="0"/>
          <w:sz w:val="24"/>
        </w:rPr>
        <w:t>The clamping is essential for computational stability. Layer 12 then maps the resulting measured drift to a governance cost or safety score using one of the disclosed nonlinear cost embodiments.</w:t>
      </w:r>
    </w:p>
    <w:p>
      <w:pPr>
        <w:spacing w:before="0" w:after="120" w:line="360" w:lineRule="exact"/>
        <w:ind w:firstLine="720"/>
      </w:pP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720"/>
      </w:pPr>
      <w:r>
        <w:rPr>
          <w:rFonts w:ascii="Times New Roman" w:hAnsi="Times New Roman"/>
          <w:b w:val="0"/>
          <w:sz w:val="24"/>
        </w:rPr>
        <w:t>Layer 5 computes the hyperbolic distance between two points in the Poincare ball:</w:t>
      </w:r>
    </w:p>
    <w:p>
      <w:pPr>
        <w:spacing w:before="0" w:after="120" w:line="360" w:lineRule="exact"/>
        <w:ind w:firstLine="720"/>
      </w:pP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720"/>
      </w:pP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720"/>
      </w:pP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720"/>
      </w:pP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720"/>
      </w:pP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720"/>
      </w:pP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720"/>
      </w:pP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720"/>
      </w:pP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720"/>
      </w:pP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720"/>
      </w:pP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720"/>
      </w:pPr>
      <w:r>
        <w:rPr>
          <w:rFonts w:ascii="Times New Roman" w:hAnsi="Times New Roman"/>
          <w:b w:val="0"/>
          <w:sz w:val="24"/>
        </w:rPr>
        <w:t>In a preferred variant, the breathing factor includes an oscillatory component:</w:t>
      </w:r>
    </w:p>
    <w:p>
      <w:pPr>
        <w:spacing w:before="0" w:after="120" w:line="360" w:lineRule="exact"/>
        <w:ind w:firstLine="720"/>
      </w:pP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720"/>
      </w:pP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720"/>
      </w:pPr>
      <w:r>
        <w:rPr>
          <w:rFonts w:ascii="Times New Roman" w:hAnsi="Times New Roman"/>
          <w:b w:val="0"/>
          <w:sz w:val="24"/>
        </w:rPr>
        <w:t>Layer 7 applies a phase transform comprising Mobius addition followed by orthogonal rotation:</w:t>
      </w:r>
    </w:p>
    <w:p>
      <w:pPr>
        <w:spacing w:before="0" w:after="120" w:line="360" w:lineRule="exact"/>
        <w:ind w:firstLine="720"/>
      </w:pP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720"/>
      </w:pPr>
      <w:r>
        <w:rPr>
          <w:rFonts w:ascii="Times New Roman" w:hAnsi="Times New Roman"/>
          <w:b w:val="0"/>
          <w:sz w:val="24"/>
        </w:rPr>
        <w:t>The phase transform is an isometry: it preserves all hyperbolic distances exactly:</w:t>
      </w:r>
    </w:p>
    <w:p>
      <w:pPr>
        <w:spacing w:before="0" w:after="120" w:line="360" w:lineRule="exact"/>
        <w:ind w:firstLine="720"/>
      </w:pPr>
      <w:r>
        <w:rPr>
          <w:rFonts w:ascii="Times New Roman" w:hAnsi="Times New Roman"/>
          <w:b w:val="0"/>
          <w:sz w:val="24"/>
        </w:rPr>
        <w:t>This preservation follows from the standard gyrovector-space formulation of</w:t>
        <w:br/>
        <w:t>Poincare-ball isometries (Ungar, 2008). The isometry property means that the</w:t>
        <w:br/>
        <w:t>phase transform moves points within the Poincare ball without changing their</w:t>
        <w:br/>
        <w:t>relative distances under the stated metric.</w:t>
      </w:r>
    </w:p>
    <w:p>
      <w:pPr>
        <w:spacing w:before="0" w:after="120" w:line="360" w:lineRule="exact"/>
        <w:ind w:firstLine="720"/>
      </w:pP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720"/>
      </w:pPr>
      <w:r>
        <w:rPr>
          <w:rFonts w:ascii="Times New Roman" w:hAnsi="Times New Roman"/>
          <w:b w:val="0"/>
          <w:sz w:val="24"/>
        </w:rPr>
        <w:t>The translation vector a(t) is parameterized as:</w:t>
      </w:r>
    </w:p>
    <w:p>
      <w:pPr>
        <w:spacing w:before="0" w:after="120" w:line="360" w:lineRule="exact"/>
        <w:ind w:firstLine="720"/>
      </w:pP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720"/>
      </w:pP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720"/>
      </w:pP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720"/>
      </w:pP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720"/>
      </w:pP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720"/>
      </w:pP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720"/>
      </w:pPr>
      <w:r>
        <w:rPr>
          <w:rFonts w:ascii="Times New Roman" w:hAnsi="Times New Roman"/>
          <w:b w:val="0"/>
          <w:sz w:val="24"/>
        </w:rPr>
        <w:t>Layer 9 measures the frequency-domain stability of the embedded signal using the FFT high-frequency ratio:</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720"/>
      </w:pP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720"/>
      </w:pP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720"/>
      </w:pP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720"/>
      </w:pP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720"/>
      </w:pP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720"/>
      </w:pP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720"/>
      </w:pP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720"/>
      </w:pPr>
      <w:r>
        <w:rPr>
          <w:rFonts w:ascii="Times New Roman" w:hAnsi="Times New Roman"/>
          <w:b w:val="0"/>
          <w:sz w:val="24"/>
        </w:rPr>
        <w:t>Layer 11 aggregates three temporal components into a single distance measure using weighted quadrature:</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720"/>
      </w:pP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720"/>
      </w:pP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NONLINEAR GOVERNANCE COST (Axiom A12)</w:t>
      </w:r>
    </w:p>
    <w:p>
      <w:pPr>
        <w:spacing w:before="0" w:after="120" w:line="360" w:lineRule="exact"/>
        <w:ind w:firstLine="720"/>
      </w:pPr>
      <w:r>
        <w:rPr>
          <w:rFonts w:ascii="Times New Roman" w:hAnsi="Times New Roman"/>
          <w:b w:val="0"/>
          <w:sz w:val="24"/>
        </w:rPr>
        <w:t>Layer 12 applies a harmonic scaling function to convert measured drift or hyperbolic distance into verification cost or safety score. Several embodiments are supported:</w:t>
      </w:r>
    </w:p>
    <w:p>
      <w:pPr>
        <w:spacing w:before="0" w:after="120" w:line="360" w:lineRule="exact"/>
        <w:ind w:firstLine="720"/>
      </w:pPr>
      <w:r>
        <w:rPr>
          <w:rFonts w:ascii="Times New Roman" w:hAnsi="Times New Roman"/>
          <w:b w:val="0"/>
          <w:sz w:val="24"/>
        </w:rPr>
        <w:t>The first embodiment grows superlinearly in the exponent as a function of d and creates a "vertical wall" effect:</w:t>
      </w:r>
    </w:p>
    <w:p>
      <w:pPr>
        <w:spacing w:before="0" w:after="120" w:line="360" w:lineRule="exact"/>
        <w:ind w:firstLine="720"/>
      </w:pP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720"/>
      </w:pPr>
      <w:r>
        <w:rPr>
          <w:rFonts w:ascii="Times New Roman" w:hAnsi="Times New Roman"/>
          <w:b w:val="0"/>
          <w:sz w:val="24"/>
        </w:rP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before="0" w:after="120" w:line="360" w:lineRule="exact"/>
        <w:ind w:firstLine="720"/>
      </w:pPr>
      <w:r>
        <w:rPr>
          <w:rFonts w:ascii="Times New Roman" w:hAnsi="Times New Roman"/>
          <w:b w:val="0"/>
          <w:sz w:val="24"/>
        </w:rPr>
        <w:t>In the preferred production embodiment, a bounded variant is used for numerical stability:</w:t>
      </w:r>
    </w:p>
    <w:p>
      <w:pPr>
        <w:spacing w:before="0" w:after="120" w:line="360" w:lineRule="exact"/>
        <w:ind w:firstLine="720"/>
      </w:pPr>
      <w:r>
        <w:rPr>
          <w:rFonts w:ascii="Times New Roman" w:hAnsi="Times New Roman"/>
          <w:b w:val="0"/>
          <w:sz w:val="24"/>
        </w:rPr>
        <w:t>where pd is the phase deviation. The risk amplification is then computed as:</w:t>
      </w:r>
    </w:p>
    <w:p>
      <w:pPr>
        <w:spacing w:before="0" w:after="120" w:line="360" w:lineRule="exact"/>
        <w:ind w:firstLine="720"/>
      </w:pPr>
      <w:r>
        <w:rPr>
          <w:rFonts w:ascii="Times New Roman" w:hAnsi="Times New Roman"/>
          <w:b w:val="0"/>
          <w:sz w:val="24"/>
        </w:rP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before="0" w:after="120" w:line="360" w:lineRule="exact"/>
        <w:ind w:firstLine="720"/>
      </w:pPr>
      <w:r>
        <w:rPr>
          <w:rFonts w:ascii="Times New Roman" w:hAnsi="Times New Roman"/>
          <w:b w:val="0"/>
          <w:sz w:val="24"/>
        </w:rPr>
        <w:t>An additional security-bits formulation is provided:</w:t>
      </w:r>
    </w:p>
    <w:p>
      <w:pPr>
        <w:spacing w:before="0" w:after="120" w:line="360" w:lineRule="exact"/>
        <w:ind w:firstLine="720"/>
      </w:pP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720"/>
      </w:pP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720"/>
      </w:pPr>
      <w:r>
        <w:rPr>
          <w:rFonts w:ascii="Times New Roman" w:hAnsi="Times New Roman"/>
          <w:b w:val="0"/>
          <w:sz w:val="24"/>
        </w:rPr>
        <w:t>The decision function partitions the risk domain into three regions:</w:t>
      </w:r>
    </w:p>
    <w:p>
      <w:pPr>
        <w:spacing w:before="0" w:after="120" w:line="360" w:lineRule="exact"/>
        <w:ind w:firstLine="720"/>
      </w:pPr>
      <w:r>
        <w:rPr>
          <w:rFonts w:ascii="Times New Roman" w:hAnsi="Times New Roman"/>
          <w:b w:val="0"/>
          <w:sz w:val="24"/>
        </w:rPr>
        <w:t>where theta_1 = 0.33 and theta_2 = 0.67 are default threshold values.</w:t>
      </w:r>
    </w:p>
    <w:p>
      <w:pPr>
        <w:spacing w:before="0" w:after="120" w:line="360" w:lineRule="exact"/>
        <w:ind w:firstLine="720"/>
      </w:pP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720"/>
      </w:pP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720"/>
      </w:pPr>
      <w:r>
        <w:rPr>
          <w:rFonts w:ascii="Times New Roman" w:hAnsi="Times New Roman"/>
          <w:b w:val="0"/>
          <w:sz w:val="24"/>
        </w:rPr>
        <w:t>Corollary (North-Star Enforcement): Under the stated risk function, deviation from perfect alignment (d* = 0, T = 1, I = 1) increases Risk' above the baseline B. Thus measured deviation contributes to the governance cost.</w:t>
      </w:r>
    </w:p>
    <w:p>
      <w:pPr>
        <w:spacing w:before="0" w:after="120" w:line="360" w:lineRule="exact"/>
        <w:ind w:firstLine="720"/>
      </w:pPr>
      <w:r>
        <w:rPr>
          <w:rFonts w:ascii="Times New Roman" w:hAnsi="Times New Roman"/>
          <w:b w:val="0"/>
          <w:sz w:val="24"/>
        </w:rPr>
        <w:t>In the four-tier governance variant, an additional ESCALATE level is inserted between QUARANTINE and DENY for fleet/swarm management scenarios.</w:t>
      </w:r>
    </w:p>
    <w:p>
      <w:pPr>
        <w:spacing w:before="0" w:after="120" w:line="360" w:lineRule="exact"/>
        <w:ind w:firstLine="720"/>
      </w:pPr>
      <w:r>
        <w:rPr>
          <w:rFonts w:ascii="Times New Roman" w:hAnsi="Times New Roman"/>
          <w:b w:val="0"/>
          <w:sz w:val="24"/>
        </w:rPr>
        <w:t>In the five-tier governance variant, a REROUTE decision mode provides constructive containment as an alternative to outright denial. When the action text matches a pattern in a configurable reroute table AND an elevated geometric or semantic signal -- specifically, a harmonic cost or spin magnitude above a confirmation threshold -- independently corroborates the match, the gate substitutes a safer replacement action rather than blocking and returning fail-to-noise output. The reroute table maps action patterns (regular expressions over the action text) to replacement action identifiers and human-readable rationale strings; representative entries redirect system file access to a logged-denial stub and redirect external network sends to a log-only handler. REROUTE operates on a separate action path outside the numeric severity escalation chain: it does not compete with ALLOW, QUARANTINE, or DENY in severity comparisons, and a REROUTE result is preserved against subsequent overlay signals that would otherwise escalate toward DENY. The two-signal confirmation requirement -- pattern match plus geometric or semantic corroboration -- substantially reduces false-positive reroutes on benign text that incidentally contains common words matching the reroute pattern.</w:t>
      </w:r>
    </w:p>
    <w:p>
      <w:pPr>
        <w:spacing w:before="200" w:after="80" w:line="360" w:lineRule="exact"/>
      </w:pPr>
      <w:r>
        <w:rPr>
          <w:rFonts w:ascii="Times New Roman" w:hAnsi="Times New Roman"/>
          <w:b/>
          <w:sz w:val="24"/>
        </w:rPr>
        <w:t>3.14 Layer 14: Audio Axis (Axiom A10)</w:t>
      </w:r>
    </w:p>
    <w:p>
      <w:pPr>
        <w:spacing w:before="0" w:after="120" w:line="360" w:lineRule="exact"/>
        <w:ind w:firstLine="720"/>
      </w:pPr>
      <w:r>
        <w:rPr>
          <w:rFonts w:ascii="Times New Roman" w:hAnsi="Times New Roman"/>
          <w:b w:val="0"/>
          <w:sz w:val="24"/>
        </w:rPr>
        <w:t>Layer 14 implements a parallel telemetry channel using Short-Time Fourier Transform (STFT) analysis:</w:t>
      </w:r>
    </w:p>
    <w:p>
      <w:pPr>
        <w:spacing w:before="0" w:after="120" w:line="360" w:lineRule="exact"/>
        <w:ind w:firstLine="720"/>
      </w:pP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720"/>
      </w:pP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720"/>
      </w:pP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720"/>
      </w:pP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720"/>
      </w:pP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720"/>
      </w:pPr>
      <w:r>
        <w:rPr>
          <w:rFonts w:ascii="Times New Roman" w:hAnsi="Times New Roman"/>
          <w:b w:val="0"/>
          <w:sz w:val="24"/>
        </w:rPr>
        <w:t>The six Sacred Tongues and their fixed parameters are:</w:t>
      </w:r>
    </w:p>
    <w:p>
      <w:pPr>
        <w:spacing w:before="0" w:after="120" w:line="360" w:lineRule="exact"/>
        <w:ind w:firstLine="720"/>
      </w:pP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720"/>
      </w:pP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720"/>
      </w:pPr>
      <w:r>
        <w:rPr>
          <w:rFonts w:ascii="Times New Roman" w:hAnsi="Times New Roman"/>
          <w:b w:val="0"/>
          <w:sz w:val="24"/>
        </w:rPr>
        <w:t>Each Sacred Tongue operates on two simultaneous semantic layers:</w:t>
      </w:r>
    </w:p>
    <w:p>
      <w:pPr>
        <w:spacing w:before="0" w:after="120" w:line="360" w:lineRule="exact"/>
        <w:ind w:firstLine="720"/>
      </w:pP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720"/>
      </w:pP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720"/>
      </w:pP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720"/>
      </w:pP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720"/>
      </w:pP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720"/>
      </w:pP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720"/>
      </w:pP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720"/>
      </w:pP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720"/>
      </w:pP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720"/>
      </w:pP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720"/>
      </w:pP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720"/>
      </w:pP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720"/>
      </w:pP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720"/>
      </w:pPr>
      <w:r>
        <w:rPr>
          <w:rFonts w:ascii="Times New Roman" w:hAnsi="Times New Roman"/>
          <w:b w:val="0"/>
          <w:sz w:val="24"/>
        </w:rPr>
        <w:t>The Langues Metric quantifies the combined cost of deviation across all six linguistic dimensions:</w:t>
      </w:r>
    </w:p>
    <w:p>
      <w:pPr>
        <w:spacing w:before="0" w:after="120" w:line="360" w:lineRule="exact"/>
        <w:ind w:firstLine="720"/>
      </w:pP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720"/>
      </w:pPr>
      <w:r>
        <w:rPr>
          <w:rFonts w:ascii="Times New Roman" w:hAnsi="Times New Roman"/>
          <w:b w:val="0"/>
          <w:sz w:val="24"/>
        </w:rPr>
        <w:t>The Langues Metric satisfies four theorems:</w:t>
      </w:r>
    </w:p>
    <w:p>
      <w:pPr>
        <w:spacing w:before="0" w:after="120" w:line="360" w:lineRule="exact"/>
        <w:ind w:firstLine="720"/>
      </w:pP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720"/>
      </w:pP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720"/>
      </w:pP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720"/>
      </w:pP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720"/>
      </w:pPr>
      <w:r>
        <w:rPr>
          <w:rFonts w:ascii="Times New Roman" w:hAnsi="Times New Roman"/>
          <w:b w:val="0"/>
          <w:sz w:val="24"/>
        </w:rPr>
        <w:t>These properties provide a well-behaved, strictly increasing cost function that becomes more expensive as deviation increases, with bounded oscillation providing temporal variation.</w:t>
      </w:r>
    </w:p>
    <w:p>
      <w:pPr>
        <w:spacing w:before="200" w:after="80" w:line="360" w:lineRule="exact"/>
      </w:pPr>
      <w:r>
        <w:rPr>
          <w:rFonts w:ascii="Times New Roman" w:hAnsi="Times New Roman"/>
          <w:b/>
          <w:sz w:val="24"/>
        </w:rPr>
        <w:t>4.6 Langues Risk Classification</w:t>
      </w:r>
    </w:p>
    <w:p>
      <w:pPr>
        <w:spacing w:before="0" w:after="120" w:line="360" w:lineRule="exact"/>
        <w:ind w:firstLine="720"/>
      </w:pP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720"/>
      </w:pP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720"/>
      </w:pP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720"/>
      </w:pP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720"/>
      </w:pPr>
      <w:r>
        <w:rPr>
          <w:rFonts w:ascii="Times New Roman" w:hAnsi="Times New Roman"/>
          <w:b w:val="0"/>
          <w:sz w:val="24"/>
        </w:rPr>
        <w:t>P_tongue (Domain Membership):</w:t>
      </w:r>
    </w:p>
    <w:p>
      <w:pPr>
        <w:spacing w:before="0" w:after="120" w:line="360" w:lineRule="exact"/>
        <w:ind w:firstLine="720"/>
      </w:pP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720"/>
      </w:pP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720"/>
      </w:pPr>
      <w:r>
        <w:rPr>
          <w:rFonts w:ascii="Times New Roman" w:hAnsi="Times New Roman"/>
          <w:b w:val="0"/>
          <w:sz w:val="24"/>
        </w:rPr>
        <w:t>P_geo (Geometric Position):</w:t>
      </w:r>
    </w:p>
    <w:p>
      <w:pPr>
        <w:spacing w:before="0" w:after="120" w:line="360" w:lineRule="exact"/>
        <w:ind w:firstLine="720"/>
      </w:pPr>
      <w:r>
        <w:rPr>
          <w:rFonts w:ascii="Times New Roman" w:hAnsi="Times New Roman"/>
          <w:b w:val="0"/>
          <w:sz w:val="24"/>
        </w:rPr>
        <w:t>The geometric predicate checks three conditions based on the hatcher's position in the Poincare ball:</w:t>
      </w:r>
    </w:p>
    <w:p>
      <w:pPr>
        <w:spacing w:before="0" w:after="120" w:line="360" w:lineRule="exact"/>
        <w:ind w:firstLine="720"/>
      </w:pP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720"/>
      </w:pP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720"/>
      </w:pPr>
      <w:r>
        <w:rPr>
          <w:rFonts w:ascii="Times New Roman" w:hAnsi="Times New Roman"/>
          <w:b w:val="0"/>
          <w:sz w:val="24"/>
        </w:rPr>
        <w:t>P_path (Monotone Ring Descent):</w:t>
      </w:r>
    </w:p>
    <w:p>
      <w:pPr>
        <w:spacing w:before="0" w:after="120" w:line="360" w:lineRule="exact"/>
        <w:ind w:firstLine="720"/>
      </w:pP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720"/>
      </w:pP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720"/>
      </w:pP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720"/>
      </w:pPr>
      <w:r>
        <w:rPr>
          <w:rFonts w:ascii="Times New Roman" w:hAnsi="Times New Roman"/>
          <w:b w:val="0"/>
          <w:sz w:val="24"/>
        </w:rPr>
        <w:t>P_quorum (Multi-Party Approval):</w:t>
      </w:r>
    </w:p>
    <w:p>
      <w:pPr>
        <w:spacing w:before="0" w:after="120" w:line="360" w:lineRule="exact"/>
        <w:ind w:firstLine="720"/>
      </w:pP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720"/>
      </w:pP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720"/>
      </w:pPr>
      <w:r>
        <w:rPr>
          <w:rFonts w:ascii="Times New Roman" w:hAnsi="Times New Roman"/>
          <w:b w:val="0"/>
          <w:sz w:val="24"/>
        </w:rPr>
        <w:t>P_crypto (AEAD Verification):</w:t>
      </w:r>
    </w:p>
    <w:p>
      <w:pPr>
        <w:spacing w:before="0" w:after="120" w:line="360" w:lineRule="exact"/>
        <w:ind w:firstLine="720"/>
      </w:pP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720"/>
      </w:pP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720"/>
      </w:pPr>
      <w:r>
        <w:rPr>
          <w:rFonts w:ascii="Times New Roman" w:hAnsi="Times New Roman"/>
          <w:b w:val="0"/>
          <w:sz w:val="24"/>
        </w:rPr>
        <w:t>When any predicate fails, the Sacred Egg may produce random, keyed, or deterministic pseudorandom-looking output of the same length as the true plaintext:</w:t>
      </w:r>
    </w:p>
    <w:p>
      <w:pPr>
        <w:spacing w:before="0" w:after="120" w:line="360" w:lineRule="exact"/>
        <w:ind w:firstLine="720"/>
      </w:pP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720"/>
      </w:pPr>
      <w:r>
        <w:rPr>
          <w:rFonts w:ascii="Times New Roman" w:hAnsi="Times New Roman"/>
          <w:b w:val="0"/>
          <w:sz w:val="24"/>
        </w:rP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spacing w:before="200" w:after="80" w:line="360" w:lineRule="exact"/>
      </w:pPr>
      <w:r>
        <w:rPr>
          <w:rFonts w:ascii="Times New Roman" w:hAnsi="Times New Roman"/>
          <w:b/>
          <w:sz w:val="24"/>
        </w:rPr>
        <w:t>5.4 Sacred Eggs Genesis Gate</w:t>
      </w:r>
    </w:p>
    <w:p>
      <w:pPr>
        <w:spacing w:before="0" w:after="120" w:line="360" w:lineRule="exact"/>
        <w:ind w:firstLine="720"/>
      </w:pP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720"/>
      </w:pP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720"/>
      </w:pP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720"/>
      </w:pP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720"/>
      </w:pP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720"/>
      </w:pPr>
      <w:r>
        <w:rPr>
          <w:rFonts w:ascii="Times New Roman" w:hAnsi="Times New Roman"/>
          <w:b w:val="0"/>
          <w:sz w:val="24"/>
        </w:rPr>
        <w:t>The consensus requires all three conditions:</w:t>
      </w:r>
    </w:p>
    <w:p>
      <w:pPr>
        <w:spacing w:before="0" w:after="120" w:line="360" w:lineRule="exact"/>
        <w:ind w:firstLine="720"/>
      </w:pP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720"/>
      </w:pP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720"/>
      </w:pP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720"/>
      </w:pPr>
      <w:r>
        <w:rPr>
          <w:rFonts w:ascii="Times New Roman" w:hAnsi="Times New Roman"/>
          <w:b w:val="0"/>
          <w:sz w:val="24"/>
        </w:rPr>
        <w:t>The settling wave implements temporal key materialization:</w:t>
      </w:r>
    </w:p>
    <w:p>
      <w:pPr>
        <w:spacing w:before="0" w:after="120" w:line="360" w:lineRule="exact"/>
        <w:ind w:firstLine="720"/>
      </w:pPr>
      <w:r>
        <w:rPr>
          <w:rFonts w:ascii="Times New Roman" w:hAnsi="Times New Roman"/>
          <w:b w:val="0"/>
          <w:sz w:val="24"/>
        </w:rPr>
        <w:t>where the phase offsets are chosen as:</w:t>
      </w:r>
    </w:p>
    <w:p>
      <w:pPr>
        <w:spacing w:before="0" w:after="120" w:line="360" w:lineRule="exact"/>
        <w:ind w:firstLine="720"/>
      </w:pP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720"/>
      </w:pPr>
      <w:r>
        <w:rPr>
          <w:rFonts w:ascii="Times New Roman" w:hAnsi="Times New Roman"/>
          <w:b w:val="0"/>
          <w:sz w:val="24"/>
        </w:rPr>
        <w:t>The settling wave has the following security properties:</w:t>
      </w:r>
    </w:p>
    <w:p>
      <w:pPr>
        <w:spacing w:before="0" w:after="120" w:line="360" w:lineRule="exact"/>
        <w:ind w:firstLine="720"/>
      </w:pP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720"/>
      </w:pPr>
      <w:r>
        <w:rPr>
          <w:rFonts w:ascii="Times New Roman" w:hAnsi="Times New Roman"/>
          <w:b w:val="0"/>
          <w:sz w:val="24"/>
        </w:rPr>
        <w:t>The fractional dimension flux is governed by a system of ordinary differential equations:</w:t>
      </w:r>
    </w:p>
    <w:p>
      <w:pPr>
        <w:spacing w:before="0" w:after="120" w:line="360" w:lineRule="exact"/>
        <w:ind w:firstLine="720"/>
      </w:pPr>
      <w:r>
        <w:rPr>
          <w:rFonts w:ascii="Times New Roman" w:hAnsi="Times New Roman"/>
          <w:b w:val="0"/>
          <w:sz w:val="24"/>
        </w:rPr>
        <w:t>for i = 1, ..., 6 (one per Sacred Tongue dimension), where:</w:t>
      </w:r>
    </w:p>
    <w:p>
      <w:pPr>
        <w:spacing w:before="0" w:after="120" w:line="360" w:lineRule="exact"/>
        <w:ind w:firstLine="720"/>
      </w:pP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720"/>
      </w:pPr>
      <w:r>
        <w:rPr>
          <w:rFonts w:ascii="Times New Roman" w:hAnsi="Times New Roman"/>
          <w:b w:val="0"/>
          <w:sz w:val="24"/>
        </w:rPr>
        <w:t>The effective dimension at time t is:</w:t>
      </w:r>
    </w:p>
    <w:p>
      <w:pPr>
        <w:spacing w:before="0" w:after="120" w:line="360" w:lineRule="exact"/>
        <w:ind w:firstLine="720"/>
      </w:pP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720"/>
      </w:pPr>
      <w:r>
        <w:rPr>
          <w:rFonts w:ascii="Times New Roman" w:hAnsi="Times New Roman"/>
          <w:b w:val="0"/>
          <w:sz w:val="24"/>
        </w:rPr>
        <w:t>The fractional participation is classified into four states:</w:t>
      </w:r>
    </w:p>
    <w:p>
      <w:pPr>
        <w:spacing w:before="0" w:after="120" w:line="360" w:lineRule="exact"/>
        <w:ind w:firstLine="720"/>
      </w:pP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720"/>
      </w:pP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720"/>
      </w:pP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720"/>
      </w:pPr>
      <w:r>
        <w:rPr>
          <w:rFonts w:ascii="Times New Roman" w:hAnsi="Times New Roman"/>
          <w:b w:val="0"/>
          <w:sz w:val="24"/>
        </w:rPr>
        <w:t>The anti-fragile behavior is governed by the shock absorber function:</w:t>
      </w:r>
    </w:p>
    <w:p>
      <w:pPr>
        <w:spacing w:before="0" w:after="120" w:line="360" w:lineRule="exact"/>
        <w:ind w:firstLine="720"/>
      </w:pP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720"/>
      </w:pPr>
      <w:r>
        <w:rPr>
          <w:rFonts w:ascii="Times New Roman" w:hAnsi="Times New Roman"/>
          <w:b w:val="0"/>
          <w:sz w:val="24"/>
        </w:rPr>
        <w:t>This scales all distances by Psi(P), with the following behavior:</w:t>
      </w:r>
    </w:p>
    <w:p>
      <w:pPr>
        <w:spacing w:before="0" w:after="120" w:line="360" w:lineRule="exact"/>
        <w:ind w:firstLine="720"/>
      </w:pP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720"/>
      </w:pP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720"/>
      </w:pPr>
      <w:r>
        <w:rPr>
          <w:rFonts w:ascii="Times New Roman" w:hAnsi="Times New Roman"/>
          <w:b w:val="0"/>
          <w:sz w:val="24"/>
        </w:rPr>
        <w:t>The SpiralSeal SS1 format encodes encrypted data using tongue-specific tokens:</w:t>
      </w:r>
    </w:p>
    <w:p>
      <w:pPr>
        <w:spacing w:before="0" w:after="120" w:line="360" w:lineRule="exact"/>
        <w:ind w:firstLine="720"/>
      </w:pP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720"/>
      </w:pP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720"/>
      </w:pPr>
      <w:r>
        <w:rPr>
          <w:rFonts w:ascii="Times New Roman" w:hAnsi="Times New Roman"/>
          <w:b w:val="0"/>
          <w:sz w:val="24"/>
        </w:rPr>
        <w:t>The encryption key is derived using HKDF (RFC 5869) with SubtleCrypto:</w:t>
      </w:r>
    </w:p>
    <w:p>
      <w:pPr>
        <w:spacing w:before="0" w:after="120" w:line="360" w:lineRule="exact"/>
        <w:ind w:firstLine="720"/>
      </w:pP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720"/>
      </w:pP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720"/>
      </w:pPr>
      <w:r>
        <w:rPr>
          <w:rFonts w:ascii="Times New Roman" w:hAnsi="Times New Roman"/>
          <w:b w:val="0"/>
          <w:sz w:val="24"/>
        </w:rPr>
        <w:t>The blend operation interleaves multiple tongues per pattern:</w:t>
      </w:r>
    </w:p>
    <w:p>
      <w:pPr>
        <w:spacing w:before="0" w:after="120" w:line="360" w:lineRule="exact"/>
        <w:ind w:firstLine="720"/>
      </w:pP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720"/>
      </w:pPr>
      <w:r>
        <w:rPr>
          <w:rFonts w:ascii="Times New Roman" w:hAnsi="Times New Roman"/>
          <w:b w:val="0"/>
          <w:sz w:val="24"/>
        </w:rPr>
        <w:t>GeoSeal extends SpiralSeal with geographic/contextual awareness:</w:t>
      </w:r>
    </w:p>
    <w:p>
      <w:pPr>
        <w:spacing w:before="0" w:after="120" w:line="360" w:lineRule="exact"/>
        <w:ind w:firstLine="720"/>
      </w:pP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720"/>
      </w:pP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720"/>
      </w:pPr>
      <w:r>
        <w:rPr>
          <w:rFonts w:ascii="Times New Roman" w:hAnsi="Times New Roman"/>
          <w:b w:val="0"/>
          <w:sz w:val="24"/>
        </w:rPr>
        <w:t>Stage 0: Null-Space Anomaly Check -- O(d)</w:t>
        <w:br/>
        <w:t>- Compute the six-dimensional tongue coordinate vector for the action text.</w:t>
        <w:br/>
        <w:t>- Compare each coordinate against the session centroid (or a fixed default baseline when no centroid has been established).</w:t>
        <w:br/>
        <w:t>- If ALL six coordinates are within a predetermined epsilon of the centroid (all deviations &lt; NULL_SPACE_EPSILON), compute anomaly score = max(0.0, 1 - mean_deviation / NULL_SPACE_EPSILON). An adversarial input that deliberately keeps all tongue activations near the centroid is "hiding in the null space" -- the action appears geometrically normal so that the hyperbolic distance to the centroid remains small, evading the harmonic cost wall while carrying adversarial intent.</w:t>
        <w:br/>
        <w:t>- If the standard deviation of the coordinate vector is below a uniformity threshold (e.g., std &lt; 0.03), return anomaly score 0.5 regardless of centroid proximity. Real text activates tongue dimensions unevenly; a flat, unnaturally uniform activation profile is independently suspicious.</w:t>
        <w:br/>
        <w:t>- A nonzero anomaly score is added to the composite risk value before the main hyperbolic distance computation, so null-space hiding is penalized even when the measured distance to the centroid is small.</w:t>
      </w:r>
    </w:p>
    <w:p>
      <w:pPr>
        <w:spacing w:before="0" w:after="120" w:line="360" w:lineRule="exact"/>
        <w:ind w:firstLine="720"/>
      </w:pP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720"/>
      </w:pP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720"/>
      </w:pP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720"/>
      </w:pP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720"/>
      </w:pP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720"/>
      </w:pP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720"/>
      </w:pP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720"/>
      </w:pP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720"/>
      </w:pP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720"/>
      </w:pP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720"/>
      </w:pP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720"/>
      </w:pP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720"/>
      </w:pP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720"/>
      </w:pP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720"/>
      </w:pP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720"/>
      </w:pP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720"/>
      </w:pPr>
      <w:r>
        <w:rPr>
          <w:rFonts w:ascii="Times New Roman" w:hAnsi="Times New Roman"/>
          <w:b w:val="0"/>
          <w:sz w:val="24"/>
        </w:rPr>
        <w:t>Variable Swap Trap: The system periodically presents challenges containing</w:t>
        <w:br/>
        <w:t>swapped or physically inconsistent variables (e.g., a thermodynamic equation</w:t>
        <w:br/>
        <w:t>with entropy and enthalpy swapped, or a gravitational calculation with imaginary</w:t>
        <w:br/>
        <w:t>mass). A governed agent may recognize the inconsistency and respond with a</w:t>
        <w:br/>
        <w:t>diagnostic rejection, while a compromised agent may attempt to compute the result</w:t>
        <w:br/>
        <w:t>naively and thereby produce a detectable governance signal.</w:t>
      </w:r>
    </w:p>
    <w:p>
      <w:pPr>
        <w:spacing w:before="0" w:after="120" w:line="360" w:lineRule="exact"/>
        <w:ind w:firstLine="720"/>
      </w:pPr>
      <w:r>
        <w:rPr>
          <w:rFonts w:ascii="Times New Roman" w:hAnsi="Times New Roman"/>
          <w:b w:val="0"/>
          <w:sz w:val="24"/>
        </w:rPr>
        <w:t>The trap cipher has the following properties:</w:t>
      </w:r>
    </w:p>
    <w:p>
      <w:pPr>
        <w:spacing w:before="0" w:after="120" w:line="360" w:lineRule="exact"/>
        <w:ind w:firstLine="720"/>
      </w:pP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r>
    </w:p>
    <w:p>
      <w:pPr>
        <w:spacing w:before="200" w:after="80" w:line="360" w:lineRule="exact"/>
      </w:pPr>
      <w:r>
        <w:rPr>
          <w:rFonts w:ascii="Times New Roman" w:hAnsi="Times New Roman"/>
          <w:b/>
          <w:sz w:val="24"/>
        </w:rPr>
        <w:t>2. Detection support for compromised agents: A compromised agent that has</w:t>
      </w:r>
    </w:p>
    <w:p>
      <w:pPr>
        <w:spacing w:before="0" w:after="120" w:line="360" w:lineRule="exact"/>
        <w:ind w:firstLine="720"/>
      </w:pPr>
      <w:r>
        <w:rPr>
          <w:rFonts w:ascii="Times New Roman" w:hAnsi="Times New Roman"/>
          <w:b w:val="0"/>
          <w:sz w:val="24"/>
        </w:rPr>
        <w:t>been adversarially modified may attempt to compute the inconsistent result,</w:t>
        <w:br/>
        <w:t>producing a signal that can contribute to a governance decision.</w:t>
        <w:br/>
        <w:t>3. Reduced pre-filtering signal: The trap challenges are formatted as normal computational requests until the agent attempts to solve them, reducing the ability of an adversary to pre-filter traps by surface form alone.</w:t>
      </w:r>
    </w:p>
    <w:p>
      <w:pPr>
        <w:spacing w:before="200" w:after="80" w:line="360" w:lineRule="exact"/>
      </w:pPr>
      <w:r>
        <w:rPr>
          <w:rFonts w:ascii="Times New Roman" w:hAnsi="Times New Roman"/>
          <w:b/>
          <w:sz w:val="24"/>
        </w:rPr>
        <w:t>10.3 Corrective Swarm Governance</w:t>
      </w:r>
    </w:p>
    <w:p>
      <w:pPr>
        <w:spacing w:before="0" w:after="120" w:line="360" w:lineRule="exact"/>
        <w:ind w:firstLine="720"/>
      </w:pP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720"/>
      </w:pPr>
      <w:r>
        <w:rPr>
          <w:rFonts w:ascii="Times New Roman" w:hAnsi="Times New Roman"/>
          <w:b w:val="0"/>
          <w:sz w:val="24"/>
        </w:rPr>
        <w:t>Tiered Trust Levels:</w:t>
      </w:r>
    </w:p>
    <w:p>
      <w:pPr>
        <w:spacing w:before="0" w:after="120" w:line="360" w:lineRule="exact"/>
        <w:ind w:firstLine="720"/>
      </w:pP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720"/>
      </w:pP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720"/>
      </w:pPr>
      <w:r>
        <w:rPr>
          <w:rFonts w:ascii="Times New Roman" w:hAnsi="Times New Roman"/>
          <w:b w:val="0"/>
          <w:sz w:val="24"/>
        </w:rPr>
        <w:t>The lineage tracking uses a Merkle tree of code hashes:</w:t>
      </w:r>
    </w:p>
    <w:p>
      <w:pPr>
        <w:spacing w:before="0" w:after="120" w:line="360" w:lineRule="exact"/>
        <w:ind w:firstLine="720"/>
      </w:pP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720"/>
      </w:pP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720"/>
      </w:pPr>
      <w:r>
        <w:rPr>
          <w:rFonts w:ascii="Times New Roman" w:hAnsi="Times New Roman"/>
          <w:b w:val="0"/>
          <w:sz w:val="24"/>
        </w:rPr>
        <w:t>where each signature is computed using a key derived from the corresponding tongue's domain. This prevents:</w:t>
      </w:r>
    </w:p>
    <w:p>
      <w:pPr>
        <w:spacing w:before="0" w:after="120" w:line="360" w:lineRule="exact"/>
        <w:ind w:firstLine="720"/>
      </w:pP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720"/>
      </w:pPr>
      <w:r>
        <w:rPr>
          <w:rFonts w:ascii="Times New Roman" w:hAnsi="Times New Roman"/>
          <w:b w:val="0"/>
          <w:sz w:val="24"/>
        </w:rPr>
        <w:t>The minimum quorum for different action tiers:</w:t>
      </w:r>
    </w:p>
    <w:p>
      <w:pPr>
        <w:spacing w:before="0" w:after="120" w:line="360" w:lineRule="exact"/>
        <w:ind w:firstLine="720"/>
      </w:pP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720"/>
      </w:pPr>
      <w:r>
        <w:rPr>
          <w:rFonts w:ascii="Times New Roman" w:hAnsi="Times New Roman"/>
          <w:b w:val="0"/>
          <w:sz w:val="24"/>
        </w:rPr>
        <w:t>Every piece of synthetic data generated by the system includes a cryptographic provenance certificate:</w:t>
      </w:r>
    </w:p>
    <w:p>
      <w:pPr>
        <w:spacing w:before="0" w:after="120" w:line="360" w:lineRule="exact"/>
        <w:ind w:firstLine="720"/>
      </w:pPr>
      <w:r>
        <w:rPr>
          <w:rFonts w:ascii="Times New Roman" w:hAnsi="Times New Roman"/>
          <w:b w:val="0"/>
          <w:sz w:val="24"/>
        </w:rPr>
        <w:t>This ensures that:</w:t>
      </w:r>
    </w:p>
    <w:p>
      <w:pPr>
        <w:spacing w:before="0" w:after="120" w:line="360" w:lineRule="exact"/>
        <w:ind w:firstLine="720"/>
      </w:pP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720"/>
      </w:pPr>
      <w:r>
        <w:rPr>
          <w:rFonts w:ascii="Times New Roman" w:hAnsi="Times New Roman"/>
          <w:b w:val="0"/>
          <w:sz w:val="24"/>
        </w:rPr>
        <w:t>The Sacred Tongues function as neural mode selectors that prime the system's operational state:</w:t>
      </w:r>
    </w:p>
    <w:p>
      <w:pPr>
        <w:spacing w:before="0" w:after="120" w:line="360" w:lineRule="exact"/>
        <w:ind w:firstLine="720"/>
      </w:pP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720"/>
      </w:pP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720"/>
      </w:pPr>
      <w:r>
        <w:rPr>
          <w:rFonts w:ascii="Times New Roman" w:hAnsi="Times New Roman"/>
          <w:b w:val="0"/>
          <w:sz w:val="24"/>
        </w:rPr>
        <w:t>The system was evaluated against seven canonical attack strategies:</w:t>
      </w:r>
    </w:p>
    <w:p>
      <w:pPr>
        <w:spacing w:before="0" w:after="120" w:line="360" w:lineRule="exact"/>
        <w:ind w:firstLine="720"/>
      </w:pP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720"/>
      </w:pPr>
      <w:r>
        <w:rPr>
          <w:rFonts w:ascii="Times New Roman" w:hAnsi="Times New Roman"/>
          <w:b w:val="0"/>
          <w:sz w:val="24"/>
        </w:rPr>
        <w:t>In the simulated fixture set, 71% of attacks are blocked (cannot proceed), and 29% are detected (proceed but identified). The fixture set produced detections across all enumerated attack types.</w:t>
      </w:r>
    </w:p>
    <w:p>
      <w:pPr>
        <w:spacing w:before="0" w:after="120" w:line="360" w:lineRule="exact"/>
        <w:ind w:firstLine="720"/>
      </w:pP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720"/>
      </w:pPr>
      <w:r>
        <w:rPr>
          <w:rFonts w:ascii="Times New Roman" w:hAnsi="Times New Roman"/>
          <w:b w:val="0"/>
          <w:sz w:val="24"/>
        </w:rPr>
        <w:t>The system is implemented in two canonical languages:</w:t>
      </w:r>
    </w:p>
    <w:p>
      <w:pPr>
        <w:spacing w:before="0" w:after="120" w:line="360" w:lineRule="exact"/>
        <w:ind w:firstLine="720"/>
      </w:pP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720"/>
      </w:pP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720"/>
      </w:pPr>
      <w:r>
        <w:rPr>
          <w:rFonts w:ascii="Times New Roman" w:hAnsi="Times New Roman"/>
          <w:b w:val="0"/>
          <w:sz w:val="24"/>
        </w:rPr>
        <w:t>Each drafted claim is mapped to working implementation evidence or is separately flagged for review as a higher-risk or continuation-style feature.</w:t>
      </w:r>
    </w:p>
    <w:p>
      <w:pPr>
        <w:spacing w:before="200" w:after="80" w:line="360" w:lineRule="exact"/>
      </w:pPr>
      <w:r>
        <w:rPr>
          <w:rFonts w:ascii="Times New Roman" w:hAnsi="Times New Roman"/>
          <w:b/>
          <w:sz w:val="24"/>
        </w:rPr>
        <w:t>SECTION 12: THE TWELVE AXIOMS</w:t>
      </w:r>
    </w:p>
    <w:p>
      <w:pPr>
        <w:spacing w:before="0" w:after="120" w:line="360" w:lineRule="exact"/>
        <w:ind w:firstLine="720"/>
      </w:pP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720"/>
      </w:pP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nonlinear drift-to-cost or drift-to-score mapping | L12 |</w:t>
      </w:r>
    </w:p>
    <w:p>
      <w:pPr>
        <w:spacing w:before="0" w:after="120" w:line="360" w:lineRule="exact"/>
        <w:ind w:firstLine="720"/>
      </w:pP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720"/>
      </w:pP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720"/>
      </w:pP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720"/>
      </w:pP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720"/>
      </w:pP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720"/>
      </w:pP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720"/>
      </w:pP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720"/>
      </w:pP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720"/>
      </w:pP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pPr>
        <w:spacing w:before="0" w:after="120" w:line="360" w:lineRule="exact"/>
        <w:ind w:firstLine="720"/>
      </w:pPr>
      <w:r>
        <w:rPr>
          <w:rFonts w:ascii="Times New Roman" w:hAnsi="Times New Roman"/>
          <w:b w:val="0"/>
          <w:sz w:val="24"/>
        </w:rPr>
        <w:t>FILING CLAIMS</w:t>
      </w:r>
    </w:p>
    <w:p>
      <w:pPr>
        <w:spacing w:before="0" w:after="120" w:line="360" w:lineRule="exact"/>
        <w:ind w:firstLine="720"/>
      </w:pPr>
      <w:r>
        <w:rPr>
          <w:rFonts w:ascii="Times New Roman" w:hAnsi="Times New Roman"/>
          <w:b w:val="0"/>
          <w:sz w:val="24"/>
        </w:rPr>
        <w:t>The filing claims are generated from docs/legal/build_patent_docx.py and mirrored in docs/legal/PATENT_CLAIMS_EXPANDED_v2.md. The current filing set contains 28 claims, including independent claims 1, 9, and 15. Legacy draft claims were removed from this detailed-description source to avoid conflicts with the assembled filing packet.</w:t>
      </w:r>
    </w:p>
    <w:p>
      <w:pPr>
        <w:spacing w:before="0" w:after="120" w:line="360" w:lineRule="exact"/>
        <w:ind w:firstLine="720"/>
      </w:pPr>
      <w:r>
        <w:rPr>
          <w:rFonts w:ascii="Times New Roman" w:hAnsi="Times New Roman"/>
          <w:b w:val="0"/>
          <w:sz w:val="24"/>
        </w:rPr>
        <w:t>CLAIM SUPPORT MAP</w:t>
      </w:r>
    </w:p>
    <w:p>
      <w:pPr>
        <w:spacing w:before="0" w:after="120" w:line="360" w:lineRule="exact"/>
        <w:ind w:firstLine="720"/>
      </w:pPr>
      <w:r>
        <w:rPr>
          <w:rFonts w:ascii="Times New Roman" w:hAnsi="Times New Roman"/>
          <w:b w:val="0"/>
          <w:sz w:val="24"/>
        </w:rPr>
        <w:t>| Claim | Specification Section | Implementation File | Test Evidence |</w:t>
        <w:br/>
        <w:t>|-------|----------------------|--------------------|--------------|</w:t>
        <w:br/>
        <w:t>| 1 | Section 3 (14-Layer Pipeline) | pipeline14.ts, hyperbolic.ts | Regression tests recorded |</w:t>
        <w:br/>
        <w:t>| 2 | Section 4 (Sacred Tongues) | sacredTongues.ts, spiralSeal.ts | Bijection/roundtrip tests |</w:t>
        <w:br/>
        <w:t>| 3 | Section 3.12 (Harmonic Wall) | harmonicScaling.ts | Distance vs. cost data (FIG. 2) |</w:t>
        <w:br/>
        <w:t>| 4 | Section 5 (Sacred Eggs) | sacredEggs.ts, sacredEggsGenesis.ts | Hatch/fail-to-noise tests |</w:t>
        <w:br/>
        <w:t>| 5 | Section 6 (Dual Lattice) | dual_lattice.py, pqc_module.py | Consensus/settling wave tests |</w:t>
        <w:br/>
        <w:t>| 6 | Section 7 (Anti-Fragile) | fractional_flux.py, living_metric.py | ODE/shock absorber tests |</w:t>
        <w:br/>
        <w:t>| 7-16 | Sections 3-7 | Various | Full test suite |</w:t>
        <w:br/>
        <w:t>| 17 | Section 10.1 (Dual-Lane) | production_v2_1.py | Context binding tests |</w:t>
        <w:br/>
        <w:t>| 18 | Section 10.2 (Trap Ciphers) | production_v2_1.py | Variable swap tests |</w:t>
        <w:br/>
        <w:t>| 19 | Section 10.3 (Corrective Swarm) | production_v2_1.py | Swarm trust/lineage tests |</w:t>
        <w:br/>
        <w:t>| 20 | Section 10.4 (Roundtable) | sacredTongues.ts | Multi-sig consensus tests |</w:t>
        <w:br/>
        <w:t>| 21 | Section 10.5 (Provenance) | spiralSeal.ts, pqc_module.py | Provenance chain tests |</w:t>
      </w:r>
    </w:p>
    <w:p>
      <w:pPr>
        <w:spacing w:before="0" w:after="120" w:line="360" w:lineRule="exact"/>
        <w:ind w:firstLine="720"/>
      </w:pPr>
      <w:r>
        <w:rPr>
          <w:rFonts w:ascii="Times New Roman" w:hAnsi="Times New Roman"/>
          <w:b w:val="0"/>
          <w:sz w:val="24"/>
        </w:rPr>
        <w:t>PRIOR ART CITATIONS</w:t>
      </w:r>
    </w:p>
    <w:p>
      <w:pPr>
        <w:spacing w:before="0" w:after="120" w:line="360" w:lineRule="exact"/>
        <w:ind w:firstLine="720"/>
      </w:pPr>
      <w:r>
        <w:rPr>
          <w:rFonts w:ascii="Times New Roman" w:hAnsi="Times New Roman"/>
          <w:b w:val="0"/>
          <w:sz w:val="24"/>
        </w:rPr>
        <w:t>The following references are cited as relevant prior art, with distinctions from the present invention noted:</w:t>
      </w:r>
    </w:p>
    <w:p>
      <w:pPr>
        <w:spacing w:before="0" w:after="120" w:line="360" w:lineRule="exact"/>
        <w:ind w:firstLine="720"/>
      </w:pPr>
      <w:r>
        <w:rPr>
          <w:rFonts w:ascii="Times New Roman" w:hAnsi="Times New Roman"/>
          <w:b w:val="0"/>
          <w:sz w:val="24"/>
        </w:rPr>
        <w:t>1. BIP-32/44 (Wuille, 2012): Hierarchical Deterministic Wallets. Uses seed + passphrase for key derivation. Distinction: passphrase is unstructured text; present invention uses structured six-dimensional linguistic ontology that constrains derivation paths.</w:t>
      </w:r>
    </w:p>
    <w:p>
      <w:pPr>
        <w:spacing w:before="0" w:after="120" w:line="360" w:lineRule="exact"/>
        <w:ind w:firstLine="720"/>
      </w:pPr>
      <w:r>
        <w:rPr>
          <w:rFonts w:ascii="Times New Roman" w:hAnsi="Times New Roman"/>
          <w:b w:val="0"/>
          <w:sz w:val="24"/>
        </w:rPr>
        <w:t>2. BIP-39 (Palatinus et al., 2013): Mnemonic code for generating deterministic keys. Uses flat wordlist of 2048 entries. Distinction: present invention uses six 256-token bijective alphabets with golden-ratio weights and harmonic phase relationships.</w:t>
      </w:r>
    </w:p>
    <w:p>
      <w:pPr>
        <w:spacing w:before="0" w:after="120" w:line="360" w:lineRule="exact"/>
        <w:ind w:firstLine="720"/>
      </w:pPr>
      <w:r>
        <w:rPr>
          <w:rFonts w:ascii="Times New Roman" w:hAnsi="Times New Roman"/>
          <w:b w:val="0"/>
          <w:sz w:val="24"/>
        </w:rPr>
        <w:t>3. RFC 5869 (Krawczyk &amp; Eronen, 2010): HKDF key derivation function. Used as a component in the present invention; distinction: present invention's domain separation tags encode geometric position and path history, not just application-level context.</w:t>
      </w:r>
    </w:p>
    <w:p>
      <w:pPr>
        <w:spacing w:before="0" w:after="120" w:line="360" w:lineRule="exact"/>
        <w:ind w:firstLine="720"/>
      </w:pPr>
      <w:r>
        <w:rPr>
          <w:rFonts w:ascii="Times New Roman" w:hAnsi="Times New Roman"/>
          <w:b w:val="0"/>
          <w:sz w:val="24"/>
        </w:rPr>
        <w:t>4. FIPS 203 (NIST, 2024): ML-KEM (Module Learning With Errors Key Encapsulation Mechanism). Used as a component. Distinction: present invention requires dual-lattice consensus with temporal synchronization, not standalone KEM.</w:t>
      </w:r>
    </w:p>
    <w:p>
      <w:pPr>
        <w:spacing w:before="0" w:after="120" w:line="360" w:lineRule="exact"/>
        <w:ind w:firstLine="720"/>
      </w:pPr>
      <w:r>
        <w:rPr>
          <w:rFonts w:ascii="Times New Roman" w:hAnsi="Times New Roman"/>
          <w:b w:val="0"/>
          <w:sz w:val="24"/>
        </w:rPr>
        <w:t>5. FIPS 204 (NIST, 2024): ML-DSA (Module Digital Signature Algorithm). Used as a component. Distinction: same as above.</w:t>
      </w:r>
    </w:p>
    <w:p>
      <w:pPr>
        <w:spacing w:before="0" w:after="120" w:line="360" w:lineRule="exact"/>
        <w:ind w:firstLine="720"/>
      </w:pPr>
      <w:r>
        <w:rPr>
          <w:rFonts w:ascii="Times New Roman" w:hAnsi="Times New Roman"/>
          <w:b w:val="0"/>
          <w:sz w:val="24"/>
        </w:rPr>
        <w:t>6. Ungar, A.A. (2008): Analytic Hyperbolic Geometry and Albert Einstein's Special Theory of Relativity. Provides mathematical foundation for gyrovector spaces and Mobius addition. Distinction: present invention applies these mathematical structures to access control enforcement, not physics.</w:t>
      </w:r>
    </w:p>
    <w:p>
      <w:pPr>
        <w:spacing w:before="0" w:after="120" w:line="360" w:lineRule="exact"/>
        <w:ind w:firstLine="720"/>
      </w:pPr>
      <w:r>
        <w:rPr>
          <w:rFonts w:ascii="Times New Roman" w:hAnsi="Times New Roman"/>
          <w:b w:val="0"/>
          <w:sz w:val="24"/>
        </w:rPr>
        <w:t>7. Nickel &amp; Kiela (2017): Poincare Embeddings for Learning Hierarchical Representations. Uses Poincare ball for embedding hierarchical data. Distinction: present invention uses Poincare ball for enforcement (making adversarial behavior expensive), not representation (organizing data).</w:t>
      </w:r>
    </w:p>
    <w:p>
      <w:pPr>
        <w:spacing w:before="0" w:after="120" w:line="360" w:lineRule="exact"/>
        <w:ind w:firstLine="720"/>
      </w:pPr>
      <w:r>
        <w:rPr>
          <w:rFonts w:ascii="Times New Roman" w:hAnsi="Times New Roman"/>
          <w:b w:val="0"/>
          <w:sz w:val="24"/>
        </w:rPr>
        <w:t>8. X.509 Certificates (ITU-T, 2019): Digital certificates for identity. Distinction: present invention's Sacred Eggs are generative seed containers that cryptographically constrain key derivation, not static attribute labels.</w:t>
      </w:r>
    </w:p>
    <w:p>
      <w:pPr>
        <w:spacing w:before="0" w:after="120" w:line="360" w:lineRule="exact"/>
        <w:ind w:firstLine="720"/>
      </w:pPr>
      <w:r>
        <w:rPr>
          <w:rFonts w:ascii="Times New Roman" w:hAnsi="Times New Roman"/>
          <w:b w:val="0"/>
          <w:sz w:val="24"/>
        </w:rPr>
        <w:t>9. W3C Verifiable Credentials (2022): Verifiable claims data model. Distinction: present invention binds credentials to geometric position and path history in hyperbolic space, not just issuer signatures.</w:t>
      </w:r>
    </w:p>
    <w:p>
      <w:pPr>
        <w:spacing w:before="0" w:after="120" w:line="360" w:lineRule="exact"/>
        <w:ind w:firstLine="720"/>
      </w:pPr>
      <w:r>
        <w:rPr>
          <w:rFonts w:ascii="Times New Roman" w:hAnsi="Times New Roman"/>
          <w:b w:val="0"/>
          <w:sz w:val="24"/>
        </w:rPr>
        <w:t>10. Taleb, N.N. (2012): Antifragile: Things That Gain from Disorder. Provides conceptual framework for anti-fragility. Distinction: present invention implements mathematical anti-fragility through metric tensor expansion under adversarial pressure (Claim 6).</w:t>
      </w:r>
    </w:p>
    <w:p>
      <w:pPr>
        <w:spacing w:before="0" w:after="120" w:line="360" w:lineRule="exact"/>
        <w:ind w:firstLine="720"/>
      </w:pPr>
      <w:r>
        <w:rPr>
          <w:rFonts w:ascii="Times New Roman" w:hAnsi="Times New Roman"/>
          <w:b w:val="0"/>
          <w:sz w:val="24"/>
        </w:rPr>
        <w:t>11. Hopfield, J.J. (1982): Neural networks and physical systems with emergent collective computational abilities. Provides mathematical foundation for energy-based pattern recognition. Distinction: present invention uses Hopfield energy as a behavioral gating mechanism in a multi-stage verification pipeline.</w:t>
      </w:r>
    </w:p>
    <w:p>
      <w:pPr>
        <w:spacing w:before="0" w:after="120" w:line="360" w:lineRule="exact"/>
        <w:ind w:firstLine="720"/>
      </w:pPr>
      <w:r>
        <w:rPr>
          <w:rFonts w:ascii="Times New Roman" w:hAnsi="Times New Roman"/>
          <w:b w:val="0"/>
          <w:sz w:val="24"/>
        </w:rPr>
        <w:t>12. Abadi et al. (2005): Control-Flow Integrity. Original CFI concept using label-based enforcement. Distinction: present invention's PHDM achieves 99% ROP detection (vs. 70% for label-based CFI) through dimensional lifting and Hamiltonian path analysis.</w:t>
      </w:r>
    </w:p>
    <w:p>
      <w:pPr>
        <w:spacing w:before="0" w:after="120" w:line="360" w:lineRule="exact"/>
        <w:ind w:firstLine="720"/>
      </w:pPr>
      <w:r>
        <w:rPr>
          <w:rFonts w:ascii="Times New Roman" w:hAnsi="Times New Roman"/>
          <w:b w:val="0"/>
          <w:sz w:val="24"/>
        </w:rPr>
        <w:t>Document prepared for attorney review.</w:t>
        <w:br/>
        <w:t>**Claim elements are mapped to working implementation references and recorded</w:t>
        <w:br/>
        <w:t>test evidence where available.**</w:t>
        <w:br/>
        <w:t>Total claims: 11 independent + 10 dependent = 21 claims</w:t>
        <w:br/>
        <w:t>Repository: SCBE-AETHERMOORE (TypeScript + Python dual implementation)</w:t>
        <w:br/>
        <w:t>Priority Date: January 15, 2026 (Provisional Application No. 63/961,403)</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is a nonlinear increasing function of measured drift from the session centroid and is used to control execution of the computational action through the emitted governance decision.</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(ii) a bounded safety-score function of the form H = 1 / (1 + d + 2*pd), where pd is a phase-deviation term; or (iii) a function of the form pi^(phi*d), where pi is the mathematical constant pi and phi is the golden ratio.</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of the six axes corresponds to a distinct semantic domain of the context representation and is assigned a predetermined weight equal to a power of the golden ratio, phi^k for a respective index k from 0 through 5, with phi approximately equal to 1.618, such that the weighting applies exponentially increasing emphasis to higher-order semantic domains and the combined six-axis score scales the governance signal across semantically diverse dimensions of the context.</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before="120" w:after="120" w:line="360" w:lineRule="exact"/>
        <w:ind w:left="0" w:firstLine="0"/>
      </w:pPr>
      <w:r>
        <w:rPr>
          <w:rFonts w:ascii="Times New Roman" w:hAnsi="Times New Roman"/>
          <w:b w:val="0"/>
          <w:sz w:val="24"/>
        </w:rP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and</w:t>
      </w:r>
    </w:p>
    <w:p>
      <w:pPr>
        <w:spacing w:before="0" w:after="0" w:line="360" w:lineRule="exact"/>
        <w:ind w:left="360" w:firstLine="0"/>
      </w:pPr>
      <w:r>
        <w:rPr>
          <w:rFonts w:ascii="Times New Roman" w:hAnsi="Times New Roman"/>
          <w:b w:val="0"/>
          <w:sz w:val="24"/>
        </w:rPr>
        <w:t>route the proposed action according to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decision, the harmonic governance cost,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a proposed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causes the container to return a noise or pseudorandom-looking output generated by the fail-to-noise function of claim 7 rather than a structured predicate-failure response.</w:t>
      </w:r>
    </w:p>
    <w:p>
      <w:pPr>
        <w:spacing w:before="120" w:after="120" w:line="360" w:lineRule="exact"/>
        <w:ind w:left="0" w:firstLine="0"/>
      </w:pPr>
      <w:r>
        <w:rPr>
          <w:rFonts w:ascii="Times New Roman" w:hAnsi="Times New Roman"/>
          <w:b w:val="0"/>
          <w:sz w:val="24"/>
        </w:rP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before="120" w:after="120" w:line="360" w:lineRule="exact"/>
        <w:ind w:left="0" w:firstLine="0"/>
      </w:pPr>
      <w:r>
        <w:rPr>
          <w:rFonts w:ascii="Times New Roman" w:hAnsi="Times New Roman"/>
          <w:b w:val="0"/>
          <w:sz w:val="24"/>
        </w:rP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before="120" w:after="120" w:line="360" w:lineRule="exact"/>
        <w:ind w:left="0" w:firstLine="0"/>
      </w:pPr>
      <w:r>
        <w:rPr>
          <w:rFonts w:ascii="Times New Roman" w:hAnsi="Times New Roman"/>
          <w:b w:val="0"/>
          <w:sz w:val="24"/>
        </w:rP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before="120" w:after="120" w:line="360" w:lineRule="exact"/>
        <w:ind w:left="0" w:firstLine="0"/>
      </w:pPr>
      <w:r>
        <w:rPr>
          <w:rFonts w:ascii="Times New Roman" w:hAnsi="Times New Roman"/>
          <w:b w:val="0"/>
          <w:sz w:val="24"/>
        </w:rPr>
        <w:t>26. The method of claim 4, wherein each axis of the semantic weighting employs a bijective token alphabet comprising a number of tokens equal to the Cartesian product of a first predetermined prefix set and a second predetermined suffix set, each token uniquely formed by concatenating a prefix element, a predetermined separator character, and a suffix element, such that the complete token vocabulary for each axis bijects onto a contiguous range of integer byte indices, and wherein a serialized token form includes an axis designator that makes serialized token vocabularies of distinct axes pairwise disjoint and makes the axis of origin of any serialized token determinable from the serialized token without additional context.</w:t>
      </w:r>
    </w:p>
    <w:p>
      <w:pPr>
        <w:spacing w:before="120" w:after="120" w:line="360" w:lineRule="exact"/>
        <w:ind w:left="0" w:firstLine="0"/>
      </w:pPr>
      <w:r>
        <w:rPr>
          <w:rFonts w:ascii="Times New Roman" w:hAnsi="Times New Roman"/>
          <w:b w:val="0"/>
          <w:sz w:val="24"/>
        </w:rPr>
        <w:t>27. The method of claim 4, wherein each of the six axes of the semantic weighting is associated with a respective harmonic frequency ratio selected from integer-ratio musical intervals, and a phase offset equal to 2*pi*k/6 radians for the respective axis index k from 0 through 5, such that the six axes are uniformly distributed around the unit circle at sixty-degree intervals, and the governance signal incorporates the phase offset of each axis as a fixed structural parameter of the six-axis weighting configuration.</w:t>
      </w:r>
    </w:p>
    <w:p>
      <w:pPr>
        <w:spacing w:before="120" w:after="120" w:line="360" w:lineRule="exact"/>
        <w:ind w:left="0" w:firstLine="0"/>
      </w:pPr>
      <w:r>
        <w:rPr>
          <w:rFonts w:ascii="Times New Roman" w:hAnsi="Times New Roman"/>
          <w:b w:val="0"/>
          <w:sz w:val="24"/>
        </w:rPr>
        <w:t>28. The method of claim 26, wherein each axis's token vocabulary constitutes a domain-specific deterministic byte encoding in which each byte value of a context representation maps uniquely to a token in that axis's vocabulary, the semantic content of the context thereby constraining the specific tokens produced within each axis's vocabulary; and wherein the pairwise-disjoint serialized-vocabulary property ensures that the same byte sequence encoded under distinct axes produces structurally distinct token sequences, such that axis-specific encodings of the same input are mutually distinguishable without decoding.</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 nonlinear authorization cost or safety score used to control execution. Governance decisions -- allow, review, quarantine, or deny -- combine the authorization cost with bijective tamper detection, instruction-safety pattern matching, and spectral coherence signals. Denied actions return deterministic pseudorandom-looking audit noise instead of a structured failure category.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