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SupplyMind Enterprise AI</w:t>
        <w:br/>
        <w:t>Executive Summary</w:t>
      </w:r>
    </w:p>
    <w:p>
      <w:r>
        <w:rPr>
          <w:b/>
        </w:rPr>
        <w:t xml:space="preserve">Project Name: </w:t>
      </w:r>
      <w:r>
        <w:t>SupplyMind Enterprise AI</w:t>
      </w:r>
    </w:p>
    <w:p>
      <w:pPr>
        <w:pStyle w:val="Heading2"/>
      </w:pPr>
      <w:r>
        <w:t>Vision</w:t>
      </w:r>
    </w:p>
    <w:p>
      <w:r>
        <w:t>Build a modular Enterprise AI Platform that enables organizations to ingest data from multiple sources, transform raw data into trusted business datasets, train and deploy AI models, expose intelligent services through APIs, and provide an AI Copilot for decision support.</w:t>
        <w:br/>
        <w:br/>
        <w:t>Unlike traditional AI projects that focus on a single machine learning model, SupplyMind Enterprise AI is designed as a reusable platform capable of supporting multiple business domains such as supply chain, manufacturing, logistics, inventory management, and workforce planning.</w:t>
        <w:br/>
        <w:br/>
        <w:t>The platform follows modern software engineering principles including modular architecture, separation of concerns, scalable data pipelines, and enterprise-grade AI services.</w:t>
      </w:r>
    </w:p>
    <w:p>
      <w:pPr>
        <w:pStyle w:val="Heading2"/>
      </w:pPr>
      <w:r>
        <w:t>Mission</w:t>
      </w:r>
    </w:p>
    <w:p>
      <w:r>
        <w:t>Transform enterprise data into actionable intelligence through trusted data pipelines, predictive AI models, and conversational AI assistants.</w:t>
      </w:r>
    </w:p>
    <w:p>
      <w:pPr>
        <w:pStyle w:val="Heading2"/>
      </w:pPr>
      <w:r>
        <w:t>Target Users</w:t>
      </w:r>
    </w:p>
    <w:p>
      <w:pPr>
        <w:pStyle w:val="ListBullet"/>
      </w:pPr>
      <w:r>
        <w:t>Supply Chain Managers</w:t>
      </w:r>
    </w:p>
    <w:p>
      <w:pPr>
        <w:pStyle w:val="ListBullet"/>
      </w:pPr>
      <w:r>
        <w:t>Distribution Center Managers</w:t>
      </w:r>
    </w:p>
    <w:p>
      <w:pPr>
        <w:pStyle w:val="ListBullet"/>
      </w:pPr>
      <w:r>
        <w:t>Operations Leaders</w:t>
      </w:r>
    </w:p>
    <w:p>
      <w:pPr>
        <w:pStyle w:val="ListBullet"/>
      </w:pPr>
      <w:r>
        <w:t>Manufacturing Engineers</w:t>
      </w:r>
    </w:p>
    <w:p>
      <w:pPr>
        <w:pStyle w:val="ListBullet"/>
      </w:pPr>
      <w:r>
        <w:t>Data Analysts</w:t>
      </w:r>
    </w:p>
    <w:p>
      <w:pPr>
        <w:pStyle w:val="ListBullet"/>
      </w:pPr>
      <w:r>
        <w:t>Data Scientists</w:t>
      </w:r>
    </w:p>
    <w:p>
      <w:pPr>
        <w:pStyle w:val="ListBullet"/>
      </w:pPr>
      <w:r>
        <w:t>AI Engineers</w:t>
      </w:r>
    </w:p>
    <w:p>
      <w:pPr>
        <w:pStyle w:val="ListBullet"/>
      </w:pPr>
      <w:r>
        <w:t>Executives</w:t>
      </w:r>
    </w:p>
    <w:p>
      <w:pPr>
        <w:pStyle w:val="Heading2"/>
      </w:pPr>
      <w:r>
        <w:t>Core Capabilities</w:t>
      </w:r>
    </w:p>
    <w:p>
      <w:pPr>
        <w:pStyle w:val="ListBullet"/>
      </w:pPr>
      <w:r>
        <w:t>Multi-source data ingestion</w:t>
      </w:r>
    </w:p>
    <w:p>
      <w:pPr>
        <w:pStyle w:val="ListBullet"/>
      </w:pPr>
      <w:r>
        <w:t>Bronze → Silver → Gold data pipelines</w:t>
      </w:r>
    </w:p>
    <w:p>
      <w:pPr>
        <w:pStyle w:val="ListBullet"/>
      </w:pPr>
      <w:r>
        <w:t>Data quality validation</w:t>
      </w:r>
    </w:p>
    <w:p>
      <w:pPr>
        <w:pStyle w:val="ListBullet"/>
      </w:pPr>
      <w:r>
        <w:t>Feature engineering</w:t>
      </w:r>
    </w:p>
    <w:p>
      <w:pPr>
        <w:pStyle w:val="ListBullet"/>
      </w:pPr>
      <w:r>
        <w:t>Machine Learning</w:t>
      </w:r>
    </w:p>
    <w:p>
      <w:pPr>
        <w:pStyle w:val="ListBullet"/>
      </w:pPr>
      <w:r>
        <w:t>Deep Learning</w:t>
      </w:r>
    </w:p>
    <w:p>
      <w:pPr>
        <w:pStyle w:val="ListBullet"/>
      </w:pPr>
      <w:r>
        <w:t>Time-series forecasting</w:t>
      </w:r>
    </w:p>
    <w:p>
      <w:pPr>
        <w:pStyle w:val="ListBullet"/>
      </w:pPr>
      <w:r>
        <w:t>Prediction APIs</w:t>
      </w:r>
    </w:p>
    <w:p>
      <w:pPr>
        <w:pStyle w:val="ListBullet"/>
      </w:pPr>
      <w:r>
        <w:t>AI Copilot</w:t>
      </w:r>
    </w:p>
    <w:p>
      <w:pPr>
        <w:pStyle w:val="ListBullet"/>
      </w:pPr>
      <w:r>
        <w:t>Interactive dashboards</w:t>
      </w:r>
    </w:p>
    <w:p>
      <w:pPr>
        <w:pStyle w:val="ListBullet"/>
      </w:pPr>
      <w:r>
        <w:t>Monitoring and observability</w:t>
      </w:r>
    </w:p>
    <w:p>
      <w:pPr>
        <w:pStyle w:val="ListBullet"/>
      </w:pPr>
      <w:r>
        <w:t>Explainable AI</w:t>
      </w:r>
    </w:p>
    <w:p>
      <w:pPr>
        <w:pStyle w:val="Heading2"/>
      </w:pPr>
      <w:r>
        <w:t>Design Philosophy</w:t>
      </w:r>
    </w:p>
    <w:p>
      <w:r>
        <w:t>Build once. Extend forever.</w:t>
        <w:br/>
        <w:br/>
        <w:t>Every component should be replaceable without affecting the rest of the platform.</w:t>
      </w:r>
    </w:p>
    <w:p>
      <w:pPr>
        <w:pStyle w:val="Heading2"/>
      </w:pPr>
      <w:r>
        <w:t>Primary Business Scenario</w:t>
      </w:r>
    </w:p>
    <w:p>
      <w:r>
        <w:t>Hybrid Enterprise Intelligence</w:t>
        <w:br/>
        <w:br/>
        <w:t>The platform will be architected as a modular enterprise AI platform. Its first implementation domain will focus on Supply Chain Intelligence, leveraging real-world supply chain and logistics datasets. The architecture will intentionally support future expansion into manufacturing, quality, procurement, finance, and other enterprise domains without requiring major redesign.</w:t>
      </w:r>
    </w:p>
    <w:p>
      <w:pPr>
        <w:pStyle w:val="Heading2"/>
      </w:pPr>
      <w:r>
        <w:t>Guiding Engineering Principles</w:t>
      </w:r>
    </w:p>
    <w:p>
      <w:pPr>
        <w:pStyle w:val="ListBullet"/>
      </w:pPr>
      <w:r>
        <w:t>Business-first design</w:t>
      </w:r>
    </w:p>
    <w:p>
      <w:pPr>
        <w:pStyle w:val="ListBullet"/>
      </w:pPr>
      <w:r>
        <w:t>Separation of concerns</w:t>
      </w:r>
    </w:p>
    <w:p>
      <w:pPr>
        <w:pStyle w:val="ListBullet"/>
      </w:pPr>
      <w:r>
        <w:t>Modular and replaceable components</w:t>
      </w:r>
    </w:p>
    <w:p>
      <w:pPr>
        <w:pStyle w:val="ListBullet"/>
      </w:pPr>
      <w:r>
        <w:t>Production-ready engineering practices</w:t>
      </w:r>
    </w:p>
    <w:p>
      <w:pPr>
        <w:pStyle w:val="ListBullet"/>
      </w:pPr>
      <w:r>
        <w:t>Explainable architectural decisions</w:t>
      </w:r>
    </w:p>
    <w:p>
      <w:pPr>
        <w:pStyle w:val="ListBullet"/>
      </w:pPr>
      <w:r>
        <w:t>Scalable and maintainable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